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2024-12-10</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2024-12-10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(2024)</w:t>
      </w:r>
    </w:p>
    <w:p>
      <w:r>
        <w:t xml:space="preserve">The Sole Director noted that the </w:t>
      </w:r>
      <w:r>
        <w:rPr>
          <w:b/>
        </w:rPr>
        <w:t>Written Consent of Sole Stockholder</w:t>
      </w:r>
      <w:r>
        <w:t xml:space="preserve"> dated December 10, 2024, adopting stockholder resolutions under </w:t>
      </w:r>
      <w:r>
        <w:rPr>
          <w:b/>
        </w:rPr>
        <w:t>Section 228</w:t>
      </w:r>
      <w:r>
        <w:t xml:space="preserve"> of the DGCL for the year 2024,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