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- 2024 Q3</w:t>
      </w:r>
    </w:p>
    <w:p>
      <w:r>
        <w:rPr>
          <w:b/>
        </w:rPr>
        <w:t>TeamBoost.ai, Inc.</w:t>
      </w:r>
    </w:p>
    <w:p/>
    <w:p>
      <w:r>
        <w:rPr>
          <w:b/>
        </w:rPr>
        <w:t>Meeting Details</w:t>
      </w:r>
    </w:p>
    <w:p>
      <w:r>
        <w:t>**Date of Meeting:** 2024-04-01</w:t>
      </w:r>
    </w:p>
    <w:p>
      <w:r>
        <w:t>**Location of Meeting:** Belgrade, Serbia</w:t>
      </w:r>
    </w:p>
    <w:p/>
    <w:p>
      <w:r>
        <w:rPr>
          <w:b/>
        </w:rPr>
        <w:t>I. Business Review:</w:t>
      </w:r>
    </w:p>
    <w:p>
      <w:r>
        <w:t>The Director reviewed quarterly infrastructure stability and confirmed that all assets created in Belgrade, Serbia are correctly titled to the Corporation.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2024-04-01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