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ccess-request-checklist"/>
    <w:p>
      <w:pPr>
        <w:pStyle w:val="Heading1"/>
      </w:pPr>
      <w:r>
        <w:t xml:space="preserve">Access Request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22"/>
    <w:bookmarkStart w:id="23"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03"/>
        </w:numPr>
        <w:pStyle w:val="Compact"/>
      </w:pPr>
      <w:r>
        <w:t xml:space="preserve">The hires never sign in with it, never ask for or accept its password, and never type it into anything. The password lives in [COMPANY: password vault], held by the Manager (or IT).</w:t>
      </w:r>
    </w:p>
    <w:p>
      <w:pPr>
        <w:numPr>
          <w:ilvl w:val="0"/>
          <w:numId w:val="1003"/>
        </w:numPr>
        <w:pStyle w:val="Compact"/>
      </w:pPr>
      <w:r>
        <w:t xml:space="preserve">All interactive work uses the hire's personal account, so every query, load and change is attributable (rule 6).</w:t>
      </w:r>
    </w:p>
    <w:p>
      <w:pPr>
        <w:numPr>
          <w:ilvl w:val="0"/>
          <w:numId w:val="1003"/>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23"/>
    <w:bookmarkStart w:id="24"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24"/>
    <w:bookmarkStart w:id="25"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25"/>
    <w:bookmarkStart w:id="2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6"/>
    <w:bookmarkStart w:id="2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04"/>
        </w:numPr>
        <w:pStyle w:val="Compact"/>
      </w:pPr>
      <w:r>
        <w:t xml:space="preserve">US: hts.usitc.gov (HTSUS), rulings.cbp.gov (CROSS rulings), cbp.gov (including CSMS messages), ecfr.gov (19 CFR), federalregister.gov.</w:t>
      </w:r>
    </w:p>
    <w:p>
      <w:pPr>
        <w:numPr>
          <w:ilvl w:val="0"/>
          <w:numId w:val="1004"/>
        </w:numPr>
        <w:pStyle w:val="Compact"/>
      </w:pPr>
      <w:r>
        <w:t xml:space="preserve">Canada: cbsa-asfc.gc.ca (Customs Tariff, D-Memoranda, CARM guidance).</w:t>
      </w:r>
    </w:p>
    <w:p>
      <w:pPr>
        <w:numPr>
          <w:ilvl w:val="0"/>
          <w:numId w:val="1004"/>
        </w:numPr>
        <w:pStyle w:val="Compact"/>
      </w:pPr>
      <w:r>
        <w:t xml:space="preserve">Mexico: dof.gob.mx (Diario Oficial, where TIGIE changes are published), anam.gob.mx, sat.gob.mx.</w:t>
      </w:r>
    </w:p>
    <w:p>
      <w:pPr>
        <w:numPr>
          <w:ilvl w:val="0"/>
          <w:numId w:val="1004"/>
        </w:numPr>
        <w:pStyle w:val="Compact"/>
      </w:pPr>
      <w:r>
        <w:t xml:space="preserve">USMCA: ustr.gov (agreement text, including Chapter 4 rules of origin and Chapter 5 origin procedures).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2026-10-17T11:56:26Z</dcterms:created>
  <dcterms:modified xsi:type="dcterms:W3CDTF">2026-10-17T11:56:26Z</dcterms:modified>
</cp:coreProperties>
</file>

<file path=docProps/custom.xml><?xml version="1.0" encoding="utf-8"?>
<Properties xmlns="http://schemas.openxmlformats.org/officeDocument/2006/custom-properties" xmlns:vt="http://schemas.openxmlformats.org/officeDocument/2006/docPropsVTypes"/>
</file>