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tariff-impact-brief-template"/>
    <w:p>
      <w:pPr>
        <w:pStyle w:val="Heading1"/>
      </w:pPr>
      <w:r>
        <w:t xml:space="preserve">Tariff-Impact Brief Template</w:t>
      </w:r>
    </w:p>
    <w:p>
      <w:pPr>
        <w:pStyle w:val="FirstParagraph"/>
      </w:pPr>
      <w:r>
        <w:t xml:space="preserve">Last updated: 2026-10-17 · Owner: BSA Manager</w:t>
      </w:r>
    </w:p>
    <w:p>
      <w:pPr>
        <w:numPr>
          <w:ilvl w:val="0"/>
          <w:numId w:val="1001"/>
        </w:numPr>
        <w:pStyle w:val="Compact"/>
      </w:pPr>
      <w:r>
        <w:rPr>
          <w:bCs/>
          <w:b/>
        </w:rPr>
        <w:t xml:space="preserve">Purpose:</w:t>
      </w:r>
      <w:r>
        <w:t xml:space="preserve"> </w:t>
      </w:r>
      <w:r>
        <w:t xml:space="preserve">the Research handoff for one tariff or regulatory action. It states the WHAT: the action, its legal basis, timing, scope (HTS, origins, products, exclusions, stacking), rates, our interpretation with a confidence level, and which of our items it covers. Every claim cites a primary source. It contains no dollar figures: Standard Cost turns it into $ in the shared Tariff-Impact Model (</w:t>
      </w:r>
      <w:r>
        <w:rPr>
          <w:rStyle w:val="VerbatimChar"/>
        </w:rPr>
        <w:t xml:space="preserve">docs/templates/domain/tariff-impact-model-guide.md</w:t>
      </w:r>
      <w:r>
        <w:t xml:space="preserve">).</w:t>
      </w:r>
    </w:p>
    <w:p>
      <w:pPr>
        <w:numPr>
          <w:ilvl w:val="0"/>
          <w:numId w:val="1001"/>
        </w:numPr>
        <w:pStyle w:val="Compact"/>
      </w:pPr>
      <w:r>
        <w:rPr>
          <w:bCs/>
          <w:b/>
        </w:rPr>
        <w:t xml:space="preserve">Who uses it:</w:t>
      </w:r>
      <w:r>
        <w:t xml:space="preserve"> </w:t>
      </w:r>
      <w:r>
        <w:t xml:space="preserve">Hire A (Research) as maker. The Senior (legal scope and interpretation) or the Manager as checker. Hire B (Standard Cost) as the receiver. The Manager approves any business communication built on it.</w:t>
      </w:r>
    </w:p>
    <w:p>
      <w:pPr>
        <w:numPr>
          <w:ilvl w:val="0"/>
          <w:numId w:val="1001"/>
        </w:numPr>
        <w:pStyle w:val="Compact"/>
      </w:pPr>
      <w:r>
        <w:rPr>
          <w:bCs/>
          <w:b/>
        </w:rPr>
        <w:t xml:space="preserve">When:</w:t>
      </w:r>
      <w:r>
        <w:t xml:space="preserve"> </w:t>
      </w:r>
      <w:r>
        <w:t xml:space="preserve">for every new or changed action that may touch our items in the US, Canada or Mexico. Outline by W4 (A30-6), full brief for a real recent action in W7 (A60-1), live as maker from W12 (A90-1). Module M5R. For time-sensitive actions, the urgency rule in</w:t>
      </w:r>
      <w:r>
        <w:t xml:space="preserve"> </w:t>
      </w:r>
      <w:r>
        <w:rPr>
          <w:rStyle w:val="VerbatimChar"/>
        </w:rPr>
        <w:t xml:space="preserve">docs/01-30-60-90-plan.md</w:t>
      </w:r>
      <w:r>
        <w:t xml:space="preserve"> </w:t>
      </w:r>
      <w:r>
        <w:t xml:space="preserve">("Live tariff actions during training") decides who is maker.</w:t>
      </w:r>
    </w:p>
    <w:bookmarkStart w:id="21" w:name="how-to-fill-this-in"/>
    <w:p>
      <w:pPr>
        <w:pStyle w:val="Heading2"/>
      </w:pPr>
      <w:r>
        <w:t xml:space="preserve">How to fill this in</w:t>
      </w:r>
    </w:p>
    <w:p>
      <w:pPr>
        <w:pStyle w:val="FirstParagraph"/>
      </w:pPr>
      <w:r>
        <w:t xml:space="preserve">Watch first: the 2-minute video</w:t>
      </w:r>
      <w:r>
        <w:t xml:space="preserve"> </w:t>
      </w:r>
      <w:r>
        <w:rPr>
          <w:iCs/>
          <w:i/>
        </w:rPr>
        <w:t xml:space="preserve">From a tariff action to a cost impact: the Research to Standard Cost handoff</w:t>
      </w:r>
      <w:r>
        <w:t xml:space="preserve"> </w:t>
      </w:r>
      <w:r>
        <w:t xml:space="preserve">— [COMPANY: Stream link]. It shows where this brief sits between the action and the model.</w:t>
      </w:r>
    </w:p>
    <w:p>
      <w:pPr>
        <w:pStyle w:val="BodyText"/>
      </w:pPr>
      <w:r>
        <w:t xml:space="preserve">Text in [square brackets] is a prompt: replace it. [COMPANY: ...] is a company-specific value.</w:t>
      </w:r>
    </w:p>
    <w:p>
      <w:pPr>
        <w:numPr>
          <w:ilvl w:val="0"/>
          <w:numId w:val="1002"/>
        </w:numPr>
        <w:pStyle w:val="Compact"/>
      </w:pPr>
      <w:r>
        <w:rPr>
          <w:bCs/>
          <w:b/>
        </w:rPr>
        <w:t xml:space="preserve">Primary sources only.</w:t>
      </w:r>
      <w:r>
        <w:t xml:space="preserve"> </w:t>
      </w:r>
      <w:r>
        <w:t xml:space="preserve">Every fact in the brief carries a source ID (S1, S2, ...) from Part 4. Primary sources are the legal instrument (Federal Register notice, proclamation, executive order, Canada Gazette order, DOF decree), the official tariff schedule (HTSUS, Canada Customs Tariff, TIGIE) and the customs agency's implementing guidance (CBP CSMS, CBSA Customs Notice). News, law-firm alerts and broker newsletters are leads: use them to find the primary source, never as the source.</w:t>
      </w:r>
    </w:p>
    <w:p>
      <w:pPr>
        <w:numPr>
          <w:ilvl w:val="0"/>
          <w:numId w:val="1002"/>
        </w:numPr>
        <w:pStyle w:val="Compact"/>
      </w:pPr>
      <w:r>
        <w:rPr>
          <w:bCs/>
          <w:b/>
        </w:rPr>
        <w:t xml:space="preserve">Quote, then interpret.</w:t>
      </w:r>
      <w:r>
        <w:t xml:space="preserve"> </w:t>
      </w:r>
      <w:r>
        <w:t xml:space="preserve">For timing, scope, exclusions and stacking, paste the exact words first. Write your interpretation underneath, separately, with a confidence level (Part 8).</w:t>
      </w:r>
    </w:p>
    <w:p>
      <w:pPr>
        <w:numPr>
          <w:ilvl w:val="0"/>
          <w:numId w:val="1002"/>
        </w:numPr>
        <w:pStyle w:val="Compact"/>
      </w:pPr>
      <w:r>
        <w:rPr>
          <w:bCs/>
          <w:b/>
        </w:rPr>
        <w:t xml:space="preserve">No legal advice, and who contacts the broker.</w:t>
      </w:r>
      <w:r>
        <w:t xml:space="preserve"> </w:t>
      </w:r>
      <w:r>
        <w:t xml:space="preserve">The BSA records "our working interpretation". Anything rated Medium or Low that changes which items are in scope, the rate or the date goes, through the Senior (or the Manager), to the licensed customs broker or trade counsel before release. Before the day-60 review you never contact a customs broker, agente aduanal or trade counsel yourself: send the question to the Senior. After the day-60 review, with the Senior's agreement, you may email the broker with the Senior copied. Trade counsel is always contacted through the Senior or the Manager ([COMPANY: whether Manager approval is needed before contacting trade counsel]). Record who confirmed what, when and how.</w:t>
      </w:r>
    </w:p>
    <w:p>
      <w:pPr>
        <w:numPr>
          <w:ilvl w:val="0"/>
          <w:numId w:val="1002"/>
        </w:numPr>
        <w:pStyle w:val="Compact"/>
      </w:pPr>
      <w:r>
        <w:rPr>
          <w:bCs/>
          <w:b/>
        </w:rPr>
        <w:t xml:space="preserve">No dollars.</w:t>
      </w:r>
      <w:r>
        <w:t xml:space="preserve"> </w:t>
      </w:r>
      <w:r>
        <w:t xml:space="preserve">Item counts are fine. Landed cost, margin and $ impact belong to Standard Cost. A brief with $ figures is sent back (boundary rule,</w:t>
      </w:r>
      <w:r>
        <w:t xml:space="preserve"> </w:t>
      </w:r>
      <w:r>
        <w:rPr>
          <w:rStyle w:val="VerbatimChar"/>
        </w:rPr>
        <w:t xml:space="preserve">docs/01-30-60-90-plan.md</w:t>
      </w:r>
      <w:r>
        <w:t xml:space="preserve">).</w:t>
      </w:r>
    </w:p>
    <w:p>
      <w:pPr>
        <w:numPr>
          <w:ilvl w:val="0"/>
          <w:numId w:val="1002"/>
        </w:numPr>
        <w:pStyle w:val="Compact"/>
      </w:pPr>
      <w:r>
        <w:rPr>
          <w:bCs/>
          <w:b/>
        </w:rPr>
        <w:t xml:space="preserve">One brief per action and importing country.</w:t>
      </w:r>
      <w:r>
        <w:t xml:space="preserve"> </w:t>
      </w:r>
      <w:r>
        <w:t xml:space="preserve">A US action and a Canadian countermeasure are two briefs, even when they are linked.</w:t>
      </w:r>
    </w:p>
    <w:p>
      <w:pPr>
        <w:numPr>
          <w:ilvl w:val="0"/>
          <w:numId w:val="1002"/>
        </w:numPr>
        <w:pStyle w:val="Compact"/>
      </w:pPr>
      <w:r>
        <w:rPr>
          <w:bCs/>
          <w:b/>
        </w:rPr>
        <w:t xml:space="preserve">Versions.</w:t>
      </w:r>
      <w:r>
        <w:t xml:space="preserve"> </w:t>
      </w:r>
      <w:r>
        <w:t xml:space="preserve">v0.x while drafting. v1.0 is the first checked release. Any change after release is v1.1, v1.2 and so on, logged in Part 13, re-checked, and re-sent to Standard Cost. The model's Action tab names the brief version it was built from.</w:t>
      </w:r>
    </w:p>
    <w:p>
      <w:pPr>
        <w:numPr>
          <w:ilvl w:val="0"/>
          <w:numId w:val="1002"/>
        </w:numPr>
        <w:pStyle w:val="Compact"/>
      </w:pPr>
      <w:r>
        <w:rPr>
          <w:bCs/>
          <w:b/>
        </w:rPr>
        <w:t xml:space="preserve">Where it lives.</w:t>
      </w:r>
      <w:r>
        <w:t xml:space="preserve"> </w:t>
      </w:r>
      <w:r>
        <w:t xml:space="preserve">Save in [COMPANY: briefs folder] as</w:t>
      </w:r>
      <w:r>
        <w:t xml:space="preserve"> </w:t>
      </w:r>
      <w:r>
        <w:rPr>
          <w:rStyle w:val="VerbatimChar"/>
        </w:rPr>
        <w:t xml:space="preserve">TIB_[Action ID]_v[n].docx</w:t>
      </w:r>
      <w:r>
        <w:t xml:space="preserve"> </w:t>
      </w:r>
      <w:r>
        <w:t xml:space="preserve">(or the OneNote page), and link it on the Jira story. Do not email copies.</w:t>
      </w:r>
    </w:p>
    <w:p>
      <w:pPr>
        <w:numPr>
          <w:ilvl w:val="0"/>
          <w:numId w:val="1002"/>
        </w:numPr>
        <w:pStyle w:val="Compact"/>
      </w:pPr>
      <w:r>
        <w:rPr>
          <w:bCs/>
          <w:b/>
        </w:rPr>
        <w:t xml:space="preserve">Never write current rates or dates from memory.</w:t>
      </w:r>
      <w:r>
        <w:t xml:space="preserve"> </w:t>
      </w:r>
      <w:r>
        <w:t xml:space="preserve">Take them from the sources on the day you write, and record the date you checked. For the current landscape, see</w:t>
      </w:r>
      <w:r>
        <w:t xml:space="preserve"> </w:t>
      </w:r>
      <w:r>
        <w:rPr>
          <w:rStyle w:val="VerbatimChar"/>
        </w:rPr>
        <w:t xml:space="preserve">docs/primers/current-tariff-landscape.md</w:t>
      </w:r>
      <w:r>
        <w:t xml:space="preserve">.</w:t>
      </w:r>
    </w:p>
    <w:bookmarkStart w:id="20" w:name="X6b1c7d3a6827612fb062109ee129d194ab44484"/>
    <w:p>
      <w:pPr>
        <w:pStyle w:val="Heading3"/>
      </w:pPr>
      <w:r>
        <w:t xml:space="preserve">The 60-minute first pass (do this before you write anything)</w:t>
      </w:r>
    </w:p>
    <w:p>
      <w:pPr>
        <w:numPr>
          <w:ilvl w:val="0"/>
          <w:numId w:val="1003"/>
        </w:numPr>
        <w:pStyle w:val="Compact"/>
      </w:pPr>
      <w:r>
        <w:t xml:space="preserve">Find the legal instrument and its annexes. US: Federal Register (and the proclamation or executive order). Canada: the Department of Finance announcement, then the order in the Canada Gazette, Part II. Mexico: the decree or resolution in the DOF.</w:t>
      </w:r>
    </w:p>
    <w:p>
      <w:pPr>
        <w:numPr>
          <w:ilvl w:val="0"/>
          <w:numId w:val="1003"/>
        </w:numPr>
        <w:pStyle w:val="Compact"/>
      </w:pPr>
      <w:r>
        <w:t xml:space="preserve">Find the implementing guidance. US: the CBP CSMS message (Chapter 99 numbers, filing order, in-transit claims). Canada: the CBSA Customs Notice. Mexico: ask the Senior to get the agente aduanal's view of how they will apply it ([COMPANY: agente aduanal contact]).</w:t>
      </w:r>
    </w:p>
    <w:p>
      <w:pPr>
        <w:numPr>
          <w:ilvl w:val="0"/>
          <w:numId w:val="1003"/>
        </w:numPr>
        <w:pStyle w:val="Compact"/>
      </w:pPr>
      <w:r>
        <w:t xml:space="preserve">Read the timing clause and copy it word for word.</w:t>
      </w:r>
    </w:p>
    <w:p>
      <w:pPr>
        <w:numPr>
          <w:ilvl w:val="0"/>
          <w:numId w:val="1003"/>
        </w:numPr>
        <w:pStyle w:val="Compact"/>
      </w:pPr>
      <w:r>
        <w:t xml:space="preserve">Get the HTS list as text (download the annex or copy from the HTSUS Chapter 99 page). Never retype a list of HTS numbers by hand. Remove footnote markers (such as</w:t>
      </w:r>
      <w:r>
        <w:t xml:space="preserve"> </w:t>
      </w:r>
      <w:r>
        <w:rPr>
          <w:rStyle w:val="VerbatimChar"/>
        </w:rPr>
        <w:t xml:space="preserve">1/</w:t>
      </w:r>
      <w:r>
        <w:t xml:space="preserve">, or a footnote number copied as a plain digit) before the list goes into the model: the model's Action column F flags any prefix that is not plain digits or not 2, 4, 6, 8 or 10 digits long.</w:t>
      </w:r>
    </w:p>
    <w:p>
      <w:pPr>
        <w:numPr>
          <w:ilvl w:val="0"/>
          <w:numId w:val="1003"/>
        </w:numPr>
        <w:pStyle w:val="Compact"/>
      </w:pPr>
      <w:r>
        <w:t xml:space="preserve">Read the exclusions, the exemptions and any stacking or "does not apply" clauses.</w:t>
      </w:r>
    </w:p>
    <w:p>
      <w:pPr>
        <w:numPr>
          <w:ilvl w:val="0"/>
          <w:numId w:val="1003"/>
        </w:numPr>
        <w:pStyle w:val="Compact"/>
      </w:pPr>
      <w:r>
        <w:t xml:space="preserve">Run the candidate-item query (Part 9) and count the matches.</w:t>
      </w:r>
    </w:p>
    <w:p>
      <w:pPr>
        <w:numPr>
          <w:ilvl w:val="0"/>
          <w:numId w:val="1003"/>
        </w:numPr>
        <w:pStyle w:val="Compact"/>
      </w:pPr>
      <w:r>
        <w:t xml:space="preserve">Write down every question. Log the Jira story and tell the Manager the effective date and the candidate count.</w:t>
      </w:r>
    </w:p>
    <w:bookmarkEnd w:id="20"/>
    <w:bookmarkEnd w:id="21"/>
    <w:bookmarkStart w:id="23" w:name="reference-legal-authority-categories"/>
    <w:p>
      <w:pPr>
        <w:pStyle w:val="Heading2"/>
      </w:pPr>
      <w:r>
        <w:t xml:space="preserve">Reference: legal authority categories</w:t>
      </w:r>
    </w:p>
    <w:p>
      <w:pPr>
        <w:pStyle w:val="FirstParagraph"/>
      </w:pPr>
      <w:r>
        <w:t xml:space="preserve">Categories only. Whether any action under these authorities is in force today is a current-status question: check</w:t>
      </w:r>
      <w:r>
        <w:t xml:space="preserve"> </w:t>
      </w:r>
      <w:r>
        <w:rPr>
          <w:rStyle w:val="VerbatimChar"/>
        </w:rPr>
        <w:t xml:space="preserve">docs/primers/current-tariff-landscape.md</w:t>
      </w:r>
      <w:r>
        <w:t xml:space="preserve"> </w:t>
      </w:r>
      <w:r>
        <w:t xml:space="preserve">and the sources.</w:t>
      </w:r>
    </w:p>
    <w:tbl>
      <w:tblPr>
        <w:tblStyle w:val="Table"/>
        <w:tblW w:type="dxa" w:w="9360"/>
        <w:tblLook w:firstRow="1" w:lastRow="0" w:firstColumn="0" w:lastColumn="0" w:noHBand="0" w:noVBand="0" w:val="0020"/>
        <w:jc w:val="start"/>
        <w:tblLayout w:type="fixed"/>
      </w:tblPr>
      <w:tblGrid>
        <w:gridCol w:w="1150"/>
        <w:gridCol w:w="2677"/>
        <w:gridCol w:w="1905"/>
        <w:gridCol w:w="3626"/>
      </w:tblGrid>
      <w:tr>
        <w:trPr>
          <w:tblHeader w:val="true"/>
        </w:trPr>
        <w:tc>
          <w:tcPr>
            <w:tcW w:w="1150" w:type="dxa"/>
          </w:tcPr>
          <w:p>
            <w:pPr>
              <w:pStyle w:val="Compact"/>
              <w:jc w:val="left"/>
            </w:pPr>
            <w:r>
              <w:t xml:space="preserve">Category</w:t>
            </w:r>
          </w:p>
        </w:tc>
        <w:tc>
          <w:tcPr>
            <w:tcW w:w="2677" w:type="dxa"/>
          </w:tcPr>
          <w:p>
            <w:pPr>
              <w:pStyle w:val="Compact"/>
              <w:jc w:val="left"/>
            </w:pPr>
            <w:r>
              <w:t xml:space="preserve">Legal basis and instrument</w:t>
            </w:r>
          </w:p>
        </w:tc>
        <w:tc>
          <w:tcPr>
            <w:tcW w:w="1905" w:type="dxa"/>
          </w:tcPr>
          <w:p>
            <w:pPr>
              <w:pStyle w:val="Compact"/>
              <w:jc w:val="left"/>
            </w:pPr>
            <w:r>
              <w:t xml:space="preserve">Published in</w:t>
            </w:r>
          </w:p>
        </w:tc>
        <w:tc>
          <w:tcPr>
            <w:tcW w:w="3626" w:type="dxa"/>
          </w:tcPr>
          <w:p>
            <w:pPr>
              <w:pStyle w:val="Compact"/>
              <w:jc w:val="left"/>
            </w:pPr>
            <w:r>
              <w:t xml:space="preserve">Scope and rate patterns to look for</w:t>
            </w:r>
          </w:p>
        </w:tc>
      </w:tr>
      <w:tr>
        <w:tc>
          <w:tcPr>
            <w:tcW w:w="1150" w:type="dxa"/>
          </w:tcPr>
          <w:p>
            <w:pPr>
              <w:pStyle w:val="Compact"/>
              <w:jc w:val="left"/>
            </w:pPr>
            <w:r>
              <w:t xml:space="preserve">Section 232 (US)</w:t>
            </w:r>
          </w:p>
        </w:tc>
        <w:tc>
          <w:tcPr>
            <w:tcW w:w="2677" w:type="dxa"/>
          </w:tcPr>
          <w:p>
            <w:pPr>
              <w:pStyle w:val="Compact"/>
              <w:jc w:val="left"/>
            </w:pPr>
            <w:r>
              <w:t xml:space="preserve">Trade Expansion Act of 1962, national security. Presidential proclamation after a Commerce investigation</w:t>
            </w:r>
          </w:p>
        </w:tc>
        <w:tc>
          <w:tcPr>
            <w:tcW w:w="1905" w:type="dxa"/>
          </w:tcPr>
          <w:p>
            <w:pPr>
              <w:pStyle w:val="Compact"/>
              <w:jc w:val="left"/>
            </w:pPr>
            <w:r>
              <w:t xml:space="preserve">Federal Register; HTSUS Chapter 99; CBP CSMS</w:t>
            </w:r>
          </w:p>
        </w:tc>
        <w:tc>
          <w:tcPr>
            <w:tcW w:w="3626" w:type="dxa"/>
          </w:tcPr>
          <w:p>
            <w:pPr>
              <w:pStyle w:val="Compact"/>
              <w:jc w:val="left"/>
            </w:pPr>
            <w:r>
              <w:t xml:space="preserve">Product lists by HTS, often including "derivative" products; processes that add products later; special origin or content reporting (for example melt-and-pour country for steel)</w:t>
            </w:r>
          </w:p>
        </w:tc>
      </w:tr>
      <w:tr>
        <w:tc>
          <w:tcPr>
            <w:tcW w:w="1150" w:type="dxa"/>
          </w:tcPr>
          <w:p>
            <w:pPr>
              <w:pStyle w:val="Compact"/>
              <w:jc w:val="left"/>
            </w:pPr>
            <w:r>
              <w:t xml:space="preserve">Section 301 (US)</w:t>
            </w:r>
          </w:p>
        </w:tc>
        <w:tc>
          <w:tcPr>
            <w:tcW w:w="2677" w:type="dxa"/>
          </w:tcPr>
          <w:p>
            <w:pPr>
              <w:pStyle w:val="Compact"/>
              <w:jc w:val="left"/>
            </w:pPr>
            <w:r>
              <w:t xml:space="preserve">Trade Act of 1974, unfair foreign practices. USTR determination and notice of action</w:t>
            </w:r>
          </w:p>
        </w:tc>
        <w:tc>
          <w:tcPr>
            <w:tcW w:w="1905" w:type="dxa"/>
          </w:tcPr>
          <w:p>
            <w:pPr>
              <w:pStyle w:val="Compact"/>
              <w:jc w:val="left"/>
            </w:pPr>
            <w:r>
              <w:t xml:space="preserve">Federal Register (USTR); HTSUS Chapter 99</w:t>
            </w:r>
          </w:p>
        </w:tc>
        <w:tc>
          <w:tcPr>
            <w:tcW w:w="3626" w:type="dxa"/>
          </w:tcPr>
          <w:p>
            <w:pPr>
              <w:pStyle w:val="Compact"/>
              <w:jc w:val="left"/>
            </w:pPr>
            <w:r>
              <w:t xml:space="preserve">HTS lists in annexes (often 8-digit); product exclusions written as narrative descriptions narrower than the HTS line, often with expiry dates</w:t>
            </w:r>
          </w:p>
        </w:tc>
      </w:tr>
      <w:tr>
        <w:tc>
          <w:tcPr>
            <w:tcW w:w="1150" w:type="dxa"/>
          </w:tcPr>
          <w:p>
            <w:pPr>
              <w:pStyle w:val="Compact"/>
              <w:jc w:val="left"/>
            </w:pPr>
            <w:r>
              <w:t xml:space="preserve">Section 201 (US)</w:t>
            </w:r>
          </w:p>
        </w:tc>
        <w:tc>
          <w:tcPr>
            <w:tcW w:w="2677" w:type="dxa"/>
          </w:tcPr>
          <w:p>
            <w:pPr>
              <w:pStyle w:val="Compact"/>
              <w:jc w:val="left"/>
            </w:pPr>
            <w:r>
              <w:t xml:space="preserve">Trade Act of 1974, safeguards after a USITC finding. Presidential proclamation</w:t>
            </w:r>
          </w:p>
        </w:tc>
        <w:tc>
          <w:tcPr>
            <w:tcW w:w="1905" w:type="dxa"/>
          </w:tcPr>
          <w:p>
            <w:pPr>
              <w:pStyle w:val="Compact"/>
              <w:jc w:val="left"/>
            </w:pPr>
            <w:r>
              <w:t xml:space="preserve">Federal Register; HTSUS Chapter 99</w:t>
            </w:r>
          </w:p>
        </w:tc>
        <w:tc>
          <w:tcPr>
            <w:tcW w:w="3626" w:type="dxa"/>
          </w:tcPr>
          <w:p>
            <w:pPr>
              <w:pStyle w:val="Compact"/>
              <w:jc w:val="left"/>
            </w:pPr>
            <w:r>
              <w:t xml:space="preserve">Tariff-rate quotas, rates that step down over time, country exemptions</w:t>
            </w:r>
          </w:p>
        </w:tc>
      </w:tr>
      <w:tr>
        <w:tc>
          <w:tcPr>
            <w:tcW w:w="1150" w:type="dxa"/>
          </w:tcPr>
          <w:p>
            <w:pPr>
              <w:pStyle w:val="Compact"/>
              <w:jc w:val="left"/>
            </w:pPr>
            <w:r>
              <w:t xml:space="preserve">Section 122 (US)</w:t>
            </w:r>
          </w:p>
        </w:tc>
        <w:tc>
          <w:tcPr>
            <w:tcW w:w="2677" w:type="dxa"/>
          </w:tcPr>
          <w:p>
            <w:pPr>
              <w:pStyle w:val="Compact"/>
              <w:jc w:val="left"/>
            </w:pPr>
            <w:r>
              <w:t xml:space="preserve">Trade Act of 1974, balance of payments. Proclamation</w:t>
            </w:r>
          </w:p>
        </w:tc>
        <w:tc>
          <w:tcPr>
            <w:tcW w:w="1905" w:type="dxa"/>
          </w:tcPr>
          <w:p>
            <w:pPr>
              <w:pStyle w:val="Compact"/>
              <w:jc w:val="left"/>
            </w:pPr>
            <w:r>
              <w:t xml:space="preserve">Federal Register; HTSUS Chapter 99; CBP CSMS</w:t>
            </w:r>
          </w:p>
        </w:tc>
        <w:tc>
          <w:tcPr>
            <w:tcW w:w="3626" w:type="dxa"/>
          </w:tcPr>
          <w:p>
            <w:pPr>
              <w:pStyle w:val="Compact"/>
              <w:jc w:val="left"/>
            </w:pPr>
            <w:r>
              <w:t xml:space="preserve">Statute caps it at 15% ad valorem for up to 150 days unless Congress extends it; broad coverage with listed exceptions</w:t>
            </w:r>
          </w:p>
        </w:tc>
      </w:tr>
      <w:tr>
        <w:tc>
          <w:tcPr>
            <w:tcW w:w="1150" w:type="dxa"/>
          </w:tcPr>
          <w:p>
            <w:pPr>
              <w:pStyle w:val="Compact"/>
              <w:jc w:val="left"/>
            </w:pPr>
            <w:r>
              <w:t xml:space="preserve">Section 338 (US)</w:t>
            </w:r>
          </w:p>
        </w:tc>
        <w:tc>
          <w:tcPr>
            <w:tcW w:w="2677" w:type="dxa"/>
          </w:tcPr>
          <w:p>
            <w:pPr>
              <w:pStyle w:val="Compact"/>
              <w:jc w:val="left"/>
            </w:pPr>
            <w:r>
              <w:t xml:space="preserve">Tariff Act of 1930, countries that discriminate against US commerce. Proclamation</w:t>
            </w:r>
          </w:p>
        </w:tc>
        <w:tc>
          <w:tcPr>
            <w:tcW w:w="1905" w:type="dxa"/>
          </w:tcPr>
          <w:p>
            <w:pPr>
              <w:pStyle w:val="Compact"/>
              <w:jc w:val="left"/>
            </w:pPr>
            <w:r>
              <w:t xml:space="preserve">Federal Register; HTSUS Chapter 99; CBP CSMS</w:t>
            </w:r>
          </w:p>
        </w:tc>
        <w:tc>
          <w:tcPr>
            <w:tcW w:w="3626" w:type="dxa"/>
          </w:tcPr>
          <w:p>
            <w:pPr>
              <w:pStyle w:val="Compact"/>
              <w:jc w:val="left"/>
            </w:pPr>
            <w:r>
              <w:t xml:space="preserve">Statute caps new or additional duties at 50% ad valorem; country-specific product lists</w:t>
            </w:r>
          </w:p>
        </w:tc>
      </w:tr>
      <w:tr>
        <w:tc>
          <w:tcPr>
            <w:tcW w:w="1150" w:type="dxa"/>
          </w:tcPr>
          <w:p>
            <w:pPr>
              <w:pStyle w:val="Compact"/>
              <w:jc w:val="left"/>
            </w:pPr>
            <w:r>
              <w:t xml:space="preserve">IEEPA (US)</w:t>
            </w:r>
          </w:p>
        </w:tc>
        <w:tc>
          <w:tcPr>
            <w:tcW w:w="2677" w:type="dxa"/>
          </w:tcPr>
          <w:p>
            <w:pPr>
              <w:pStyle w:val="Compact"/>
              <w:jc w:val="left"/>
            </w:pPr>
            <w:r>
              <w:t xml:space="preserve">International Emergency Economic Powers Act. Executive order declaring a national emergency</w:t>
            </w:r>
          </w:p>
        </w:tc>
        <w:tc>
          <w:tcPr>
            <w:tcW w:w="1905" w:type="dxa"/>
          </w:tcPr>
          <w:p>
            <w:pPr>
              <w:pStyle w:val="Compact"/>
              <w:jc w:val="left"/>
            </w:pPr>
            <w:r>
              <w:t xml:space="preserve">Federal Register; HTSUS Chapter 99; CBP CSMS</w:t>
            </w:r>
          </w:p>
        </w:tc>
        <w:tc>
          <w:tcPr>
            <w:tcW w:w="3626" w:type="dxa"/>
          </w:tcPr>
          <w:p>
            <w:pPr>
              <w:pStyle w:val="Compact"/>
              <w:jc w:val="left"/>
            </w:pPr>
            <w:r>
              <w:t xml:space="preserve">Country-wide duties, carve-outs (for example USMCA-qualifying goods), interaction rules with other actions. The Supreme Court held on 2026-02-20 (Learning Resources, Inc. v. Trump) that IEEPA does not authorize tariffs. Use this category for past entries only (refunds, audits); status and refunds: US-1 in</w:t>
            </w:r>
            <w:r>
              <w:t xml:space="preserve"> </w:t>
            </w:r>
            <w:r>
              <w:rPr>
                <w:rStyle w:val="VerbatimChar"/>
              </w:rPr>
              <w:t xml:space="preserve">docs/primers/current-tariff-landscape.md</w:t>
            </w:r>
          </w:p>
        </w:tc>
      </w:tr>
      <w:tr>
        <w:tc>
          <w:tcPr>
            <w:tcW w:w="1150" w:type="dxa"/>
          </w:tcPr>
          <w:p>
            <w:pPr>
              <w:pStyle w:val="Compact"/>
              <w:jc w:val="left"/>
            </w:pPr>
            <w:r>
              <w:t xml:space="preserve">AD/CVD (US, CA, MX)</w:t>
            </w:r>
          </w:p>
        </w:tc>
        <w:tc>
          <w:tcPr>
            <w:tcW w:w="2677" w:type="dxa"/>
          </w:tcPr>
          <w:p>
            <w:pPr>
              <w:pStyle w:val="Compact"/>
              <w:jc w:val="left"/>
            </w:pPr>
            <w:r>
              <w:t xml:space="preserve">US: Tariff Act of 1930, Title VII (Commerce and USITC). Canada: Special Import Measures Act (CBSA and CITT). Mexico: cuotas compensatorias (Secretaría de Economía)</w:t>
            </w:r>
          </w:p>
        </w:tc>
        <w:tc>
          <w:tcPr>
            <w:tcW w:w="1905" w:type="dxa"/>
          </w:tcPr>
          <w:p>
            <w:pPr>
              <w:pStyle w:val="Compact"/>
              <w:jc w:val="left"/>
            </w:pPr>
            <w:r>
              <w:t xml:space="preserve">US: Federal Register and CBP AD/CVD messages. Canada: CBSA SIMA notices. Mexico: DOF</w:t>
            </w:r>
          </w:p>
        </w:tc>
        <w:tc>
          <w:tcPr>
            <w:tcW w:w="3626" w:type="dxa"/>
          </w:tcPr>
          <w:p>
            <w:pPr>
              <w:pStyle w:val="Compact"/>
              <w:jc w:val="left"/>
            </w:pPr>
            <w:r>
              <w:t xml:space="preserve">The written scope description decides coverage; HTS numbers are listed for convenience. Rates depend on producer and exporter. USMCA preference does not remove AD/CVD</w:t>
            </w:r>
          </w:p>
        </w:tc>
      </w:tr>
      <w:tr>
        <w:tc>
          <w:tcPr>
            <w:tcW w:w="1150" w:type="dxa"/>
          </w:tcPr>
          <w:p>
            <w:pPr>
              <w:pStyle w:val="Compact"/>
              <w:jc w:val="left"/>
            </w:pPr>
            <w:r>
              <w:t xml:space="preserve">Canada surtax order</w:t>
            </w:r>
          </w:p>
        </w:tc>
        <w:tc>
          <w:tcPr>
            <w:tcW w:w="2677" w:type="dxa"/>
          </w:tcPr>
          <w:p>
            <w:pPr>
              <w:pStyle w:val="Compact"/>
              <w:jc w:val="left"/>
            </w:pPr>
            <w:r>
              <w:t xml:space="preserve">Customs Tariff, section 53 (Governor in Council order on Finance's recommendation)</w:t>
            </w:r>
          </w:p>
        </w:tc>
        <w:tc>
          <w:tcPr>
            <w:tcW w:w="1905" w:type="dxa"/>
          </w:tcPr>
          <w:p>
            <w:pPr>
              <w:pStyle w:val="Compact"/>
              <w:jc w:val="left"/>
            </w:pPr>
            <w:r>
              <w:t xml:space="preserve">Canada Gazette, Part II; CBSA Customs Notice; Finance Canada announcement</w:t>
            </w:r>
          </w:p>
        </w:tc>
        <w:tc>
          <w:tcPr>
            <w:tcW w:w="3626" w:type="dxa"/>
          </w:tcPr>
          <w:p>
            <w:pPr>
              <w:pStyle w:val="Compact"/>
              <w:jc w:val="left"/>
            </w:pPr>
            <w:r>
              <w:t xml:space="preserve">Schedules of tariff items; surtax as % of value for duty; origin defined in the order; in-transit and other exclusions; relief sometimes through a separate remission order</w:t>
            </w:r>
          </w:p>
        </w:tc>
      </w:tr>
      <w:tr>
        <w:tc>
          <w:tcPr>
            <w:tcW w:w="1150" w:type="dxa"/>
          </w:tcPr>
          <w:p>
            <w:pPr>
              <w:pStyle w:val="Compact"/>
              <w:jc w:val="left"/>
            </w:pPr>
            <w:r>
              <w:t xml:space="preserve">Mexican decree (DOF)</w:t>
            </w:r>
          </w:p>
        </w:tc>
        <w:tc>
          <w:tcPr>
            <w:tcW w:w="2677" w:type="dxa"/>
          </w:tcPr>
          <w:p>
            <w:pPr>
              <w:pStyle w:val="Compact"/>
              <w:jc w:val="left"/>
            </w:pPr>
            <w:r>
              <w:t xml:space="preserve">Decree modifying the Tarifa of the LIGIE (TIGIE), or other decrees and agreements</w:t>
            </w:r>
          </w:p>
        </w:tc>
        <w:tc>
          <w:tcPr>
            <w:tcW w:w="1905" w:type="dxa"/>
          </w:tcPr>
          <w:p>
            <w:pPr>
              <w:pStyle w:val="Compact"/>
              <w:jc w:val="left"/>
            </w:pPr>
            <w:r>
              <w:t xml:space="preserve">Diario Oficial de la Federación (DOF)</w:t>
            </w:r>
          </w:p>
        </w:tc>
        <w:tc>
          <w:tcPr>
            <w:tcW w:w="3626" w:type="dxa"/>
          </w:tcPr>
          <w:p>
            <w:pPr>
              <w:pStyle w:val="Compact"/>
              <w:jc w:val="left"/>
            </w:pPr>
            <w:r>
              <w:t xml:space="preserve">Lists of fracciones arancelarias (8 digits) and NICO; whether trade-agreement (preferential) rates still apply; entry into force in the transitory articles; effects on IMMEX and PROSEC operations (the Senior asks the agente aduanal)</w:t>
            </w:r>
          </w:p>
        </w:tc>
      </w:tr>
    </w:tbl>
    <w:bookmarkStart w:id="22" w:name="timing-language-decoded"/>
    <w:p>
      <w:pPr>
        <w:pStyle w:val="Heading3"/>
      </w:pPr>
      <w:r>
        <w:t xml:space="preserve">Timing language, decoded</w:t>
      </w:r>
    </w:p>
    <w:tbl>
      <w:tblPr>
        <w:tblStyle w:val="Table"/>
        <w:tblW w:type="dxa" w:w="9360"/>
        <w:tblLook w:firstRow="1" w:lastRow="0" w:firstColumn="0" w:lastColumn="0" w:noHBand="0" w:noVBand="0" w:val="0020"/>
        <w:jc w:val="start"/>
        <w:tblLayout w:type="fixed"/>
      </w:tblPr>
      <w:tblGrid>
        <w:gridCol w:w="2794"/>
        <w:gridCol w:w="2970"/>
        <w:gridCol w:w="3594"/>
      </w:tblGrid>
      <w:tr>
        <w:trPr>
          <w:tblHeader w:val="true"/>
        </w:trPr>
        <w:tc>
          <w:tcPr>
            <w:tcW w:w="2794" w:type="dxa"/>
          </w:tcPr>
          <w:p>
            <w:pPr>
              <w:pStyle w:val="Compact"/>
              <w:jc w:val="left"/>
            </w:pPr>
            <w:r>
              <w:t xml:space="preserve">Wording or situation</w:t>
            </w:r>
          </w:p>
        </w:tc>
        <w:tc>
          <w:tcPr>
            <w:tcW w:w="2970" w:type="dxa"/>
          </w:tcPr>
          <w:p>
            <w:pPr>
              <w:pStyle w:val="Compact"/>
              <w:jc w:val="left"/>
            </w:pPr>
            <w:r>
              <w:t xml:space="preserve">What it means for us</w:t>
            </w:r>
          </w:p>
        </w:tc>
        <w:tc>
          <w:tcPr>
            <w:tcW w:w="3594" w:type="dxa"/>
          </w:tcPr>
          <w:p>
            <w:pPr>
              <w:pStyle w:val="Compact"/>
              <w:jc w:val="left"/>
            </w:pPr>
            <w:r>
              <w:t xml:space="preserve">What to check</w:t>
            </w:r>
          </w:p>
        </w:tc>
      </w:tr>
      <w:tr>
        <w:tc>
          <w:tcPr>
            <w:tcW w:w="2794" w:type="dxa"/>
          </w:tcPr>
          <w:p>
            <w:pPr>
              <w:pStyle w:val="Compact"/>
              <w:jc w:val="left"/>
            </w:pPr>
            <w:r>
              <w:t xml:space="preserve">"Entered for consumption, or withdrawn from warehouse for consumption, on or after 12:01 a.m. eastern time on [date]" (US)</w:t>
            </w:r>
          </w:p>
        </w:tc>
        <w:tc>
          <w:tcPr>
            <w:tcW w:w="2970" w:type="dxa"/>
          </w:tcPr>
          <w:p>
            <w:pPr>
              <w:pStyle w:val="Compact"/>
              <w:jc w:val="left"/>
            </w:pPr>
            <w:r>
              <w:t xml:space="preserve">The entry date and time decides the rate, not the PO, ship or receipt date. Rates in effect at the time of entry apply, and goods in a bonded warehouse take the rate at withdrawal (19 CFR 141.69)</w:t>
            </w:r>
          </w:p>
        </w:tc>
        <w:tc>
          <w:tcPr>
            <w:tcW w:w="3594" w:type="dxa"/>
          </w:tcPr>
          <w:p>
            <w:pPr>
              <w:pStyle w:val="Compact"/>
              <w:jc w:val="left"/>
            </w:pPr>
            <w:r>
              <w:t xml:space="preserve">Daylight or standard time; whether the broker will hold or speed up entries near the cutoff (an operational decision for the Manager, not Research)</w:t>
            </w:r>
          </w:p>
        </w:tc>
      </w:tr>
      <w:tr>
        <w:tc>
          <w:tcPr>
            <w:tcW w:w="2794" w:type="dxa"/>
          </w:tcPr>
          <w:p>
            <w:pPr>
              <w:pStyle w:val="Compact"/>
              <w:jc w:val="left"/>
            </w:pPr>
            <w:r>
              <w:t xml:space="preserve">In-transit provision (US pattern: goods loaded on the final mode of transit before the effective date and entered before a later date are not covered)</w:t>
            </w:r>
          </w:p>
        </w:tc>
        <w:tc>
          <w:tcPr>
            <w:tcW w:w="2970" w:type="dxa"/>
          </w:tcPr>
          <w:p>
            <w:pPr>
              <w:pStyle w:val="Compact"/>
              <w:jc w:val="left"/>
            </w:pPr>
            <w:r>
              <w:t xml:space="preserve">Some goods already on the water keep the old rate if both conditions are met</w:t>
            </w:r>
          </w:p>
        </w:tc>
        <w:tc>
          <w:tcPr>
            <w:tcW w:w="3594" w:type="dxa"/>
          </w:tcPr>
          <w:p>
            <w:pPr>
              <w:pStyle w:val="Compact"/>
              <w:jc w:val="left"/>
            </w:pPr>
            <w:r>
              <w:t xml:space="preserve">Both dates; how CBP wants the claim filed (check the CSMS guidance, for example a specific Chapter 99 number); whether the broker can prove the loading date</w:t>
            </w:r>
          </w:p>
        </w:tc>
      </w:tr>
      <w:tr>
        <w:tc>
          <w:tcPr>
            <w:tcW w:w="2794" w:type="dxa"/>
          </w:tcPr>
          <w:p>
            <w:pPr>
              <w:pStyle w:val="Compact"/>
              <w:jc w:val="left"/>
            </w:pPr>
            <w:r>
              <w:t xml:space="preserve">Canada surtax orders: goods imported from the date the order comes into force</w:t>
            </w:r>
          </w:p>
        </w:tc>
        <w:tc>
          <w:tcPr>
            <w:tcW w:w="2970" w:type="dxa"/>
          </w:tcPr>
          <w:p>
            <w:pPr>
              <w:pStyle w:val="Compact"/>
              <w:jc w:val="left"/>
            </w:pPr>
            <w:r>
              <w:t xml:space="preserve">The order's coming-into-force and application provisions decide; quote them</w:t>
            </w:r>
          </w:p>
        </w:tc>
        <w:tc>
          <w:tcPr>
            <w:tcW w:w="3594" w:type="dxa"/>
          </w:tcPr>
          <w:p>
            <w:pPr>
              <w:pStyle w:val="Compact"/>
              <w:jc w:val="left"/>
            </w:pPr>
            <w:r>
              <w:t xml:space="preserve">Whether goods in transit on that day are excluded (some 2025 surtax orders excluded them); the CBSA Customs Notice on how to account for it</w:t>
            </w:r>
          </w:p>
        </w:tc>
      </w:tr>
      <w:tr>
        <w:tc>
          <w:tcPr>
            <w:tcW w:w="2794" w:type="dxa"/>
          </w:tcPr>
          <w:p>
            <w:pPr>
              <w:pStyle w:val="Compact"/>
              <w:jc w:val="left"/>
            </w:pPr>
            <w:r>
              <w:t xml:space="preserve">Mexican decree "entra en vigor" in the transitory articles (often the day after publication)</w:t>
            </w:r>
          </w:p>
        </w:tc>
        <w:tc>
          <w:tcPr>
            <w:tcW w:w="2970" w:type="dxa"/>
          </w:tcPr>
          <w:p>
            <w:pPr>
              <w:pStyle w:val="Compact"/>
              <w:jc w:val="left"/>
            </w:pPr>
            <w:r>
              <w:t xml:space="preserve">The decree's own transitory articles decide when it starts</w:t>
            </w:r>
          </w:p>
        </w:tc>
        <w:tc>
          <w:tcPr>
            <w:tcW w:w="3594" w:type="dxa"/>
          </w:tcPr>
          <w:p>
            <w:pPr>
              <w:pStyle w:val="Compact"/>
              <w:jc w:val="left"/>
            </w:pPr>
            <w:r>
              <w:t xml:space="preserve">Which date fixes the rate on a pedimento: under Ley Aduanera article 56 this is generally the arrival date (sea: anchoring or berthing; land: crossing the border; air: arrival at the first Mexican airport). Confirm with the agente aduanal, through the Senior</w:t>
            </w:r>
          </w:p>
        </w:tc>
      </w:tr>
      <w:tr>
        <w:tc>
          <w:tcPr>
            <w:tcW w:w="2794" w:type="dxa"/>
          </w:tcPr>
          <w:p>
            <w:pPr>
              <w:pStyle w:val="Compact"/>
              <w:jc w:val="left"/>
            </w:pPr>
            <w:r>
              <w:t xml:space="preserve">End dates, sunsets, step changes, quotas</w:t>
            </w:r>
          </w:p>
        </w:tc>
        <w:tc>
          <w:tcPr>
            <w:tcW w:w="2970" w:type="dxa"/>
          </w:tcPr>
          <w:p>
            <w:pPr>
              <w:pStyle w:val="Compact"/>
              <w:jc w:val="left"/>
            </w:pPr>
            <w:r>
              <w:t xml:space="preserve">Rates can change again on a known date or when a quota fills</w:t>
            </w:r>
          </w:p>
        </w:tc>
        <w:tc>
          <w:tcPr>
            <w:tcW w:w="3594" w:type="dxa"/>
          </w:tcPr>
          <w:p>
            <w:pPr>
              <w:pStyle w:val="Compact"/>
              <w:jc w:val="left"/>
            </w:pPr>
            <w:r>
              <w:t xml:space="preserve">Put every date in Part 5; Standard Cost needs them for the cost period</w:t>
            </w:r>
          </w:p>
        </w:tc>
      </w:tr>
      <w:tr>
        <w:tc>
          <w:tcPr>
            <w:tcW w:w="2794" w:type="dxa"/>
          </w:tcPr>
          <w:p>
            <w:pPr>
              <w:pStyle w:val="Compact"/>
              <w:jc w:val="left"/>
            </w:pPr>
            <w:r>
              <w:t xml:space="preserve">AD/CVD</w:t>
            </w:r>
          </w:p>
        </w:tc>
        <w:tc>
          <w:tcPr>
            <w:tcW w:w="2970" w:type="dxa"/>
          </w:tcPr>
          <w:p>
            <w:pPr>
              <w:pStyle w:val="Compact"/>
              <w:jc w:val="left"/>
            </w:pPr>
            <w:r>
              <w:t xml:space="preserve">Cash deposits at entry; the final duty can be set years later in an administrative review</w:t>
            </w:r>
          </w:p>
        </w:tc>
        <w:tc>
          <w:tcPr>
            <w:tcW w:w="3594" w:type="dxa"/>
          </w:tcPr>
          <w:p>
            <w:pPr>
              <w:pStyle w:val="Compact"/>
              <w:jc w:val="left"/>
            </w:pPr>
            <w:r>
              <w:t xml:space="preserve">Producer and exporter on our entries; flag to the Senior</w:t>
            </w:r>
          </w:p>
        </w:tc>
      </w:tr>
    </w:tbl>
    <w:bookmarkEnd w:id="22"/>
    <w:bookmarkEnd w:id="23"/>
    <w:bookmarkStart w:id="35" w:name="reference-source-documents"/>
    <w:p>
      <w:pPr>
        <w:pStyle w:val="Heading2"/>
      </w:pPr>
      <w:r>
        <w:t xml:space="preserve">Reference: source documents</w:t>
      </w:r>
    </w:p>
    <w:tbl>
      <w:tblPr>
        <w:tblStyle w:val="Table"/>
        <w:tblW w:type="dxa" w:w="9360"/>
        <w:tblLook w:firstRow="1" w:lastRow="0" w:firstColumn="0" w:lastColumn="0" w:noHBand="0" w:noVBand="0" w:val="0020"/>
        <w:jc w:val="start"/>
        <w:tblLayout w:type="fixed"/>
      </w:tblPr>
      <w:tblGrid>
        <w:gridCol w:w="1495"/>
        <w:gridCol w:w="1035"/>
        <w:gridCol w:w="3427"/>
        <w:gridCol w:w="3402"/>
      </w:tblGrid>
      <w:tr>
        <w:trPr>
          <w:tblHeader w:val="true"/>
        </w:trPr>
        <w:tc>
          <w:tcPr>
            <w:tcW w:w="1495" w:type="dxa"/>
          </w:tcPr>
          <w:p>
            <w:pPr>
              <w:pStyle w:val="Compact"/>
              <w:jc w:val="left"/>
            </w:pPr>
            <w:r>
              <w:t xml:space="preserve">Source</w:t>
            </w:r>
          </w:p>
        </w:tc>
        <w:tc>
          <w:tcPr>
            <w:tcW w:w="1035" w:type="dxa"/>
          </w:tcPr>
          <w:p>
            <w:pPr>
              <w:pStyle w:val="Compact"/>
              <w:jc w:val="left"/>
            </w:pPr>
            <w:r>
              <w:t xml:space="preserve">Country</w:t>
            </w:r>
          </w:p>
        </w:tc>
        <w:tc>
          <w:tcPr>
            <w:tcW w:w="3427" w:type="dxa"/>
          </w:tcPr>
          <w:p>
            <w:pPr>
              <w:pStyle w:val="Compact"/>
              <w:jc w:val="left"/>
            </w:pPr>
            <w:r>
              <w:t xml:space="preserve">What it gives you</w:t>
            </w:r>
          </w:p>
        </w:tc>
        <w:tc>
          <w:tcPr>
            <w:tcW w:w="3402" w:type="dxa"/>
          </w:tcPr>
          <w:p>
            <w:pPr>
              <w:pStyle w:val="Compact"/>
              <w:jc w:val="left"/>
            </w:pPr>
            <w:r>
              <w:t xml:space="preserve">Link</w:t>
            </w:r>
          </w:p>
        </w:tc>
      </w:tr>
      <w:tr>
        <w:tc>
          <w:tcPr>
            <w:tcW w:w="1495" w:type="dxa"/>
          </w:tcPr>
          <w:p>
            <w:pPr>
              <w:pStyle w:val="Compact"/>
              <w:jc w:val="left"/>
            </w:pPr>
            <w:r>
              <w:t xml:space="preserve">Federal Register</w:t>
            </w:r>
          </w:p>
        </w:tc>
        <w:tc>
          <w:tcPr>
            <w:tcW w:w="1035" w:type="dxa"/>
          </w:tcPr>
          <w:p>
            <w:pPr>
              <w:pStyle w:val="Compact"/>
              <w:jc w:val="left"/>
            </w:pPr>
            <w:r>
              <w:t xml:space="preserve">US</w:t>
            </w:r>
          </w:p>
        </w:tc>
        <w:tc>
          <w:tcPr>
            <w:tcW w:w="3427" w:type="dxa"/>
          </w:tcPr>
          <w:p>
            <w:pPr>
              <w:pStyle w:val="Compact"/>
              <w:jc w:val="left"/>
            </w:pPr>
            <w:r>
              <w:t xml:space="preserve">Legal text of notices, proclamations and executive orders, with annexes</w:t>
            </w:r>
          </w:p>
        </w:tc>
        <w:tc>
          <w:tcPr>
            <w:tcW w:w="3402" w:type="dxa"/>
          </w:tcPr>
          <w:p>
            <w:pPr>
              <w:pStyle w:val="Compact"/>
              <w:jc w:val="left"/>
            </w:pPr>
            <w:hyperlink r:id="rId24">
              <w:r>
                <w:rPr>
                  <w:rStyle w:val="Hyperlink"/>
                </w:rPr>
                <w:t xml:space="preserve">https://www.federalregister.gov/</w:t>
              </w:r>
            </w:hyperlink>
          </w:p>
        </w:tc>
      </w:tr>
      <w:tr>
        <w:tc>
          <w:tcPr>
            <w:tcW w:w="1495" w:type="dxa"/>
          </w:tcPr>
          <w:p>
            <w:pPr>
              <w:pStyle w:val="Compact"/>
              <w:jc w:val="left"/>
            </w:pPr>
            <w:r>
              <w:t xml:space="preserve">HTSUS (USITC)</w:t>
            </w:r>
          </w:p>
        </w:tc>
        <w:tc>
          <w:tcPr>
            <w:tcW w:w="1035" w:type="dxa"/>
          </w:tcPr>
          <w:p>
            <w:pPr>
              <w:pStyle w:val="Compact"/>
              <w:jc w:val="left"/>
            </w:pPr>
            <w:r>
              <w:t xml:space="preserve">US</w:t>
            </w:r>
          </w:p>
        </w:tc>
        <w:tc>
          <w:tcPr>
            <w:tcW w:w="3427" w:type="dxa"/>
          </w:tcPr>
          <w:p>
            <w:pPr>
              <w:pStyle w:val="Compact"/>
              <w:jc w:val="left"/>
            </w:pPr>
            <w:r>
              <w:t xml:space="preserve">Chapter 99 headings and their U.S. notes; base rates; earlier editions and revisions</w:t>
            </w:r>
          </w:p>
        </w:tc>
        <w:tc>
          <w:tcPr>
            <w:tcW w:w="3402" w:type="dxa"/>
          </w:tcPr>
          <w:p>
            <w:pPr>
              <w:pStyle w:val="Compact"/>
              <w:jc w:val="left"/>
            </w:pPr>
            <w:hyperlink r:id="rId25">
              <w:r>
                <w:rPr>
                  <w:rStyle w:val="Hyperlink"/>
                </w:rPr>
                <w:t xml:space="preserve">https://hts.usitc.gov/</w:t>
              </w:r>
            </w:hyperlink>
          </w:p>
        </w:tc>
      </w:tr>
      <w:tr>
        <w:tc>
          <w:tcPr>
            <w:tcW w:w="1495" w:type="dxa"/>
          </w:tcPr>
          <w:p>
            <w:pPr>
              <w:pStyle w:val="Compact"/>
              <w:jc w:val="left"/>
            </w:pPr>
            <w:r>
              <w:t xml:space="preserve">CBP CSMS messages</w:t>
            </w:r>
          </w:p>
        </w:tc>
        <w:tc>
          <w:tcPr>
            <w:tcW w:w="1035" w:type="dxa"/>
          </w:tcPr>
          <w:p>
            <w:pPr>
              <w:pStyle w:val="Compact"/>
              <w:jc w:val="left"/>
            </w:pPr>
            <w:r>
              <w:t xml:space="preserve">US</w:t>
            </w:r>
          </w:p>
        </w:tc>
        <w:tc>
          <w:tcPr>
            <w:tcW w:w="3427" w:type="dxa"/>
          </w:tcPr>
          <w:p>
            <w:pPr>
              <w:pStyle w:val="Compact"/>
              <w:jc w:val="left"/>
            </w:pPr>
            <w:r>
              <w:t xml:space="preserve">CBP filing guidance: Chapter 99 numbers, reporting order, in-transit claims, effective time in ACE</w:t>
            </w:r>
          </w:p>
        </w:tc>
        <w:tc>
          <w:tcPr>
            <w:tcW w:w="3402" w:type="dxa"/>
          </w:tcPr>
          <w:p>
            <w:pPr>
              <w:pStyle w:val="Compact"/>
              <w:jc w:val="left"/>
            </w:pPr>
            <w:hyperlink r:id="rId26">
              <w:r>
                <w:rPr>
                  <w:rStyle w:val="Hyperlink"/>
                </w:rPr>
                <w:t xml:space="preserve">https://www.cbp.gov/trade/automated/cargo-systems-messaging-service</w:t>
              </w:r>
            </w:hyperlink>
            <w:r>
              <w:t xml:space="preserve"> </w:t>
            </w:r>
            <w:r>
              <w:t xml:space="preserve">(archive:</w:t>
            </w:r>
            <w:r>
              <w:t xml:space="preserve"> </w:t>
            </w:r>
            <w:hyperlink r:id="rId27">
              <w:r>
                <w:rPr>
                  <w:rStyle w:val="Hyperlink"/>
                </w:rPr>
                <w:t xml:space="preserve">https://www.cbp.gov/document/guidance/csms-archive</w:t>
              </w:r>
            </w:hyperlink>
            <w:r>
              <w:t xml:space="preserve">)</w:t>
            </w:r>
          </w:p>
        </w:tc>
      </w:tr>
      <w:tr>
        <w:tc>
          <w:tcPr>
            <w:tcW w:w="1495" w:type="dxa"/>
          </w:tcPr>
          <w:p>
            <w:pPr>
              <w:pStyle w:val="Compact"/>
              <w:jc w:val="left"/>
            </w:pPr>
            <w:r>
              <w:t xml:space="preserve">USTR</w:t>
            </w:r>
          </w:p>
        </w:tc>
        <w:tc>
          <w:tcPr>
            <w:tcW w:w="1035" w:type="dxa"/>
          </w:tcPr>
          <w:p>
            <w:pPr>
              <w:pStyle w:val="Compact"/>
              <w:jc w:val="left"/>
            </w:pPr>
            <w:r>
              <w:t xml:space="preserve">US</w:t>
            </w:r>
          </w:p>
        </w:tc>
        <w:tc>
          <w:tcPr>
            <w:tcW w:w="3427" w:type="dxa"/>
          </w:tcPr>
          <w:p>
            <w:pPr>
              <w:pStyle w:val="Compact"/>
              <w:jc w:val="left"/>
            </w:pPr>
            <w:r>
              <w:t xml:space="preserve">Section 301 notices and exclusion lists</w:t>
            </w:r>
          </w:p>
        </w:tc>
        <w:tc>
          <w:tcPr>
            <w:tcW w:w="3402" w:type="dxa"/>
          </w:tcPr>
          <w:p>
            <w:pPr>
              <w:pStyle w:val="Compact"/>
              <w:jc w:val="left"/>
            </w:pPr>
            <w:hyperlink r:id="rId28">
              <w:r>
                <w:rPr>
                  <w:rStyle w:val="Hyperlink"/>
                </w:rPr>
                <w:t xml:space="preserve">https://ustr.gov/</w:t>
              </w:r>
            </w:hyperlink>
          </w:p>
        </w:tc>
      </w:tr>
      <w:tr>
        <w:tc>
          <w:tcPr>
            <w:tcW w:w="1495" w:type="dxa"/>
          </w:tcPr>
          <w:p>
            <w:pPr>
              <w:pStyle w:val="Compact"/>
              <w:jc w:val="left"/>
            </w:pPr>
            <w:r>
              <w:t xml:space="preserve">Commerce, Enforcement and Compliance</w:t>
            </w:r>
          </w:p>
        </w:tc>
        <w:tc>
          <w:tcPr>
            <w:tcW w:w="1035" w:type="dxa"/>
          </w:tcPr>
          <w:p>
            <w:pPr>
              <w:pStyle w:val="Compact"/>
              <w:jc w:val="left"/>
            </w:pPr>
            <w:r>
              <w:t xml:space="preserve">US</w:t>
            </w:r>
          </w:p>
        </w:tc>
        <w:tc>
          <w:tcPr>
            <w:tcW w:w="3427" w:type="dxa"/>
          </w:tcPr>
          <w:p>
            <w:pPr>
              <w:pStyle w:val="Compact"/>
              <w:jc w:val="left"/>
            </w:pPr>
            <w:r>
              <w:t xml:space="preserve">AD/CVD orders and scope rulings</w:t>
            </w:r>
          </w:p>
        </w:tc>
        <w:tc>
          <w:tcPr>
            <w:tcW w:w="3402" w:type="dxa"/>
          </w:tcPr>
          <w:p>
            <w:pPr>
              <w:pStyle w:val="Compact"/>
              <w:jc w:val="left"/>
            </w:pPr>
            <w:hyperlink r:id="rId29">
              <w:r>
                <w:rPr>
                  <w:rStyle w:val="Hyperlink"/>
                </w:rPr>
                <w:t xml:space="preserve">https://www.trade.gov/</w:t>
              </w:r>
            </w:hyperlink>
          </w:p>
        </w:tc>
      </w:tr>
      <w:tr>
        <w:tc>
          <w:tcPr>
            <w:tcW w:w="1495" w:type="dxa"/>
          </w:tcPr>
          <w:p>
            <w:pPr>
              <w:pStyle w:val="Compact"/>
              <w:jc w:val="left"/>
            </w:pPr>
            <w:r>
              <w:t xml:space="preserve">Canada Gazette, Part II</w:t>
            </w:r>
          </w:p>
        </w:tc>
        <w:tc>
          <w:tcPr>
            <w:tcW w:w="1035" w:type="dxa"/>
          </w:tcPr>
          <w:p>
            <w:pPr>
              <w:pStyle w:val="Compact"/>
              <w:jc w:val="left"/>
            </w:pPr>
            <w:r>
              <w:t xml:space="preserve">CA</w:t>
            </w:r>
          </w:p>
        </w:tc>
        <w:tc>
          <w:tcPr>
            <w:tcW w:w="3427" w:type="dxa"/>
          </w:tcPr>
          <w:p>
            <w:pPr>
              <w:pStyle w:val="Compact"/>
              <w:jc w:val="left"/>
            </w:pPr>
            <w:r>
              <w:t xml:space="preserve">Surtax and other orders made under the Customs Tariff</w:t>
            </w:r>
          </w:p>
        </w:tc>
        <w:tc>
          <w:tcPr>
            <w:tcW w:w="3402" w:type="dxa"/>
          </w:tcPr>
          <w:p>
            <w:pPr>
              <w:pStyle w:val="Compact"/>
              <w:jc w:val="left"/>
            </w:pPr>
            <w:hyperlink r:id="rId30">
              <w:r>
                <w:rPr>
                  <w:rStyle w:val="Hyperlink"/>
                </w:rPr>
                <w:t xml:space="preserve">https://gazette.gc.ca/</w:t>
              </w:r>
            </w:hyperlink>
          </w:p>
        </w:tc>
      </w:tr>
      <w:tr>
        <w:tc>
          <w:tcPr>
            <w:tcW w:w="1495" w:type="dxa"/>
          </w:tcPr>
          <w:p>
            <w:pPr>
              <w:pStyle w:val="Compact"/>
              <w:jc w:val="left"/>
            </w:pPr>
            <w:r>
              <w:t xml:space="preserve">CBSA Customs Notices</w:t>
            </w:r>
          </w:p>
        </w:tc>
        <w:tc>
          <w:tcPr>
            <w:tcW w:w="1035" w:type="dxa"/>
          </w:tcPr>
          <w:p>
            <w:pPr>
              <w:pStyle w:val="Compact"/>
              <w:jc w:val="left"/>
            </w:pPr>
            <w:r>
              <w:t xml:space="preserve">CA</w:t>
            </w:r>
          </w:p>
        </w:tc>
        <w:tc>
          <w:tcPr>
            <w:tcW w:w="3427" w:type="dxa"/>
          </w:tcPr>
          <w:p>
            <w:pPr>
              <w:pStyle w:val="Compact"/>
              <w:jc w:val="left"/>
            </w:pPr>
            <w:r>
              <w:t xml:space="preserve">How CBSA applies an order; dates and accounting instructions</w:t>
            </w:r>
          </w:p>
        </w:tc>
        <w:tc>
          <w:tcPr>
            <w:tcW w:w="3402" w:type="dxa"/>
          </w:tcPr>
          <w:p>
            <w:pPr>
              <w:pStyle w:val="Compact"/>
              <w:jc w:val="left"/>
            </w:pPr>
            <w:hyperlink r:id="rId31">
              <w:r>
                <w:rPr>
                  <w:rStyle w:val="Hyperlink"/>
                </w:rPr>
                <w:t xml:space="preserve">https://www.cbsa-asfc.gc.ca/publications/cn-ad/menu-eng.html</w:t>
              </w:r>
            </w:hyperlink>
          </w:p>
        </w:tc>
      </w:tr>
      <w:tr>
        <w:tc>
          <w:tcPr>
            <w:tcW w:w="1495" w:type="dxa"/>
          </w:tcPr>
          <w:p>
            <w:pPr>
              <w:pStyle w:val="Compact"/>
              <w:jc w:val="left"/>
            </w:pPr>
            <w:r>
              <w:t xml:space="preserve">CBSA Customs Tariff</w:t>
            </w:r>
          </w:p>
        </w:tc>
        <w:tc>
          <w:tcPr>
            <w:tcW w:w="1035" w:type="dxa"/>
          </w:tcPr>
          <w:p>
            <w:pPr>
              <w:pStyle w:val="Compact"/>
              <w:jc w:val="left"/>
            </w:pPr>
            <w:r>
              <w:t xml:space="preserve">CA</w:t>
            </w:r>
          </w:p>
        </w:tc>
        <w:tc>
          <w:tcPr>
            <w:tcW w:w="3427" w:type="dxa"/>
          </w:tcPr>
          <w:p>
            <w:pPr>
              <w:pStyle w:val="Compact"/>
              <w:jc w:val="left"/>
            </w:pPr>
            <w:r>
              <w:t xml:space="preserve">Departmental consolidation of the Customs Tariff (pick the current year's edition)</w:t>
            </w:r>
          </w:p>
        </w:tc>
        <w:tc>
          <w:tcPr>
            <w:tcW w:w="3402" w:type="dxa"/>
          </w:tcPr>
          <w:p>
            <w:pPr>
              <w:pStyle w:val="Compact"/>
              <w:jc w:val="left"/>
            </w:pPr>
            <w:hyperlink r:id="rId32">
              <w:r>
                <w:rPr>
                  <w:rStyle w:val="Hyperlink"/>
                </w:rPr>
                <w:t xml:space="preserve">https://www.cbsa-asfc.gc.ca/trade-commerce/tariff-tarif/2026/menu-eng.html</w:t>
              </w:r>
            </w:hyperlink>
          </w:p>
        </w:tc>
      </w:tr>
      <w:tr>
        <w:tc>
          <w:tcPr>
            <w:tcW w:w="1495" w:type="dxa"/>
          </w:tcPr>
          <w:p>
            <w:pPr>
              <w:pStyle w:val="Compact"/>
              <w:jc w:val="left"/>
            </w:pPr>
            <w:r>
              <w:t xml:space="preserve">Diario Oficial de la Federación</w:t>
            </w:r>
          </w:p>
        </w:tc>
        <w:tc>
          <w:tcPr>
            <w:tcW w:w="1035" w:type="dxa"/>
          </w:tcPr>
          <w:p>
            <w:pPr>
              <w:pStyle w:val="Compact"/>
              <w:jc w:val="left"/>
            </w:pPr>
            <w:r>
              <w:t xml:space="preserve">MX</w:t>
            </w:r>
          </w:p>
        </w:tc>
        <w:tc>
          <w:tcPr>
            <w:tcW w:w="3427" w:type="dxa"/>
          </w:tcPr>
          <w:p>
            <w:pPr>
              <w:pStyle w:val="Compact"/>
              <w:jc w:val="left"/>
            </w:pPr>
            <w:r>
              <w:t xml:space="preserve">Decrees modifying the TIGIE; AD/CVD resolutions</w:t>
            </w:r>
          </w:p>
        </w:tc>
        <w:tc>
          <w:tcPr>
            <w:tcW w:w="3402" w:type="dxa"/>
          </w:tcPr>
          <w:p>
            <w:pPr>
              <w:pStyle w:val="Compact"/>
              <w:jc w:val="left"/>
            </w:pPr>
            <w:hyperlink r:id="rId33">
              <w:r>
                <w:rPr>
                  <w:rStyle w:val="Hyperlink"/>
                </w:rPr>
                <w:t xml:space="preserve">https://www.dof.gob.mx/</w:t>
              </w:r>
            </w:hyperlink>
          </w:p>
        </w:tc>
      </w:tr>
      <w:tr>
        <w:tc>
          <w:tcPr>
            <w:tcW w:w="1495" w:type="dxa"/>
          </w:tcPr>
          <w:p>
            <w:pPr>
              <w:pStyle w:val="Compact"/>
              <w:jc w:val="left"/>
            </w:pPr>
            <w:r>
              <w:t xml:space="preserve">Secretaría de Economía</w:t>
            </w:r>
          </w:p>
        </w:tc>
        <w:tc>
          <w:tcPr>
            <w:tcW w:w="1035" w:type="dxa"/>
          </w:tcPr>
          <w:p>
            <w:pPr>
              <w:pStyle w:val="Compact"/>
              <w:jc w:val="left"/>
            </w:pPr>
            <w:r>
              <w:t xml:space="preserve">MX</w:t>
            </w:r>
          </w:p>
        </w:tc>
        <w:tc>
          <w:tcPr>
            <w:tcW w:w="3427" w:type="dxa"/>
          </w:tcPr>
          <w:p>
            <w:pPr>
              <w:pStyle w:val="Compact"/>
              <w:jc w:val="left"/>
            </w:pPr>
            <w:r>
              <w:t xml:space="preserve">Trade measures, IMMEX and PROSEC information</w:t>
            </w:r>
          </w:p>
        </w:tc>
        <w:tc>
          <w:tcPr>
            <w:tcW w:w="3402" w:type="dxa"/>
          </w:tcPr>
          <w:p>
            <w:pPr>
              <w:pStyle w:val="Compact"/>
              <w:jc w:val="left"/>
            </w:pPr>
            <w:hyperlink r:id="rId34">
              <w:r>
                <w:rPr>
                  <w:rStyle w:val="Hyperlink"/>
                </w:rPr>
                <w:t xml:space="preserve">https://www.gob.mx/se</w:t>
              </w:r>
            </w:hyperlink>
          </w:p>
        </w:tc>
      </w:tr>
      <w:tr>
        <w:tc>
          <w:tcPr>
            <w:tcW w:w="1495" w:type="dxa"/>
          </w:tcPr>
          <w:p>
            <w:pPr>
              <w:pStyle w:val="Compact"/>
              <w:jc w:val="left"/>
            </w:pPr>
            <w:r>
              <w:t xml:space="preserve">Our broker or agente aduanal</w:t>
            </w:r>
          </w:p>
        </w:tc>
        <w:tc>
          <w:tcPr>
            <w:tcW w:w="1035" w:type="dxa"/>
          </w:tcPr>
          <w:p>
            <w:pPr>
              <w:pStyle w:val="Compact"/>
              <w:jc w:val="left"/>
            </w:pPr>
            <w:r>
              <w:t xml:space="preserve">All</w:t>
            </w:r>
          </w:p>
        </w:tc>
        <w:tc>
          <w:tcPr>
            <w:tcW w:w="3427" w:type="dxa"/>
          </w:tcPr>
          <w:p>
            <w:pPr>
              <w:pStyle w:val="Compact"/>
              <w:jc w:val="left"/>
            </w:pPr>
            <w:r>
              <w:t xml:space="preserve">How they will file it; confirmation of our interpretation. Contact through the Senior (How to fill this in, item 3)</w:t>
            </w:r>
          </w:p>
        </w:tc>
        <w:tc>
          <w:tcPr>
            <w:tcW w:w="3402" w:type="dxa"/>
          </w:tcPr>
          <w:p>
            <w:pPr>
              <w:pStyle w:val="Compact"/>
              <w:jc w:val="left"/>
            </w:pPr>
            <w:r>
              <w:t xml:space="preserve">[COMPANY: broker contacts per country]</w:t>
            </w:r>
          </w:p>
        </w:tc>
      </w:tr>
    </w:tbl>
    <w:bookmarkEnd w:id="35"/>
    <w:bookmarkStart w:id="58" w:name="template"/>
    <w:p>
      <w:pPr>
        <w:pStyle w:val="Heading2"/>
      </w:pPr>
      <w:r>
        <w:t xml:space="preserve">Template</w:t>
      </w:r>
    </w:p>
    <w:bookmarkStart w:id="36" w:name="part-1-header"/>
    <w:p>
      <w:pPr>
        <w:pStyle w:val="Heading3"/>
      </w:pPr>
      <w:r>
        <w:t xml:space="preserve">Part 1: Header</w:t>
      </w:r>
    </w:p>
    <w:tbl>
      <w:tblPr>
        <w:tblStyle w:val="Table"/>
        <w:tblW w:type="dxa" w:w="9360"/>
        <w:tblLook w:firstRow="1" w:lastRow="0" w:firstColumn="0" w:lastColumn="0" w:noHBand="0" w:noVBand="0" w:val="0020"/>
        <w:jc w:val="start"/>
        <w:tblLayout w:type="fixed"/>
      </w:tblPr>
      <w:tblGrid>
        <w:gridCol w:w="2499"/>
        <w:gridCol w:w="6860"/>
      </w:tblGrid>
      <w:tr>
        <w:trPr>
          <w:tblHeader w:val="true"/>
        </w:trPr>
        <w:tc>
          <w:tcPr>
            <w:tcW w:w="2499" w:type="dxa"/>
          </w:tcPr>
          <w:p>
            <w:pPr>
              <w:pStyle w:val="Compact"/>
              <w:jc w:val="left"/>
            </w:pPr>
            <w:r>
              <w:t xml:space="preserve">Field</w:t>
            </w:r>
          </w:p>
        </w:tc>
        <w:tc>
          <w:tcPr>
            <w:tcW w:w="6860" w:type="dxa"/>
          </w:tcPr>
          <w:p>
            <w:pPr>
              <w:pStyle w:val="Compact"/>
              <w:jc w:val="left"/>
            </w:pPr>
            <w:r>
              <w:t xml:space="preserve">Entry</w:t>
            </w:r>
          </w:p>
        </w:tc>
      </w:tr>
      <w:tr>
        <w:tc>
          <w:tcPr>
            <w:tcW w:w="2499" w:type="dxa"/>
          </w:tcPr>
          <w:p>
            <w:pPr>
              <w:pStyle w:val="Compact"/>
              <w:jc w:val="left"/>
            </w:pPr>
            <w:r>
              <w:t xml:space="preserve">Action name</w:t>
            </w:r>
          </w:p>
        </w:tc>
        <w:tc>
          <w:tcPr>
            <w:tcW w:w="6860" w:type="dxa"/>
          </w:tcPr>
          <w:p>
            <w:pPr>
              <w:pStyle w:val="Compact"/>
              <w:jc w:val="left"/>
            </w:pPr>
            <w:r>
              <w:t xml:space="preserve">[Plain-language name: country, product, measure]</w:t>
            </w:r>
          </w:p>
        </w:tc>
      </w:tr>
      <w:tr>
        <w:tc>
          <w:tcPr>
            <w:tcW w:w="2499" w:type="dxa"/>
          </w:tcPr>
          <w:p>
            <w:pPr>
              <w:pStyle w:val="Compact"/>
              <w:jc w:val="left"/>
            </w:pPr>
            <w:r>
              <w:t xml:space="preserve">Action ID</w:t>
            </w:r>
          </w:p>
        </w:tc>
        <w:tc>
          <w:tcPr>
            <w:tcW w:w="6860" w:type="dxa"/>
          </w:tcPr>
          <w:p>
            <w:pPr>
              <w:pStyle w:val="Compact"/>
              <w:jc w:val="left"/>
            </w:pPr>
            <w:r>
              <w:t xml:space="preserve">[TA-country-year-nn, for example TA-US-2027-03. Same ID in the model file name and on its Action tab. The Jira label is tariff-action-[short id] (</w:t>
            </w:r>
            <w:r>
              <w:rPr>
                <w:rStyle w:val="VerbatimChar"/>
              </w:rPr>
              <w:t xml:space="preserve">docs/templates/bsa/07-jira-epic-story.md</w:t>
            </w:r>
            <w:r>
              <w:t xml:space="preserve">): record it here]</w:t>
            </w:r>
          </w:p>
        </w:tc>
      </w:tr>
      <w:tr>
        <w:tc>
          <w:tcPr>
            <w:tcW w:w="2499" w:type="dxa"/>
          </w:tcPr>
          <w:p>
            <w:pPr>
              <w:pStyle w:val="Compact"/>
              <w:jc w:val="left"/>
            </w:pPr>
            <w:r>
              <w:t xml:space="preserve">Brief ID and version</w:t>
            </w:r>
          </w:p>
        </w:tc>
        <w:tc>
          <w:tcPr>
            <w:tcW w:w="6860" w:type="dxa"/>
          </w:tcPr>
          <w:p>
            <w:pPr>
              <w:pStyle w:val="Compact"/>
              <w:jc w:val="left"/>
            </w:pPr>
            <w:r>
              <w:t xml:space="preserve">[TIB-Action ID v0.1]</w:t>
            </w:r>
          </w:p>
        </w:tc>
      </w:tr>
      <w:tr>
        <w:tc>
          <w:tcPr>
            <w:tcW w:w="2499" w:type="dxa"/>
          </w:tcPr>
          <w:p>
            <w:pPr>
              <w:pStyle w:val="Compact"/>
              <w:jc w:val="left"/>
            </w:pPr>
            <w:r>
              <w:t xml:space="preserve">Importing country</w:t>
            </w:r>
          </w:p>
        </w:tc>
        <w:tc>
          <w:tcPr>
            <w:tcW w:w="6860" w:type="dxa"/>
          </w:tcPr>
          <w:p>
            <w:pPr>
              <w:pStyle w:val="Compact"/>
              <w:jc w:val="left"/>
            </w:pPr>
            <w:r>
              <w:t xml:space="preserve">[US, CA or MX]</w:t>
            </w:r>
          </w:p>
        </w:tc>
      </w:tr>
      <w:tr>
        <w:tc>
          <w:tcPr>
            <w:tcW w:w="2499" w:type="dxa"/>
          </w:tcPr>
          <w:p>
            <w:pPr>
              <w:pStyle w:val="Compact"/>
              <w:jc w:val="left"/>
            </w:pPr>
            <w:r>
              <w:t xml:space="preserve">Status</w:t>
            </w:r>
          </w:p>
        </w:tc>
        <w:tc>
          <w:tcPr>
            <w:tcW w:w="6860" w:type="dxa"/>
          </w:tcPr>
          <w:p>
            <w:pPr>
              <w:pStyle w:val="Compact"/>
              <w:jc w:val="left"/>
            </w:pPr>
            <w:r>
              <w:t xml:space="preserve">[Draft, In check, Released v1.0, Superseded]</w:t>
            </w:r>
          </w:p>
        </w:tc>
      </w:tr>
      <w:tr>
        <w:tc>
          <w:tcPr>
            <w:tcW w:w="2499" w:type="dxa"/>
          </w:tcPr>
          <w:p>
            <w:pPr>
              <w:pStyle w:val="Compact"/>
              <w:jc w:val="left"/>
            </w:pPr>
            <w:r>
              <w:t xml:space="preserve">Maker / checker</w:t>
            </w:r>
          </w:p>
        </w:tc>
        <w:tc>
          <w:tcPr>
            <w:tcW w:w="6860" w:type="dxa"/>
          </w:tcPr>
          <w:p>
            <w:pPr>
              <w:pStyle w:val="Compact"/>
              <w:jc w:val="left"/>
            </w:pPr>
            <w:r>
              <w:t xml:space="preserve">[Hire A] / [Senior or Manager]</w:t>
            </w:r>
          </w:p>
        </w:tc>
      </w:tr>
      <w:tr>
        <w:tc>
          <w:tcPr>
            <w:tcW w:w="2499" w:type="dxa"/>
          </w:tcPr>
          <w:p>
            <w:pPr>
              <w:pStyle w:val="Compact"/>
              <w:jc w:val="left"/>
            </w:pPr>
            <w:r>
              <w:t xml:space="preserve">Jira</w:t>
            </w:r>
          </w:p>
        </w:tc>
        <w:tc>
          <w:tcPr>
            <w:tcW w:w="6860" w:type="dxa"/>
          </w:tcPr>
          <w:p>
            <w:pPr>
              <w:pStyle w:val="Compact"/>
              <w:jc w:val="left"/>
            </w:pPr>
            <w:r>
              <w:t xml:space="preserve">[Story key; linked Standard Cost story key]</w:t>
            </w:r>
          </w:p>
        </w:tc>
      </w:tr>
      <w:tr>
        <w:tc>
          <w:tcPr>
            <w:tcW w:w="2499" w:type="dxa"/>
          </w:tcPr>
          <w:p>
            <w:pPr>
              <w:pStyle w:val="Compact"/>
              <w:jc w:val="left"/>
            </w:pPr>
            <w:r>
              <w:t xml:space="preserve">Date received / due</w:t>
            </w:r>
          </w:p>
        </w:tc>
        <w:tc>
          <w:tcPr>
            <w:tcW w:w="6860" w:type="dxa"/>
          </w:tcPr>
          <w:p>
            <w:pPr>
              <w:pStyle w:val="Compact"/>
              <w:jc w:val="left"/>
            </w:pPr>
            <w:r>
              <w:t xml:space="preserve">[Date and time] / [Date and time, and why]</w:t>
            </w:r>
          </w:p>
        </w:tc>
      </w:tr>
      <w:tr>
        <w:tc>
          <w:tcPr>
            <w:tcW w:w="2499" w:type="dxa"/>
          </w:tcPr>
          <w:p>
            <w:pPr>
              <w:pStyle w:val="Compact"/>
              <w:jc w:val="left"/>
            </w:pPr>
            <w:r>
              <w:t xml:space="preserve">Date sources last checked</w:t>
            </w:r>
          </w:p>
        </w:tc>
        <w:tc>
          <w:tcPr>
            <w:tcW w:w="6860" w:type="dxa"/>
          </w:tcPr>
          <w:p>
            <w:pPr>
              <w:pStyle w:val="Compact"/>
              <w:jc w:val="left"/>
            </w:pPr>
            <w:r>
              <w:t xml:space="preserve">[Date and time]</w:t>
            </w:r>
          </w:p>
        </w:tc>
      </w:tr>
    </w:tbl>
    <w:bookmarkEnd w:id="36"/>
    <w:bookmarkStart w:id="37" w:name="part-2-summary-5-lines-no-"/>
    <w:p>
      <w:pPr>
        <w:pStyle w:val="Heading3"/>
      </w:pPr>
      <w:r>
        <w:t xml:space="preserve">Part 2: Summary (5 lines, no $)</w:t>
      </w:r>
    </w:p>
    <w:p>
      <w:pPr>
        <w:pStyle w:val="FirstParagraph"/>
      </w:pPr>
      <w:r>
        <w:t xml:space="preserve">[1. What: the measure in one sentence. 2. Who: origins and products. 3. From when, and until when. 4. Rate and how it combines with existing duties. 5. Our exposure: number of candidate and in-scope items, and the open questions that could change that.]</w:t>
      </w:r>
    </w:p>
    <w:bookmarkEnd w:id="37"/>
    <w:bookmarkStart w:id="38" w:name="part-3-legal-authority"/>
    <w:p>
      <w:pPr>
        <w:pStyle w:val="Heading3"/>
      </w:pPr>
      <w:r>
        <w:t xml:space="preserve">Part 3: Legal authority</w:t>
      </w:r>
    </w:p>
    <w:tbl>
      <w:tblPr>
        <w:tblStyle w:val="Table"/>
        <w:tblW w:type="dxa" w:w="9360"/>
        <w:tblLook w:firstRow="1" w:lastRow="0" w:firstColumn="0" w:lastColumn="0" w:noHBand="0" w:noVBand="0" w:val="0020"/>
        <w:jc w:val="start"/>
        <w:tblLayout w:type="fixed"/>
      </w:tblPr>
      <w:tblGrid>
        <w:gridCol w:w="2128"/>
        <w:gridCol w:w="7231"/>
      </w:tblGrid>
      <w:tr>
        <w:trPr>
          <w:tblHeader w:val="true"/>
        </w:trPr>
        <w:tc>
          <w:tcPr>
            <w:tcW w:w="2128" w:type="dxa"/>
          </w:tcPr>
          <w:p>
            <w:pPr>
              <w:pStyle w:val="Compact"/>
              <w:jc w:val="left"/>
            </w:pPr>
            <w:r>
              <w:t xml:space="preserve">Field</w:t>
            </w:r>
          </w:p>
        </w:tc>
        <w:tc>
          <w:tcPr>
            <w:tcW w:w="7231" w:type="dxa"/>
          </w:tcPr>
          <w:p>
            <w:pPr>
              <w:pStyle w:val="Compact"/>
              <w:jc w:val="left"/>
            </w:pPr>
            <w:r>
              <w:t xml:space="preserve">Entry</w:t>
            </w:r>
          </w:p>
        </w:tc>
      </w:tr>
      <w:tr>
        <w:tc>
          <w:tcPr>
            <w:tcW w:w="2128" w:type="dxa"/>
          </w:tcPr>
          <w:p>
            <w:pPr>
              <w:pStyle w:val="Compact"/>
              <w:jc w:val="left"/>
            </w:pPr>
            <w:r>
              <w:t xml:space="preserve">Category</w:t>
            </w:r>
          </w:p>
        </w:tc>
        <w:tc>
          <w:tcPr>
            <w:tcW w:w="7231" w:type="dxa"/>
          </w:tcPr>
          <w:p>
            <w:pPr>
              <w:pStyle w:val="Compact"/>
              <w:jc w:val="left"/>
            </w:pPr>
            <w:r>
              <w:t xml:space="preserve">[Section 232, Section 301, Section 201, Section 122, Section 338, IEEPA, AD/CVD, Canada surtax order, Mexican decree (DOF), other]</w:t>
            </w:r>
          </w:p>
        </w:tc>
      </w:tr>
      <w:tr>
        <w:tc>
          <w:tcPr>
            <w:tcW w:w="2128" w:type="dxa"/>
          </w:tcPr>
          <w:p>
            <w:pPr>
              <w:pStyle w:val="Compact"/>
              <w:jc w:val="left"/>
            </w:pPr>
            <w:r>
              <w:t xml:space="preserve">Instrument</w:t>
            </w:r>
          </w:p>
        </w:tc>
        <w:tc>
          <w:tcPr>
            <w:tcW w:w="7231" w:type="dxa"/>
          </w:tcPr>
          <w:p>
            <w:pPr>
              <w:pStyle w:val="Compact"/>
              <w:jc w:val="left"/>
            </w:pPr>
            <w:r>
              <w:t xml:space="preserve">[Proclamation, executive order, notice of action, order, decree; number and date]</w:t>
            </w:r>
          </w:p>
        </w:tc>
      </w:tr>
      <w:tr>
        <w:tc>
          <w:tcPr>
            <w:tcW w:w="2128" w:type="dxa"/>
          </w:tcPr>
          <w:p>
            <w:pPr>
              <w:pStyle w:val="Compact"/>
              <w:jc w:val="left"/>
            </w:pPr>
            <w:r>
              <w:t xml:space="preserve">Issuing authority</w:t>
            </w:r>
          </w:p>
        </w:tc>
        <w:tc>
          <w:tcPr>
            <w:tcW w:w="7231" w:type="dxa"/>
          </w:tcPr>
          <w:p>
            <w:pPr>
              <w:pStyle w:val="Compact"/>
              <w:jc w:val="left"/>
            </w:pPr>
            <w:r>
              <w:t xml:space="preserve">[President, USTR, Commerce, Governor in Council, Secretaría de Economía, ...]</w:t>
            </w:r>
          </w:p>
        </w:tc>
      </w:tr>
      <w:tr>
        <w:tc>
          <w:tcPr>
            <w:tcW w:w="2128" w:type="dxa"/>
          </w:tcPr>
          <w:p>
            <w:pPr>
              <w:pStyle w:val="Compact"/>
              <w:jc w:val="left"/>
            </w:pPr>
            <w:r>
              <w:t xml:space="preserve">Related earlier actions</w:t>
            </w:r>
          </w:p>
        </w:tc>
        <w:tc>
          <w:tcPr>
            <w:tcW w:w="7231" w:type="dxa"/>
          </w:tcPr>
          <w:p>
            <w:pPr>
              <w:pStyle w:val="Compact"/>
              <w:jc w:val="left"/>
            </w:pPr>
            <w:r>
              <w:t xml:space="preserve">[Earlier actions on the same goods, with their brief IDs]</w:t>
            </w:r>
          </w:p>
        </w:tc>
      </w:tr>
    </w:tbl>
    <w:bookmarkEnd w:id="38"/>
    <w:bookmarkStart w:id="39" w:name="part-4-source-documents"/>
    <w:p>
      <w:pPr>
        <w:pStyle w:val="Heading3"/>
      </w:pPr>
      <w:r>
        <w:t xml:space="preserve">Part 4: Source documents</w:t>
      </w:r>
    </w:p>
    <w:tbl>
      <w:tblPr>
        <w:tblStyle w:val="Table"/>
        <w:tblW w:type="dxa" w:w="9360"/>
        <w:tblLook w:firstRow="1" w:lastRow="0" w:firstColumn="0" w:lastColumn="0" w:noHBand="0" w:noVBand="0" w:val="0020"/>
        <w:jc w:val="start"/>
        <w:tblLayout w:type="fixed"/>
      </w:tblPr>
      <w:tblGrid>
        <w:gridCol w:w="900"/>
        <w:gridCol w:w="4090"/>
        <w:gridCol w:w="1380"/>
        <w:gridCol w:w="1265"/>
        <w:gridCol w:w="1725"/>
      </w:tblGrid>
      <w:tr>
        <w:trPr>
          <w:tblHeader w:val="true"/>
        </w:trPr>
        <w:tc>
          <w:tcPr>
            <w:tcW w:w="900" w:type="dxa"/>
          </w:tcPr>
          <w:p>
            <w:pPr>
              <w:pStyle w:val="Compact"/>
              <w:jc w:val="left"/>
            </w:pPr>
            <w:r>
              <w:t xml:space="preserve">ID</w:t>
            </w:r>
          </w:p>
        </w:tc>
        <w:tc>
          <w:tcPr>
            <w:tcW w:w="4090" w:type="dxa"/>
          </w:tcPr>
          <w:p>
            <w:pPr>
              <w:pStyle w:val="Compact"/>
              <w:jc w:val="left"/>
            </w:pPr>
            <w:r>
              <w:t xml:space="preserve">Document</w:t>
            </w:r>
          </w:p>
        </w:tc>
        <w:tc>
          <w:tcPr>
            <w:tcW w:w="1380" w:type="dxa"/>
          </w:tcPr>
          <w:p>
            <w:pPr>
              <w:pStyle w:val="Compact"/>
              <w:jc w:val="left"/>
            </w:pPr>
            <w:r>
              <w:t xml:space="preserve">Date published</w:t>
            </w:r>
          </w:p>
        </w:tc>
        <w:tc>
          <w:tcPr>
            <w:tcW w:w="1265" w:type="dxa"/>
          </w:tcPr>
          <w:p>
            <w:pPr>
              <w:pStyle w:val="Compact"/>
              <w:jc w:val="left"/>
            </w:pPr>
            <w:r>
              <w:t xml:space="preserve">Link or location</w:t>
            </w:r>
          </w:p>
        </w:tc>
        <w:tc>
          <w:tcPr>
            <w:tcW w:w="1725" w:type="dxa"/>
          </w:tcPr>
          <w:p>
            <w:pPr>
              <w:pStyle w:val="Compact"/>
              <w:jc w:val="left"/>
            </w:pPr>
            <w:r>
              <w:t xml:space="preserve">What it is used for</w:t>
            </w:r>
          </w:p>
        </w:tc>
      </w:tr>
      <w:tr>
        <w:tc>
          <w:tcPr>
            <w:tcW w:w="900" w:type="dxa"/>
          </w:tcPr>
          <w:p>
            <w:pPr>
              <w:pStyle w:val="Compact"/>
              <w:jc w:val="left"/>
            </w:pPr>
            <w:r>
              <w:t xml:space="preserve">S1</w:t>
            </w:r>
          </w:p>
        </w:tc>
        <w:tc>
          <w:tcPr>
            <w:tcW w:w="4090" w:type="dxa"/>
          </w:tcPr>
          <w:p>
            <w:pPr>
              <w:pStyle w:val="Compact"/>
              <w:jc w:val="left"/>
            </w:pPr>
            <w:r>
              <w:t xml:space="preserve">[Federal Register notice 91 FR [page], or Canada Gazette SOR/[year-number], or DOF decree of [date]]</w:t>
            </w:r>
          </w:p>
        </w:tc>
        <w:tc>
          <w:tcPr>
            <w:tcW w:w="1380" w:type="dxa"/>
          </w:tcPr>
          <w:p>
            <w:pPr>
              <w:pStyle w:val="Compact"/>
              <w:jc w:val="left"/>
            </w:pPr>
            <w:r>
              <w:t xml:space="preserve">[Date]</w:t>
            </w:r>
          </w:p>
        </w:tc>
        <w:tc>
          <w:tcPr>
            <w:tcW w:w="1265" w:type="dxa"/>
          </w:tcPr>
          <w:p>
            <w:pPr>
              <w:pStyle w:val="Compact"/>
              <w:jc w:val="left"/>
            </w:pPr>
            <w:r>
              <w:t xml:space="preserve">[URL]</w:t>
            </w:r>
          </w:p>
        </w:tc>
        <w:tc>
          <w:tcPr>
            <w:tcW w:w="1725" w:type="dxa"/>
          </w:tcPr>
          <w:p>
            <w:pPr>
              <w:pStyle w:val="Compact"/>
              <w:jc w:val="left"/>
            </w:pPr>
            <w:r>
              <w:t xml:space="preserve">[Legal text, annexes]</w:t>
            </w:r>
          </w:p>
        </w:tc>
      </w:tr>
      <w:tr>
        <w:tc>
          <w:tcPr>
            <w:tcW w:w="900" w:type="dxa"/>
          </w:tcPr>
          <w:p>
            <w:pPr>
              <w:pStyle w:val="Compact"/>
              <w:jc w:val="left"/>
            </w:pPr>
            <w:r>
              <w:t xml:space="preserve">S2</w:t>
            </w:r>
          </w:p>
        </w:tc>
        <w:tc>
          <w:tcPr>
            <w:tcW w:w="4090" w:type="dxa"/>
          </w:tcPr>
          <w:p>
            <w:pPr>
              <w:pStyle w:val="Compact"/>
              <w:jc w:val="left"/>
            </w:pPr>
            <w:r>
              <w:t xml:space="preserve">[CBP CSMS #[number], or CBSA Customs Notice [number]]</w:t>
            </w:r>
          </w:p>
        </w:tc>
        <w:tc>
          <w:tcPr>
            <w:tcW w:w="1380" w:type="dxa"/>
          </w:tcPr>
          <w:p>
            <w:pPr>
              <w:pStyle w:val="Compact"/>
              <w:jc w:val="left"/>
            </w:pPr>
            <w:r>
              <w:t xml:space="preserve">[Date]</w:t>
            </w:r>
          </w:p>
        </w:tc>
        <w:tc>
          <w:tcPr>
            <w:tcW w:w="1265" w:type="dxa"/>
          </w:tcPr>
          <w:p>
            <w:pPr>
              <w:pStyle w:val="Compact"/>
              <w:jc w:val="left"/>
            </w:pPr>
            <w:r>
              <w:t xml:space="preserve">[URL]</w:t>
            </w:r>
          </w:p>
        </w:tc>
        <w:tc>
          <w:tcPr>
            <w:tcW w:w="1725" w:type="dxa"/>
          </w:tcPr>
          <w:p>
            <w:pPr>
              <w:pStyle w:val="Compact"/>
              <w:jc w:val="left"/>
            </w:pPr>
            <w:r>
              <w:t xml:space="preserve">[Filing guidance]</w:t>
            </w:r>
          </w:p>
        </w:tc>
      </w:tr>
      <w:tr>
        <w:tc>
          <w:tcPr>
            <w:tcW w:w="900" w:type="dxa"/>
          </w:tcPr>
          <w:p>
            <w:pPr>
              <w:pStyle w:val="Compact"/>
              <w:jc w:val="left"/>
            </w:pPr>
            <w:r>
              <w:t xml:space="preserve">S3</w:t>
            </w:r>
          </w:p>
        </w:tc>
        <w:tc>
          <w:tcPr>
            <w:tcW w:w="4090" w:type="dxa"/>
          </w:tcPr>
          <w:p>
            <w:pPr>
              <w:pStyle w:val="Compact"/>
              <w:jc w:val="left"/>
            </w:pPr>
            <w:r>
              <w:t xml:space="preserve">[HTSUS Chapter 99 heading 9903.[xx.xx] and U.S. note]</w:t>
            </w:r>
          </w:p>
        </w:tc>
        <w:tc>
          <w:tcPr>
            <w:tcW w:w="1380" w:type="dxa"/>
          </w:tcPr>
          <w:p>
            <w:pPr>
              <w:pStyle w:val="Compact"/>
              <w:jc w:val="left"/>
            </w:pPr>
            <w:r>
              <w:t xml:space="preserve">[Revision]</w:t>
            </w:r>
          </w:p>
        </w:tc>
        <w:tc>
          <w:tcPr>
            <w:tcW w:w="1265" w:type="dxa"/>
          </w:tcPr>
          <w:p>
            <w:pPr>
              <w:pStyle w:val="Compact"/>
              <w:jc w:val="left"/>
            </w:pPr>
            <w:r>
              <w:t xml:space="preserve">[URL]</w:t>
            </w:r>
          </w:p>
        </w:tc>
        <w:tc>
          <w:tcPr>
            <w:tcW w:w="1725" w:type="dxa"/>
          </w:tcPr>
          <w:p>
            <w:pPr>
              <w:pStyle w:val="Compact"/>
              <w:jc w:val="left"/>
            </w:pPr>
            <w:r>
              <w:t xml:space="preserve">[Heading text and rate]</w:t>
            </w:r>
          </w:p>
        </w:tc>
      </w:tr>
      <w:tr>
        <w:tc>
          <w:tcPr>
            <w:tcW w:w="900" w:type="dxa"/>
          </w:tcPr>
          <w:p>
            <w:pPr>
              <w:pStyle w:val="Compact"/>
              <w:jc w:val="left"/>
            </w:pPr>
            <w:r>
              <w:t xml:space="preserve">S4</w:t>
            </w:r>
          </w:p>
        </w:tc>
        <w:tc>
          <w:tcPr>
            <w:tcW w:w="4090" w:type="dxa"/>
          </w:tcPr>
          <w:p>
            <w:pPr>
              <w:pStyle w:val="Compact"/>
              <w:jc w:val="left"/>
            </w:pPr>
            <w:r>
              <w:t xml:space="preserve">[Broker or counsel confirmation]</w:t>
            </w:r>
          </w:p>
        </w:tc>
        <w:tc>
          <w:tcPr>
            <w:tcW w:w="1380" w:type="dxa"/>
          </w:tcPr>
          <w:p>
            <w:pPr>
              <w:pStyle w:val="Compact"/>
              <w:jc w:val="left"/>
            </w:pPr>
            <w:r>
              <w:t xml:space="preserve">[Date]</w:t>
            </w:r>
          </w:p>
        </w:tc>
        <w:tc>
          <w:tcPr>
            <w:tcW w:w="1265" w:type="dxa"/>
          </w:tcPr>
          <w:p>
            <w:pPr>
              <w:pStyle w:val="Compact"/>
              <w:jc w:val="left"/>
            </w:pPr>
            <w:r>
              <w:t xml:space="preserve">[COMPANY: where emails are filed]</w:t>
            </w:r>
          </w:p>
        </w:tc>
        <w:tc>
          <w:tcPr>
            <w:tcW w:w="1725" w:type="dxa"/>
          </w:tcPr>
          <w:p>
            <w:pPr>
              <w:pStyle w:val="Compact"/>
              <w:jc w:val="left"/>
            </w:pPr>
            <w:r>
              <w:t xml:space="preserve">[Confirmation of Part 8 items]</w:t>
            </w:r>
          </w:p>
        </w:tc>
      </w:tr>
    </w:tbl>
    <w:bookmarkEnd w:id="39"/>
    <w:bookmarkStart w:id="40" w:name="part-5-timing"/>
    <w:p>
      <w:pPr>
        <w:pStyle w:val="Heading3"/>
      </w:pPr>
      <w:r>
        <w:t xml:space="preserve">Part 5: Timing</w:t>
      </w:r>
    </w:p>
    <w:tbl>
      <w:tblPr>
        <w:tblStyle w:val="Table"/>
        <w:tblW w:type="dxa" w:w="9360"/>
        <w:tblLook w:firstRow="1" w:lastRow="0" w:firstColumn="0" w:lastColumn="0" w:noHBand="0" w:noVBand="0" w:val="0020"/>
        <w:jc w:val="start"/>
        <w:tblLayout w:type="fixed"/>
      </w:tblPr>
      <w:tblGrid>
        <w:gridCol w:w="2721"/>
        <w:gridCol w:w="5703"/>
        <w:gridCol w:w="934"/>
      </w:tblGrid>
      <w:tr>
        <w:trPr>
          <w:tblHeader w:val="true"/>
        </w:trPr>
        <w:tc>
          <w:tcPr>
            <w:tcW w:w="2721" w:type="dxa"/>
          </w:tcPr>
          <w:p>
            <w:pPr>
              <w:pStyle w:val="Compact"/>
              <w:jc w:val="left"/>
            </w:pPr>
            <w:r>
              <w:t xml:space="preserve">Field</w:t>
            </w:r>
          </w:p>
        </w:tc>
        <w:tc>
          <w:tcPr>
            <w:tcW w:w="5703" w:type="dxa"/>
          </w:tcPr>
          <w:p>
            <w:pPr>
              <w:pStyle w:val="Compact"/>
              <w:jc w:val="left"/>
            </w:pPr>
            <w:r>
              <w:t xml:space="preserve">Entry</w:t>
            </w:r>
          </w:p>
        </w:tc>
        <w:tc>
          <w:tcPr>
            <w:tcW w:w="934" w:type="dxa"/>
          </w:tcPr>
          <w:p>
            <w:pPr>
              <w:pStyle w:val="Compact"/>
              <w:jc w:val="left"/>
            </w:pPr>
            <w:r>
              <w:t xml:space="preserve">Source</w:t>
            </w:r>
          </w:p>
        </w:tc>
      </w:tr>
      <w:tr>
        <w:tc>
          <w:tcPr>
            <w:tcW w:w="2721" w:type="dxa"/>
          </w:tcPr>
          <w:p>
            <w:pPr>
              <w:pStyle w:val="Compact"/>
              <w:jc w:val="left"/>
            </w:pPr>
            <w:r>
              <w:t xml:space="preserve">Effective date and time</w:t>
            </w:r>
          </w:p>
        </w:tc>
        <w:tc>
          <w:tcPr>
            <w:tcW w:w="5703" w:type="dxa"/>
          </w:tcPr>
          <w:p>
            <w:pPr>
              <w:pStyle w:val="Compact"/>
              <w:jc w:val="left"/>
            </w:pPr>
            <w:r>
              <w:t xml:space="preserve">[Date, time, time zone]</w:t>
            </w:r>
          </w:p>
        </w:tc>
        <w:tc>
          <w:tcPr>
            <w:tcW w:w="934" w:type="dxa"/>
          </w:tcPr>
          <w:p>
            <w:pPr>
              <w:pStyle w:val="Compact"/>
              <w:jc w:val="left"/>
            </w:pPr>
            <w:r>
              <w:t xml:space="preserve">[S#]</w:t>
            </w:r>
          </w:p>
        </w:tc>
      </w:tr>
      <w:tr>
        <w:tc>
          <w:tcPr>
            <w:tcW w:w="2721" w:type="dxa"/>
          </w:tcPr>
          <w:p>
            <w:pPr>
              <w:pStyle w:val="Compact"/>
              <w:jc w:val="left"/>
            </w:pPr>
            <w:r>
              <w:t xml:space="preserve">Basis (quote the words)</w:t>
            </w:r>
          </w:p>
        </w:tc>
        <w:tc>
          <w:tcPr>
            <w:tcW w:w="5703" w:type="dxa"/>
          </w:tcPr>
          <w:p>
            <w:pPr>
              <w:pStyle w:val="Compact"/>
              <w:jc w:val="left"/>
            </w:pPr>
            <w:r>
              <w:t xml:space="preserve">["entered for consumption, or withdrawn from warehouse for consumption, on or after ..." / "imported into Canada on or after ..." / decree transitory article]</w:t>
            </w:r>
          </w:p>
        </w:tc>
        <w:tc>
          <w:tcPr>
            <w:tcW w:w="934" w:type="dxa"/>
          </w:tcPr>
          <w:p>
            <w:pPr>
              <w:pStyle w:val="Compact"/>
              <w:jc w:val="left"/>
            </w:pPr>
            <w:r>
              <w:t xml:space="preserve">[S#]</w:t>
            </w:r>
          </w:p>
        </w:tc>
      </w:tr>
      <w:tr>
        <w:tc>
          <w:tcPr>
            <w:tcW w:w="2721" w:type="dxa"/>
          </w:tcPr>
          <w:p>
            <w:pPr>
              <w:pStyle w:val="Compact"/>
              <w:jc w:val="left"/>
            </w:pPr>
            <w:r>
              <w:t xml:space="preserve">In-transit provision</w:t>
            </w:r>
          </w:p>
        </w:tc>
        <w:tc>
          <w:tcPr>
            <w:tcW w:w="5703" w:type="dxa"/>
          </w:tcPr>
          <w:p>
            <w:pPr>
              <w:pStyle w:val="Compact"/>
              <w:jc w:val="left"/>
            </w:pPr>
            <w:r>
              <w:t xml:space="preserve">[Quote; both dates; how it is claimed]</w:t>
            </w:r>
          </w:p>
        </w:tc>
        <w:tc>
          <w:tcPr>
            <w:tcW w:w="934" w:type="dxa"/>
          </w:tcPr>
          <w:p>
            <w:pPr>
              <w:pStyle w:val="Compact"/>
              <w:jc w:val="left"/>
            </w:pPr>
            <w:r>
              <w:t xml:space="preserve">[S#]</w:t>
            </w:r>
          </w:p>
        </w:tc>
      </w:tr>
      <w:tr>
        <w:tc>
          <w:tcPr>
            <w:tcW w:w="2721" w:type="dxa"/>
          </w:tcPr>
          <w:p>
            <w:pPr>
              <w:pStyle w:val="Compact"/>
              <w:jc w:val="left"/>
            </w:pPr>
            <w:r>
              <w:t xml:space="preserve">End date, sunset or review date</w:t>
            </w:r>
          </w:p>
        </w:tc>
        <w:tc>
          <w:tcPr>
            <w:tcW w:w="5703" w:type="dxa"/>
          </w:tcPr>
          <w:p>
            <w:pPr>
              <w:pStyle w:val="Compact"/>
              <w:jc w:val="left"/>
            </w:pPr>
            <w:r>
              <w:t xml:space="preserve">[Date, or "none stated"]</w:t>
            </w:r>
          </w:p>
        </w:tc>
        <w:tc>
          <w:tcPr>
            <w:tcW w:w="934" w:type="dxa"/>
          </w:tcPr>
          <w:p>
            <w:pPr>
              <w:pStyle w:val="Compact"/>
              <w:jc w:val="left"/>
            </w:pPr>
            <w:r>
              <w:t xml:space="preserve">[S#]</w:t>
            </w:r>
          </w:p>
        </w:tc>
      </w:tr>
      <w:tr>
        <w:tc>
          <w:tcPr>
            <w:tcW w:w="2721" w:type="dxa"/>
          </w:tcPr>
          <w:p>
            <w:pPr>
              <w:pStyle w:val="Compact"/>
              <w:jc w:val="left"/>
            </w:pPr>
            <w:r>
              <w:t xml:space="preserve">Step changes or quotas</w:t>
            </w:r>
          </w:p>
        </w:tc>
        <w:tc>
          <w:tcPr>
            <w:tcW w:w="5703" w:type="dxa"/>
          </w:tcPr>
          <w:p>
            <w:pPr>
              <w:pStyle w:val="Compact"/>
              <w:jc w:val="left"/>
            </w:pPr>
            <w:r>
              <w:t xml:space="preserve">[Dates and triggers, or "none"]</w:t>
            </w:r>
          </w:p>
        </w:tc>
        <w:tc>
          <w:tcPr>
            <w:tcW w:w="934" w:type="dxa"/>
          </w:tcPr>
          <w:p>
            <w:pPr>
              <w:pStyle w:val="Compact"/>
              <w:jc w:val="left"/>
            </w:pPr>
            <w:r>
              <w:t xml:space="preserve">[S#]</w:t>
            </w:r>
          </w:p>
        </w:tc>
      </w:tr>
      <w:tr>
        <w:tc>
          <w:tcPr>
            <w:tcW w:w="2721" w:type="dxa"/>
          </w:tcPr>
          <w:p>
            <w:pPr>
              <w:pStyle w:val="Compact"/>
              <w:jc w:val="left"/>
            </w:pPr>
            <w:r>
              <w:t xml:space="preserve">Retroactivity or refunds</w:t>
            </w:r>
          </w:p>
        </w:tc>
        <w:tc>
          <w:tcPr>
            <w:tcW w:w="5703" w:type="dxa"/>
          </w:tcPr>
          <w:p>
            <w:pPr>
              <w:pStyle w:val="Compact"/>
              <w:jc w:val="left"/>
            </w:pPr>
            <w:r>
              <w:t xml:space="preserve">[Any retroactive date or refund mechanism, or "none"]</w:t>
            </w:r>
          </w:p>
        </w:tc>
        <w:tc>
          <w:tcPr>
            <w:tcW w:w="934" w:type="dxa"/>
          </w:tcPr>
          <w:p>
            <w:pPr>
              <w:pStyle w:val="Compact"/>
              <w:jc w:val="left"/>
            </w:pPr>
            <w:r>
              <w:t xml:space="preserve">[S#]</w:t>
            </w:r>
          </w:p>
        </w:tc>
      </w:tr>
      <w:tr>
        <w:tc>
          <w:tcPr>
            <w:tcW w:w="2721" w:type="dxa"/>
          </w:tcPr>
          <w:p>
            <w:pPr>
              <w:pStyle w:val="Compact"/>
              <w:jc w:val="left"/>
            </w:pPr>
            <w:r>
              <w:t xml:space="preserve">Exclusion or inclusion request process</w:t>
            </w:r>
          </w:p>
        </w:tc>
        <w:tc>
          <w:tcPr>
            <w:tcW w:w="5703" w:type="dxa"/>
          </w:tcPr>
          <w:p>
            <w:pPr>
              <w:pStyle w:val="Compact"/>
              <w:jc w:val="left"/>
            </w:pPr>
            <w:r>
              <w:t xml:space="preserve">[Who may request; docket or portal; deadline; expected decision time; or "none"]</w:t>
            </w:r>
          </w:p>
        </w:tc>
        <w:tc>
          <w:tcPr>
            <w:tcW w:w="934" w:type="dxa"/>
          </w:tcPr>
          <w:p>
            <w:pPr>
              <w:pStyle w:val="Compact"/>
              <w:jc w:val="left"/>
            </w:pPr>
            <w:r>
              <w:t xml:space="preserve">[S#]</w:t>
            </w:r>
          </w:p>
        </w:tc>
      </w:tr>
    </w:tbl>
    <w:bookmarkEnd w:id="40"/>
    <w:bookmarkStart w:id="50" w:name="part-6-scope"/>
    <w:p>
      <w:pPr>
        <w:pStyle w:val="Heading3"/>
      </w:pPr>
      <w:r>
        <w:t xml:space="preserve">Part 6: Scope</w:t>
      </w:r>
    </w:p>
    <w:bookmarkStart w:id="41" w:name="X86d92f1e45e085924abfacc8045703f3a5e7755"/>
    <w:p>
      <w:pPr>
        <w:pStyle w:val="Heading4"/>
      </w:pPr>
      <w:r>
        <w:t xml:space="preserve">6.1 HTS and Chapter 99 headings</w:t>
      </w:r>
    </w:p>
    <w:tbl>
      <w:tblPr>
        <w:tblStyle w:val="Table"/>
        <w:tblW w:type="dxa" w:w="9360"/>
        <w:tblLook w:firstRow="1" w:lastRow="0" w:firstColumn="0" w:lastColumn="0" w:noHBand="0" w:noVBand="0" w:val="0020"/>
        <w:jc w:val="start"/>
        <w:tblLayout w:type="fixed"/>
      </w:tblPr>
      <w:tblGrid>
        <w:gridCol w:w="2411"/>
        <w:gridCol w:w="1150"/>
        <w:gridCol w:w="2971"/>
        <w:gridCol w:w="920"/>
        <w:gridCol w:w="1906"/>
      </w:tblGrid>
      <w:tr>
        <w:trPr>
          <w:tblHeader w:val="true"/>
        </w:trPr>
        <w:tc>
          <w:tcPr>
            <w:tcW w:w="2411" w:type="dxa"/>
          </w:tcPr>
          <w:p>
            <w:pPr>
              <w:pStyle w:val="Compact"/>
              <w:jc w:val="left"/>
            </w:pPr>
            <w:r>
              <w:t xml:space="preserve">Chapter 99 heading (or tariff item, or fracción)</w:t>
            </w:r>
          </w:p>
        </w:tc>
        <w:tc>
          <w:tcPr>
            <w:tcW w:w="1150" w:type="dxa"/>
          </w:tcPr>
          <w:p>
            <w:pPr>
              <w:pStyle w:val="Compact"/>
              <w:jc w:val="left"/>
            </w:pPr>
            <w:r>
              <w:t xml:space="preserve">What it covers</w:t>
            </w:r>
          </w:p>
        </w:tc>
        <w:tc>
          <w:tcPr>
            <w:tcW w:w="2971" w:type="dxa"/>
          </w:tcPr>
          <w:p>
            <w:pPr>
              <w:pStyle w:val="Compact"/>
              <w:jc w:val="left"/>
            </w:pPr>
            <w:r>
              <w:t xml:space="preserve">Covered HTS numbers or list</w:t>
            </w:r>
          </w:p>
        </w:tc>
        <w:tc>
          <w:tcPr>
            <w:tcW w:w="920" w:type="dxa"/>
          </w:tcPr>
          <w:p>
            <w:pPr>
              <w:pStyle w:val="Compact"/>
              <w:jc w:val="left"/>
            </w:pPr>
            <w:r>
              <w:t xml:space="preserve">Source</w:t>
            </w:r>
          </w:p>
        </w:tc>
        <w:tc>
          <w:tcPr>
            <w:tcW w:w="1906" w:type="dxa"/>
          </w:tcPr>
          <w:p>
            <w:pPr>
              <w:pStyle w:val="Compact"/>
              <w:jc w:val="left"/>
            </w:pPr>
            <w:r>
              <w:t xml:space="preserve">Notes</w:t>
            </w:r>
          </w:p>
        </w:tc>
      </w:tr>
      <w:tr>
        <w:tc>
          <w:tcPr>
            <w:tcW w:w="2411" w:type="dxa"/>
          </w:tcPr>
          <w:p>
            <w:pPr>
              <w:pStyle w:val="Compact"/>
              <w:jc w:val="left"/>
            </w:pPr>
            <w:r>
              <w:t xml:space="preserve">[9903.xx.xx]</w:t>
            </w:r>
          </w:p>
        </w:tc>
        <w:tc>
          <w:tcPr>
            <w:tcW w:w="1150" w:type="dxa"/>
          </w:tcPr>
          <w:p>
            <w:pPr>
              <w:pStyle w:val="Compact"/>
              <w:jc w:val="left"/>
            </w:pPr>
            <w:r>
              <w:t xml:space="preserve">[Heading text]</w:t>
            </w:r>
          </w:p>
        </w:tc>
        <w:tc>
          <w:tcPr>
            <w:tcW w:w="2971" w:type="dxa"/>
          </w:tcPr>
          <w:p>
            <w:pPr>
              <w:pStyle w:val="Compact"/>
              <w:jc w:val="left"/>
            </w:pPr>
            <w:r>
              <w:t xml:space="preserve">[Annex list, attached as a text file; number of lines]</w:t>
            </w:r>
          </w:p>
        </w:tc>
        <w:tc>
          <w:tcPr>
            <w:tcW w:w="920" w:type="dxa"/>
          </w:tcPr>
          <w:p>
            <w:pPr>
              <w:pStyle w:val="Compact"/>
              <w:jc w:val="left"/>
            </w:pPr>
            <w:r>
              <w:t xml:space="preserve">[S#]</w:t>
            </w:r>
          </w:p>
        </w:tc>
        <w:tc>
          <w:tcPr>
            <w:tcW w:w="1906" w:type="dxa"/>
          </w:tcPr>
          <w:p>
            <w:pPr>
              <w:pStyle w:val="Compact"/>
              <w:jc w:val="left"/>
            </w:pPr>
            <w:r>
              <w:t xml:space="preserve">[Digit level of the list: 4, 6, 8 or 10]</w:t>
            </w:r>
          </w:p>
        </w:tc>
      </w:tr>
    </w:tbl>
    <w:bookmarkEnd w:id="41"/>
    <w:bookmarkStart w:id="42" w:name="X5222c40795c43a4c317197ded1670546196feed"/>
    <w:p>
      <w:pPr>
        <w:pStyle w:val="Heading4"/>
      </w:pPr>
      <w:r>
        <w:t xml:space="preserve">6.2 Countries of origin</w:t>
      </w:r>
    </w:p>
    <w:tbl>
      <w:tblPr>
        <w:tblStyle w:val="Table"/>
        <w:tblW w:type="dxa" w:w="9360"/>
        <w:tblLook w:firstRow="1" w:lastRow="0" w:firstColumn="0" w:lastColumn="0" w:noHBand="0" w:noVBand="0" w:val="0020"/>
        <w:jc w:val="start"/>
        <w:tblLayout w:type="fixed"/>
      </w:tblPr>
      <w:tblGrid>
        <w:gridCol w:w="1322"/>
        <w:gridCol w:w="1202"/>
        <w:gridCol w:w="5872"/>
        <w:gridCol w:w="962"/>
      </w:tblGrid>
      <w:tr>
        <w:trPr>
          <w:tblHeader w:val="true"/>
        </w:trPr>
        <w:tc>
          <w:tcPr>
            <w:tcW w:w="1322" w:type="dxa"/>
          </w:tcPr>
          <w:p>
            <w:pPr>
              <w:pStyle w:val="Compact"/>
              <w:jc w:val="left"/>
            </w:pPr>
            <w:r>
              <w:t xml:space="preserve">Country</w:t>
            </w:r>
          </w:p>
        </w:tc>
        <w:tc>
          <w:tcPr>
            <w:tcW w:w="1202" w:type="dxa"/>
          </w:tcPr>
          <w:p>
            <w:pPr>
              <w:pStyle w:val="Compact"/>
              <w:jc w:val="left"/>
            </w:pPr>
            <w:r>
              <w:t xml:space="preserve">Covered?</w:t>
            </w:r>
          </w:p>
        </w:tc>
        <w:tc>
          <w:tcPr>
            <w:tcW w:w="5872" w:type="dxa"/>
          </w:tcPr>
          <w:p>
            <w:pPr>
              <w:pStyle w:val="Compact"/>
              <w:jc w:val="left"/>
            </w:pPr>
            <w:r>
              <w:t xml:space="preserve">Origin rule used</w:t>
            </w:r>
          </w:p>
        </w:tc>
        <w:tc>
          <w:tcPr>
            <w:tcW w:w="962" w:type="dxa"/>
          </w:tcPr>
          <w:p>
            <w:pPr>
              <w:pStyle w:val="Compact"/>
              <w:jc w:val="left"/>
            </w:pPr>
            <w:r>
              <w:t xml:space="preserve">Source</w:t>
            </w:r>
          </w:p>
        </w:tc>
      </w:tr>
      <w:tr>
        <w:tc>
          <w:tcPr>
            <w:tcW w:w="1322" w:type="dxa"/>
          </w:tcPr>
          <w:p>
            <w:pPr>
              <w:pStyle w:val="Compact"/>
              <w:jc w:val="left"/>
            </w:pPr>
            <w:r>
              <w:t xml:space="preserve">[Country]</w:t>
            </w:r>
          </w:p>
        </w:tc>
        <w:tc>
          <w:tcPr>
            <w:tcW w:w="1202" w:type="dxa"/>
          </w:tcPr>
          <w:p>
            <w:pPr>
              <w:pStyle w:val="Compact"/>
              <w:jc w:val="left"/>
            </w:pPr>
            <w:r>
              <w:t xml:space="preserve">[Yes, No]</w:t>
            </w:r>
          </w:p>
        </w:tc>
        <w:tc>
          <w:tcPr>
            <w:tcW w:w="5872" w:type="dxa"/>
          </w:tcPr>
          <w:p>
            <w:pPr>
              <w:pStyle w:val="Compact"/>
              <w:jc w:val="left"/>
            </w:pPr>
            <w:r>
              <w:t xml:space="preserve">[Normal non-preferential origin, or the action's own rule, for example melt-and-pour, or CUSMA marking rules in a Canadian order]</w:t>
            </w:r>
          </w:p>
        </w:tc>
        <w:tc>
          <w:tcPr>
            <w:tcW w:w="962" w:type="dxa"/>
          </w:tcPr>
          <w:p>
            <w:pPr>
              <w:pStyle w:val="Compact"/>
              <w:jc w:val="left"/>
            </w:pPr>
            <w:r>
              <w:t xml:space="preserve">[S#]</w:t>
            </w:r>
          </w:p>
        </w:tc>
      </w:tr>
    </w:tbl>
    <w:p>
      <w:pPr>
        <w:pStyle w:val="BodyText"/>
      </w:pPr>
      <w:r>
        <w:t xml:space="preserve">Origin is the country of origin in our classification master ([COMPANY: AS400 field or table]), not the supplier's country or the ship-from country. Flag any item where those differ.</w:t>
      </w:r>
    </w:p>
    <w:bookmarkEnd w:id="42"/>
    <w:bookmarkStart w:id="43" w:name="X8a7801c0376a7cdc1f78c6d05e9c0d8330d03d7"/>
    <w:p>
      <w:pPr>
        <w:pStyle w:val="Heading4"/>
      </w:pPr>
      <w:r>
        <w:t xml:space="preserve">6.3 Product scope language</w:t>
      </w:r>
    </w:p>
    <w:p>
      <w:pPr>
        <w:pStyle w:val="FirstParagraph"/>
      </w:pPr>
      <w:r>
        <w:t xml:space="preserve">[Paste the scope paragraph word for word. Then write in one or two sentences what it adds to, or removes from, the HTS list. If the scope is a written description (as in AD/CVD), the description decides and the HTS list is only a guide.]</w:t>
      </w:r>
    </w:p>
    <w:bookmarkEnd w:id="43"/>
    <w:bookmarkStart w:id="44" w:name="X6396f4199f9bb913963bd0578a0aa7ce3255c26"/>
    <w:p>
      <w:pPr>
        <w:pStyle w:val="Heading4"/>
      </w:pPr>
      <w:r>
        <w:t xml:space="preserve">6.4 Exclusions and exemptions</w:t>
      </w:r>
    </w:p>
    <w:tbl>
      <w:tblPr>
        <w:tblStyle w:val="Table"/>
        <w:tblW w:type="dxa" w:w="9360"/>
        <w:tblLook w:firstRow="1" w:lastRow="0" w:firstColumn="0" w:lastColumn="0" w:noHBand="0" w:noVBand="0" w:val="0020"/>
        <w:jc w:val="start"/>
        <w:tblLayout w:type="fixed"/>
      </w:tblPr>
      <w:tblGrid>
        <w:gridCol w:w="1265"/>
        <w:gridCol w:w="2725"/>
        <w:gridCol w:w="2158"/>
        <w:gridCol w:w="2291"/>
        <w:gridCol w:w="920"/>
      </w:tblGrid>
      <w:tr>
        <w:trPr>
          <w:tblHeader w:val="true"/>
        </w:trPr>
        <w:tc>
          <w:tcPr>
            <w:tcW w:w="1265" w:type="dxa"/>
          </w:tcPr>
          <w:p>
            <w:pPr>
              <w:pStyle w:val="Compact"/>
              <w:jc w:val="left"/>
            </w:pPr>
            <w:r>
              <w:t xml:space="preserve">Exclusion or exemption</w:t>
            </w:r>
          </w:p>
        </w:tc>
        <w:tc>
          <w:tcPr>
            <w:tcW w:w="2725" w:type="dxa"/>
          </w:tcPr>
          <w:p>
            <w:pPr>
              <w:pStyle w:val="Compact"/>
              <w:jc w:val="left"/>
            </w:pPr>
            <w:r>
              <w:t xml:space="preserve">Type</w:t>
            </w:r>
          </w:p>
        </w:tc>
        <w:tc>
          <w:tcPr>
            <w:tcW w:w="2158" w:type="dxa"/>
          </w:tcPr>
          <w:p>
            <w:pPr>
              <w:pStyle w:val="Compact"/>
              <w:jc w:val="left"/>
            </w:pPr>
            <w:r>
              <w:t xml:space="preserve">How we identify affected items</w:t>
            </w:r>
          </w:p>
        </w:tc>
        <w:tc>
          <w:tcPr>
            <w:tcW w:w="2291" w:type="dxa"/>
          </w:tcPr>
          <w:p>
            <w:pPr>
              <w:pStyle w:val="Compact"/>
              <w:jc w:val="left"/>
            </w:pPr>
            <w:r>
              <w:t xml:space="preserve">Evidence needed at entry</w:t>
            </w:r>
          </w:p>
        </w:tc>
        <w:tc>
          <w:tcPr>
            <w:tcW w:w="920" w:type="dxa"/>
          </w:tcPr>
          <w:p>
            <w:pPr>
              <w:pStyle w:val="Compact"/>
              <w:jc w:val="left"/>
            </w:pPr>
            <w:r>
              <w:t xml:space="preserve">Source</w:t>
            </w:r>
          </w:p>
        </w:tc>
      </w:tr>
      <w:tr>
        <w:tc>
          <w:tcPr>
            <w:tcW w:w="1265" w:type="dxa"/>
          </w:tcPr>
          <w:p>
            <w:pPr>
              <w:pStyle w:val="Compact"/>
              <w:jc w:val="left"/>
            </w:pPr>
            <w:r>
              <w:t xml:space="preserve">[Text]</w:t>
            </w:r>
          </w:p>
        </w:tc>
        <w:tc>
          <w:tcPr>
            <w:tcW w:w="2725" w:type="dxa"/>
          </w:tcPr>
          <w:p>
            <w:pPr>
              <w:pStyle w:val="Compact"/>
              <w:jc w:val="left"/>
            </w:pPr>
            <w:r>
              <w:t xml:space="preserve">[HTS line, product description, end use, certificate, quota, date-limited]</w:t>
            </w:r>
          </w:p>
        </w:tc>
        <w:tc>
          <w:tcPr>
            <w:tcW w:w="2158" w:type="dxa"/>
          </w:tcPr>
          <w:p>
            <w:pPr>
              <w:pStyle w:val="Compact"/>
              <w:jc w:val="left"/>
            </w:pPr>
            <w:r>
              <w:t xml:space="preserve">[Query, item attribute, or item-by-item review]</w:t>
            </w:r>
          </w:p>
        </w:tc>
        <w:tc>
          <w:tcPr>
            <w:tcW w:w="2291" w:type="dxa"/>
          </w:tcPr>
          <w:p>
            <w:pPr>
              <w:pStyle w:val="Compact"/>
              <w:jc w:val="left"/>
            </w:pPr>
            <w:r>
              <w:t xml:space="preserve">[Certificate, declaration, special Chapter 99 number]</w:t>
            </w:r>
          </w:p>
        </w:tc>
        <w:tc>
          <w:tcPr>
            <w:tcW w:w="920" w:type="dxa"/>
          </w:tcPr>
          <w:p>
            <w:pPr>
              <w:pStyle w:val="Compact"/>
              <w:jc w:val="left"/>
            </w:pPr>
            <w:r>
              <w:t xml:space="preserve">[S#]</w:t>
            </w:r>
          </w:p>
        </w:tc>
      </w:tr>
    </w:tbl>
    <w:bookmarkEnd w:id="44"/>
    <w:bookmarkStart w:id="45" w:name="Xd346c72cab08c5484acb518bc17419d0e1e918c"/>
    <w:p>
      <w:pPr>
        <w:pStyle w:val="Heading4"/>
      </w:pPr>
      <w:r>
        <w:t xml:space="preserve">6.5 USMCA-qualifying treatment</w:t>
      </w:r>
    </w:p>
    <w:tbl>
      <w:tblPr>
        <w:tblStyle w:val="Table"/>
        <w:tblW w:type="dxa" w:w="9360"/>
        <w:tblLook w:firstRow="1" w:lastRow="0" w:firstColumn="0" w:lastColumn="0" w:noHBand="0" w:noVBand="0" w:val="0020"/>
        <w:jc w:val="start"/>
        <w:tblLayout w:type="fixed"/>
      </w:tblPr>
      <w:tblGrid>
        <w:gridCol w:w="3796"/>
        <w:gridCol w:w="4528"/>
        <w:gridCol w:w="1035"/>
      </w:tblGrid>
      <w:tr>
        <w:trPr>
          <w:tblHeader w:val="true"/>
        </w:trPr>
        <w:tc>
          <w:tcPr>
            <w:tcW w:w="3796" w:type="dxa"/>
          </w:tcPr>
          <w:p>
            <w:pPr>
              <w:pStyle w:val="Compact"/>
              <w:jc w:val="left"/>
            </w:pPr>
            <w:r>
              <w:t xml:space="preserve">Question</w:t>
            </w:r>
          </w:p>
        </w:tc>
        <w:tc>
          <w:tcPr>
            <w:tcW w:w="4528" w:type="dxa"/>
          </w:tcPr>
          <w:p>
            <w:pPr>
              <w:pStyle w:val="Compact"/>
              <w:jc w:val="left"/>
            </w:pPr>
            <w:r>
              <w:t xml:space="preserve">Answer</w:t>
            </w:r>
          </w:p>
        </w:tc>
        <w:tc>
          <w:tcPr>
            <w:tcW w:w="1035" w:type="dxa"/>
          </w:tcPr>
          <w:p>
            <w:pPr>
              <w:pStyle w:val="Compact"/>
              <w:jc w:val="left"/>
            </w:pPr>
            <w:r>
              <w:t xml:space="preserve">Source</w:t>
            </w:r>
          </w:p>
        </w:tc>
      </w:tr>
      <w:tr>
        <w:tc>
          <w:tcPr>
            <w:tcW w:w="3796" w:type="dxa"/>
          </w:tcPr>
          <w:p>
            <w:pPr>
              <w:pStyle w:val="Compact"/>
              <w:jc w:val="left"/>
            </w:pPr>
            <w:r>
              <w:t xml:space="preserve">Does the action exempt or reduce the duty for goods that qualify for USMCA (CUSMA, T-MEC) preference?</w:t>
            </w:r>
          </w:p>
        </w:tc>
        <w:tc>
          <w:tcPr>
            <w:tcW w:w="4528" w:type="dxa"/>
          </w:tcPr>
          <w:p>
            <w:pPr>
              <w:pStyle w:val="Compact"/>
              <w:jc w:val="left"/>
            </w:pPr>
            <w:r>
              <w:t xml:space="preserve">[Yes, exempt; Partial (state how: a lower rate, or duty on the non-US content only); No; Not applicable (no USMCA-party origin in scope)]. Model: Action B18 = Y, PARTIAL, N or N/A; Partial also needs its own Part 7 line</w:t>
            </w:r>
          </w:p>
        </w:tc>
        <w:tc>
          <w:tcPr>
            <w:tcW w:w="1035" w:type="dxa"/>
          </w:tcPr>
          <w:p>
            <w:pPr>
              <w:pStyle w:val="Compact"/>
              <w:jc w:val="left"/>
            </w:pPr>
            <w:r>
              <w:t xml:space="preserve">[S#]</w:t>
            </w:r>
          </w:p>
        </w:tc>
      </w:tr>
      <w:tr>
        <w:tc>
          <w:tcPr>
            <w:tcW w:w="3796" w:type="dxa"/>
          </w:tcPr>
          <w:p>
            <w:pPr>
              <w:pStyle w:val="Compact"/>
              <w:jc w:val="left"/>
            </w:pPr>
            <w:r>
              <w:t xml:space="preserve">If yes, what must be on the entry, and what evidence must we hold?</w:t>
            </w:r>
          </w:p>
        </w:tc>
        <w:tc>
          <w:tcPr>
            <w:tcW w:w="4528" w:type="dxa"/>
          </w:tcPr>
          <w:p>
            <w:pPr>
              <w:pStyle w:val="Compact"/>
              <w:jc w:val="left"/>
            </w:pPr>
            <w:r>
              <w:t xml:space="preserve">[Preference claim on the entry line; certification of origin on file]</w:t>
            </w:r>
          </w:p>
        </w:tc>
        <w:tc>
          <w:tcPr>
            <w:tcW w:w="1035" w:type="dxa"/>
          </w:tcPr>
          <w:p>
            <w:pPr>
              <w:pStyle w:val="Compact"/>
              <w:jc w:val="left"/>
            </w:pPr>
            <w:r>
              <w:t xml:space="preserve">[S#]</w:t>
            </w:r>
          </w:p>
        </w:tc>
      </w:tr>
      <w:tr>
        <w:tc>
          <w:tcPr>
            <w:tcW w:w="3796" w:type="dxa"/>
          </w:tcPr>
          <w:p>
            <w:pPr>
              <w:pStyle w:val="Compact"/>
              <w:jc w:val="left"/>
            </w:pPr>
            <w:r>
              <w:t xml:space="preserve">Which of our items rely on it, and is their certification current?</w:t>
            </w:r>
          </w:p>
        </w:tc>
        <w:tc>
          <w:tcPr>
            <w:tcW w:w="4528" w:type="dxa"/>
          </w:tcPr>
          <w:p>
            <w:pPr>
              <w:pStyle w:val="Compact"/>
              <w:jc w:val="left"/>
            </w:pPr>
            <w:r>
              <w:t xml:space="preserve">[Count; ask [COMPANY: USMCA certification owner]]</w:t>
            </w:r>
          </w:p>
        </w:tc>
        <w:tc>
          <w:tcPr>
            <w:tcW w:w="1035" w:type="dxa"/>
          </w:tcPr>
          <w:p>
            <w:pPr>
              <w:pStyle w:val="Compact"/>
              <w:jc w:val="left"/>
            </w:pPr>
            <w:r>
              <w:t xml:space="preserve">[Query]</w:t>
            </w:r>
          </w:p>
        </w:tc>
      </w:tr>
    </w:tbl>
    <w:bookmarkEnd w:id="45"/>
    <w:bookmarkStart w:id="46" w:name="Xcdef47e9060785a3dcdf7f3e1ef0e1e00b95b19"/>
    <w:p>
      <w:pPr>
        <w:pStyle w:val="Heading4"/>
      </w:pPr>
      <w:r>
        <w:t xml:space="preserve">6.6 Stacking and interaction with other actions</w:t>
      </w:r>
    </w:p>
    <w:tbl>
      <w:tblPr>
        <w:tblStyle w:val="Table"/>
        <w:tblW w:type="dxa" w:w="9360"/>
        <w:tblLook w:firstRow="1" w:lastRow="0" w:firstColumn="0" w:lastColumn="0" w:noHBand="0" w:noVBand="0" w:val="0020"/>
        <w:jc w:val="start"/>
        <w:tblLayout w:type="fixed"/>
      </w:tblPr>
      <w:tblGrid>
        <w:gridCol w:w="2283"/>
        <w:gridCol w:w="4157"/>
        <w:gridCol w:w="1999"/>
        <w:gridCol w:w="920"/>
      </w:tblGrid>
      <w:tr>
        <w:trPr>
          <w:tblHeader w:val="true"/>
        </w:trPr>
        <w:tc>
          <w:tcPr>
            <w:tcW w:w="2283" w:type="dxa"/>
          </w:tcPr>
          <w:p>
            <w:pPr>
              <w:pStyle w:val="Compact"/>
              <w:jc w:val="left"/>
            </w:pPr>
            <w:r>
              <w:t xml:space="preserve">Other measure on the same goods</w:t>
            </w:r>
          </w:p>
        </w:tc>
        <w:tc>
          <w:tcPr>
            <w:tcW w:w="4157" w:type="dxa"/>
          </w:tcPr>
          <w:p>
            <w:pPr>
              <w:pStyle w:val="Compact"/>
              <w:jc w:val="left"/>
            </w:pPr>
            <w:r>
              <w:t xml:space="preserve">Interaction</w:t>
            </w:r>
          </w:p>
        </w:tc>
        <w:tc>
          <w:tcPr>
            <w:tcW w:w="1999" w:type="dxa"/>
          </w:tcPr>
          <w:p>
            <w:pPr>
              <w:pStyle w:val="Compact"/>
              <w:jc w:val="left"/>
            </w:pPr>
            <w:r>
              <w:t xml:space="preserve">Filing (Chapter 99 numbers, order)</w:t>
            </w:r>
          </w:p>
        </w:tc>
        <w:tc>
          <w:tcPr>
            <w:tcW w:w="920" w:type="dxa"/>
          </w:tcPr>
          <w:p>
            <w:pPr>
              <w:pStyle w:val="Compact"/>
              <w:jc w:val="left"/>
            </w:pPr>
            <w:r>
              <w:t xml:space="preserve">Source</w:t>
            </w:r>
          </w:p>
        </w:tc>
      </w:tr>
      <w:tr>
        <w:tc>
          <w:tcPr>
            <w:tcW w:w="2283" w:type="dxa"/>
          </w:tcPr>
          <w:p>
            <w:pPr>
              <w:pStyle w:val="Compact"/>
              <w:jc w:val="left"/>
            </w:pPr>
            <w:r>
              <w:t xml:space="preserve">[Base rate, other Chapter 99 duties, AD/CVD, surtax]</w:t>
            </w:r>
          </w:p>
        </w:tc>
        <w:tc>
          <w:tcPr>
            <w:tcW w:w="4157" w:type="dxa"/>
          </w:tcPr>
          <w:p>
            <w:pPr>
              <w:pStyle w:val="Compact"/>
              <w:jc w:val="left"/>
            </w:pPr>
            <w:r>
              <w:t xml:space="preserve">[Adds to it; this action does not apply when the other applies; the other no longer applies when this one does (non-stacking); replaces it; reduced]</w:t>
            </w:r>
          </w:p>
        </w:tc>
        <w:tc>
          <w:tcPr>
            <w:tcW w:w="1999" w:type="dxa"/>
          </w:tcPr>
          <w:p>
            <w:pPr>
              <w:pStyle w:val="Compact"/>
              <w:jc w:val="left"/>
            </w:pPr>
            <w:r>
              <w:t xml:space="preserve">[Numbers in the order CBP's guidance gives]</w:t>
            </w:r>
          </w:p>
        </w:tc>
        <w:tc>
          <w:tcPr>
            <w:tcW w:w="920" w:type="dxa"/>
          </w:tcPr>
          <w:p>
            <w:pPr>
              <w:pStyle w:val="Compact"/>
              <w:jc w:val="left"/>
            </w:pPr>
            <w:r>
              <w:t xml:space="preserve">[S#]</w:t>
            </w:r>
          </w:p>
        </w:tc>
      </w:tr>
    </w:tbl>
    <w:p>
      <w:pPr>
        <w:pStyle w:val="BodyText"/>
      </w:pPr>
      <w:r>
        <w:t xml:space="preserve">When this action switches off another duty on some of our items, list those items and the rate removed (Part 9 item list). They go on the model's Action tab as determinations with a displaced rate, or on a rate line when every item on that line pays the other duty at the same rate. When this action does not apply because another one does, those items are OUT determinations.</w:t>
      </w:r>
    </w:p>
    <w:bookmarkEnd w:id="46"/>
    <w:bookmarkStart w:id="47" w:name="X58d9739a1eaf216c144fec35653729860208788"/>
    <w:p>
      <w:pPr>
        <w:pStyle w:val="Heading4"/>
      </w:pPr>
      <w:r>
        <w:t xml:space="preserve">6.7 De minimis and low-value shipments</w:t>
      </w:r>
    </w:p>
    <w:p>
      <w:pPr>
        <w:pStyle w:val="FirstParagraph"/>
      </w:pPr>
      <w:r>
        <w:t xml:space="preserve">[Does the action apply to shipments that would otherwise enter duty-free under a low-value or de minimis rule (US: Section 321)? US de minimis treatment changed repeatedly in 2025; check the current status in</w:t>
      </w:r>
      <w:r>
        <w:t xml:space="preserve"> </w:t>
      </w:r>
      <w:r>
        <w:rPr>
          <w:rStyle w:val="VerbatimChar"/>
        </w:rPr>
        <w:t xml:space="preserve">docs/primers/current-tariff-landscape.md</w:t>
      </w:r>
      <w:r>
        <w:t xml:space="preserve">. State whether any of our import flows use low-value entries ([COMPANY: confirm]).]</w:t>
      </w:r>
    </w:p>
    <w:bookmarkEnd w:id="47"/>
    <w:bookmarkStart w:id="48" w:name="X4790b08893cc8bacb22cf1dc2054ee584c3a566"/>
    <w:p>
      <w:pPr>
        <w:pStyle w:val="Heading4"/>
      </w:pPr>
      <w:r>
        <w:t xml:space="preserve">6.8 Drawback eligibility</w:t>
      </w:r>
    </w:p>
    <w:p>
      <w:pPr>
        <w:pStyle w:val="FirstParagraph"/>
      </w:pPr>
      <w:r>
        <w:t xml:space="preserve">[Quote what the action says about drawback. Some actions have expressly barred drawback of their duties; others leave normal drawback rules in place. If the action is silent, write "silent" and send it to the Senior, who owns US duty drawback (M9).]</w:t>
      </w:r>
    </w:p>
    <w:bookmarkEnd w:id="48"/>
    <w:bookmarkStart w:id="49" w:name="X10751a6f4dc6fbb982658aa2a677fee9669815f"/>
    <w:p>
      <w:pPr>
        <w:pStyle w:val="Heading4"/>
      </w:pPr>
      <w:r>
        <w:t xml:space="preserve">6.9 Other provisions</w:t>
      </w:r>
    </w:p>
    <w:p>
      <w:pPr>
        <w:pStyle w:val="FirstParagraph"/>
      </w:pPr>
      <w:r>
        <w:t xml:space="preserve">[Tariff-rate quotas; foreign-trade zone provisions (FTZ is not used by us: [COMPANY: confirm]); Chapter 98 provisions; IMMEX, Anexo 24 and PROSEC effects in Mexico; anything else that affects which entries pay the duty.]</w:t>
      </w:r>
    </w:p>
    <w:bookmarkEnd w:id="49"/>
    <w:bookmarkEnd w:id="50"/>
    <w:bookmarkStart w:id="51" w:name="part-7-rates"/>
    <w:p>
      <w:pPr>
        <w:pStyle w:val="Heading3"/>
      </w:pPr>
      <w:r>
        <w:t xml:space="preserve">Part 7: Rates</w:t>
      </w:r>
    </w:p>
    <w:tbl>
      <w:tblPr>
        <w:tblStyle w:val="Table"/>
        <w:tblW w:type="dxa" w:w="9360"/>
        <w:tblLook w:firstRow="1" w:lastRow="0" w:firstColumn="0" w:lastColumn="0" w:noHBand="0" w:noVBand="0" w:val="0020"/>
        <w:jc w:val="start"/>
        <w:tblLayout w:type="fixed"/>
      </w:tblPr>
      <w:tblGrid>
        <w:gridCol w:w="900"/>
        <w:gridCol w:w="2070"/>
        <w:gridCol w:w="1265"/>
        <w:gridCol w:w="2640"/>
        <w:gridCol w:w="1564"/>
        <w:gridCol w:w="920"/>
      </w:tblGrid>
      <w:tr>
        <w:trPr>
          <w:tblHeader w:val="true"/>
        </w:trPr>
        <w:tc>
          <w:tcPr>
            <w:tcW w:w="900" w:type="dxa"/>
          </w:tcPr>
          <w:p>
            <w:pPr>
              <w:pStyle w:val="Compact"/>
              <w:jc w:val="left"/>
            </w:pPr>
            <w:r>
              <w:t xml:space="preserve">Line</w:t>
            </w:r>
          </w:p>
        </w:tc>
        <w:tc>
          <w:tcPr>
            <w:tcW w:w="2070" w:type="dxa"/>
          </w:tcPr>
          <w:p>
            <w:pPr>
              <w:pStyle w:val="Compact"/>
              <w:jc w:val="left"/>
            </w:pPr>
            <w:r>
              <w:t xml:space="preserve">Applies to</w:t>
            </w:r>
          </w:p>
        </w:tc>
        <w:tc>
          <w:tcPr>
            <w:tcW w:w="1265" w:type="dxa"/>
          </w:tcPr>
          <w:p>
            <w:pPr>
              <w:pStyle w:val="Compact"/>
              <w:jc w:val="left"/>
            </w:pPr>
            <w:r>
              <w:t xml:space="preserve">Rate and type</w:t>
            </w:r>
          </w:p>
        </w:tc>
        <w:tc>
          <w:tcPr>
            <w:tcW w:w="2640" w:type="dxa"/>
          </w:tcPr>
          <w:p>
            <w:pPr>
              <w:pStyle w:val="Compact"/>
              <w:jc w:val="left"/>
            </w:pPr>
            <w:r>
              <w:t xml:space="preserve">Base the rate applies to</w:t>
            </w:r>
          </w:p>
        </w:tc>
        <w:tc>
          <w:tcPr>
            <w:tcW w:w="1564" w:type="dxa"/>
          </w:tcPr>
          <w:p>
            <w:pPr>
              <w:pStyle w:val="Compact"/>
              <w:jc w:val="left"/>
            </w:pPr>
            <w:r>
              <w:t xml:space="preserve">Adds to or replaces</w:t>
            </w:r>
          </w:p>
        </w:tc>
        <w:tc>
          <w:tcPr>
            <w:tcW w:w="920" w:type="dxa"/>
          </w:tcPr>
          <w:p>
            <w:pPr>
              <w:pStyle w:val="Compact"/>
              <w:jc w:val="left"/>
            </w:pPr>
            <w:r>
              <w:t xml:space="preserve">Source</w:t>
            </w:r>
          </w:p>
        </w:tc>
      </w:tr>
      <w:tr>
        <w:tc>
          <w:tcPr>
            <w:tcW w:w="900" w:type="dxa"/>
          </w:tcPr>
          <w:p>
            <w:pPr>
              <w:pStyle w:val="Compact"/>
              <w:jc w:val="left"/>
            </w:pPr>
            <w:r>
              <w:t xml:space="preserve">[R1]</w:t>
            </w:r>
          </w:p>
        </w:tc>
        <w:tc>
          <w:tcPr>
            <w:tcW w:w="2070" w:type="dxa"/>
          </w:tcPr>
          <w:p>
            <w:pPr>
              <w:pStyle w:val="Compact"/>
              <w:jc w:val="left"/>
            </w:pPr>
            <w:r>
              <w:t xml:space="preserve">[Chapter 99 heading or list (6.1); the origins, if the rate differs by origin; USMCA-qualifying goods or not, if it differs]</w:t>
            </w:r>
          </w:p>
        </w:tc>
        <w:tc>
          <w:tcPr>
            <w:tcW w:w="1265" w:type="dxa"/>
          </w:tcPr>
          <w:p>
            <w:pPr>
              <w:pStyle w:val="Compact"/>
              <w:jc w:val="left"/>
            </w:pPr>
            <w:r>
              <w:t xml:space="preserve">[25% ad valorem; or specific, per kg]</w:t>
            </w:r>
          </w:p>
        </w:tc>
        <w:tc>
          <w:tcPr>
            <w:tcW w:w="2640" w:type="dxa"/>
          </w:tcPr>
          <w:p>
            <w:pPr>
              <w:pStyle w:val="Compact"/>
              <w:jc w:val="left"/>
            </w:pPr>
            <w:r>
              <w:t xml:space="preserve">[US: the customs value (transaction value, excluding international freight and insurance), or the part of it the action names, for example the value of the metal content or the non-US content, and where that value comes from. Canada: value for duty. Mexico: valor en aduana]</w:t>
            </w:r>
          </w:p>
        </w:tc>
        <w:tc>
          <w:tcPr>
            <w:tcW w:w="1564" w:type="dxa"/>
          </w:tcPr>
          <w:p>
            <w:pPr>
              <w:pStyle w:val="Compact"/>
              <w:jc w:val="left"/>
            </w:pPr>
            <w:r>
              <w:t xml:space="preserve">[Adds to the base rate; replaces earlier rate of x%; switches off [other measure] at y%]</w:t>
            </w:r>
          </w:p>
        </w:tc>
        <w:tc>
          <w:tcPr>
            <w:tcW w:w="920" w:type="dxa"/>
          </w:tcPr>
          <w:p>
            <w:pPr>
              <w:pStyle w:val="Compact"/>
              <w:jc w:val="left"/>
            </w:pPr>
            <w:r>
              <w:t xml:space="preserve">[S#]</w:t>
            </w:r>
          </w:p>
        </w:tc>
      </w:tr>
    </w:tbl>
    <w:p>
      <w:pPr>
        <w:pStyle w:val="BodyText"/>
      </w:pPr>
      <w:r>
        <w:t xml:space="preserve">How the lines go into the model (Action tab,</w:t>
      </w:r>
      <w:r>
        <w:t xml:space="preserve"> </w:t>
      </w:r>
      <w:r>
        <w:rPr>
          <w:rStyle w:val="VerbatimChar"/>
        </w:rPr>
        <w:t xml:space="preserve">docs/templates/domain/tariff-impact-model-guide.md</w:t>
      </w:r>
      <w:r>
        <w:t xml:space="preserve">):</w:t>
      </w:r>
    </w:p>
    <w:p>
      <w:pPr>
        <w:numPr>
          <w:ilvl w:val="0"/>
          <w:numId w:val="1004"/>
        </w:numPr>
        <w:pStyle w:val="Compact"/>
      </w:pPr>
      <w:r>
        <w:rPr>
          <w:bCs/>
          <w:b/>
        </w:rPr>
        <w:t xml:space="preserve">One rate for every in-scope item:</w:t>
      </w:r>
      <w:r>
        <w:t xml:space="preserve"> </w:t>
      </w:r>
      <w:r>
        <w:t xml:space="preserve">R1 goes in B15, its base (full or part) in B20.</w:t>
      </w:r>
    </w:p>
    <w:p>
      <w:pPr>
        <w:numPr>
          <w:ilvl w:val="0"/>
          <w:numId w:val="1004"/>
        </w:numPr>
        <w:pStyle w:val="Compact"/>
      </w:pPr>
      <w:r>
        <w:rPr>
          <w:bCs/>
          <w:b/>
        </w:rPr>
        <w:t xml:space="preserve">More than one rate:</w:t>
      </w:r>
      <w:r>
        <w:t xml:space="preserve"> </w:t>
      </w:r>
      <w:r>
        <w:t xml:space="preserve">the line that covers most items goes in B15. Every other line becomes a rate line, keyed by rate group (the 6.1 heading, entered next to each of its HTS prefixes), origin and USMCA status. A line for excluded goods ("no additional duty") is an exclusion (6.4), not a rate line.</w:t>
      </w:r>
    </w:p>
    <w:p>
      <w:pPr>
        <w:numPr>
          <w:ilvl w:val="0"/>
          <w:numId w:val="1004"/>
        </w:numPr>
        <w:pStyle w:val="Compact"/>
      </w:pPr>
      <w:r>
        <w:rPr>
          <w:bCs/>
          <w:b/>
        </w:rPr>
        <w:t xml:space="preserve">Which line wins:</w:t>
      </w:r>
      <w:r>
        <w:t xml:space="preserve"> </w:t>
      </w:r>
      <w:r>
        <w:t xml:space="preserve">when two lines could apply to the same item, the model uses the most specific one (origin, then USMCA status, then rate group). If the instrument sets a different order, say so here and give the item-level answer, so the model can carry an extra line.</w:t>
      </w:r>
    </w:p>
    <w:p>
      <w:pPr>
        <w:numPr>
          <w:ilvl w:val="0"/>
          <w:numId w:val="1004"/>
        </w:numPr>
        <w:pStyle w:val="Compact"/>
      </w:pPr>
      <w:r>
        <w:rPr>
          <w:bCs/>
          <w:b/>
        </w:rPr>
        <w:t xml:space="preserve">Adds to or replaces:</w:t>
      </w:r>
      <w:r>
        <w:t xml:space="preserve"> </w:t>
      </w:r>
      <w:r>
        <w:t xml:space="preserve">for the B15 line, ADD or REPLACE goes in B16 and the earlier rate it replaces in B17. Every other line follows B16 and B17 unless its own entry differs: a line that replaces an earlier rate of this action gets that rate in rate-line column AD; a line that only adds while B16 is REPLACE gets 0% in AD. A duty that a line switches off (another measure, 6.6) goes in column AF, or per item in determinations column S.</w:t>
      </w:r>
    </w:p>
    <w:p>
      <w:pPr>
        <w:numPr>
          <w:ilvl w:val="0"/>
          <w:numId w:val="1004"/>
        </w:numPr>
        <w:pStyle w:val="Compact"/>
      </w:pPr>
      <w:r>
        <w:rPr>
          <w:bCs/>
          <w:b/>
        </w:rPr>
        <w:t xml:space="preserve">Part of the value:</w:t>
      </w:r>
      <w:r>
        <w:t xml:space="preserve"> </w:t>
      </w:r>
      <w:r>
        <w:t xml:space="preserve">write which part and the source of each item's share. Standard Cost enters the shares on Items; the checker traces them. Research states the rule; Standard Cost does the arithmetic.</w:t>
      </w:r>
    </w:p>
    <w:bookmarkEnd w:id="51"/>
    <w:bookmarkStart w:id="52" w:name="Xb659de4894f2fbcaccef6b2bcdb5b3fc2fc7190"/>
    <w:p>
      <w:pPr>
        <w:pStyle w:val="Heading3"/>
      </w:pPr>
      <w:r>
        <w:t xml:space="preserve">Part 8: Interpretation, confidence and confirmation</w:t>
      </w:r>
    </w:p>
    <w:p>
      <w:pPr>
        <w:pStyle w:val="FirstParagraph"/>
      </w:pPr>
      <w:r>
        <w:t xml:space="preserve">Confidence:</w:t>
      </w:r>
      <w:r>
        <w:t xml:space="preserve"> </w:t>
      </w:r>
      <w:r>
        <w:rPr>
          <w:bCs/>
          <w:b/>
        </w:rPr>
        <w:t xml:space="preserve">High</w:t>
      </w:r>
      <w:r>
        <w:t xml:space="preserve"> </w:t>
      </w:r>
      <w:r>
        <w:t xml:space="preserve">= the text says it expressly and the agency guidance agrees.</w:t>
      </w:r>
      <w:r>
        <w:t xml:space="preserve"> </w:t>
      </w:r>
      <w:r>
        <w:rPr>
          <w:bCs/>
          <w:b/>
        </w:rPr>
        <w:t xml:space="preserve">Medium</w:t>
      </w:r>
      <w:r>
        <w:t xml:space="preserve"> </w:t>
      </w:r>
      <w:r>
        <w:t xml:space="preserve">= a reasonable reading with no contradicting source, not yet confirmed.</w:t>
      </w:r>
      <w:r>
        <w:t xml:space="preserve"> </w:t>
      </w:r>
      <w:r>
        <w:rPr>
          <w:bCs/>
          <w:b/>
        </w:rPr>
        <w:t xml:space="preserve">Low</w:t>
      </w:r>
      <w:r>
        <w:t xml:space="preserve"> </w:t>
      </w:r>
      <w:r>
        <w:t xml:space="preserve">= ambiguous or sources conflict. Medium items that change scope, rate or date need broker or counsel confirmation before release, sent through the Senior (How to fill this in, item 3). A brief with an open Low item can only be released as "provisional", with the Manager's approval and the Low items stated in the summary.</w:t>
      </w:r>
    </w:p>
    <w:tbl>
      <w:tblPr>
        <w:tblStyle w:val="Table"/>
        <w:tblW w:type="dxa" w:w="9360"/>
        <w:tblLook w:firstRow="1" w:lastRow="0" w:firstColumn="0" w:lastColumn="0" w:noHBand="0" w:noVBand="0" w:val="0020"/>
        <w:jc w:val="start"/>
        <w:tblLayout w:type="fixed"/>
      </w:tblPr>
      <w:tblGrid>
        <w:gridCol w:w="900"/>
        <w:gridCol w:w="1265"/>
        <w:gridCol w:w="1955"/>
        <w:gridCol w:w="1380"/>
        <w:gridCol w:w="2940"/>
        <w:gridCol w:w="920"/>
      </w:tblGrid>
      <w:tr>
        <w:trPr>
          <w:tblHeader w:val="true"/>
        </w:trPr>
        <w:tc>
          <w:tcPr>
            <w:tcW w:w="900" w:type="dxa"/>
          </w:tcPr>
          <w:p>
            <w:pPr>
              <w:pStyle w:val="Compact"/>
              <w:jc w:val="left"/>
            </w:pPr>
            <w:r>
              <w:t xml:space="preserve">Q</w:t>
            </w:r>
          </w:p>
        </w:tc>
        <w:tc>
          <w:tcPr>
            <w:tcW w:w="1265" w:type="dxa"/>
          </w:tcPr>
          <w:p>
            <w:pPr>
              <w:pStyle w:val="Compact"/>
              <w:jc w:val="left"/>
            </w:pPr>
            <w:r>
              <w:t xml:space="preserve">Question</w:t>
            </w:r>
          </w:p>
        </w:tc>
        <w:tc>
          <w:tcPr>
            <w:tcW w:w="1955" w:type="dxa"/>
          </w:tcPr>
          <w:p>
            <w:pPr>
              <w:pStyle w:val="Compact"/>
              <w:jc w:val="left"/>
            </w:pPr>
            <w:r>
              <w:t xml:space="preserve">Our working interpretation</w:t>
            </w:r>
          </w:p>
        </w:tc>
        <w:tc>
          <w:tcPr>
            <w:tcW w:w="1380" w:type="dxa"/>
          </w:tcPr>
          <w:p>
            <w:pPr>
              <w:pStyle w:val="Compact"/>
              <w:jc w:val="left"/>
            </w:pPr>
            <w:r>
              <w:t xml:space="preserve">Confidence</w:t>
            </w:r>
          </w:p>
        </w:tc>
        <w:tc>
          <w:tcPr>
            <w:tcW w:w="2940" w:type="dxa"/>
          </w:tcPr>
          <w:p>
            <w:pPr>
              <w:pStyle w:val="Compact"/>
              <w:jc w:val="left"/>
            </w:pPr>
            <w:r>
              <w:t xml:space="preserve">Confirmed with (who, date, how)</w:t>
            </w:r>
          </w:p>
        </w:tc>
        <w:tc>
          <w:tcPr>
            <w:tcW w:w="920" w:type="dxa"/>
          </w:tcPr>
          <w:p>
            <w:pPr>
              <w:pStyle w:val="Compact"/>
              <w:jc w:val="left"/>
            </w:pPr>
            <w:r>
              <w:t xml:space="preserve">Source</w:t>
            </w:r>
          </w:p>
        </w:tc>
      </w:tr>
      <w:tr>
        <w:tc>
          <w:tcPr>
            <w:tcW w:w="900" w:type="dxa"/>
          </w:tcPr>
          <w:p>
            <w:pPr>
              <w:pStyle w:val="Compact"/>
              <w:jc w:val="left"/>
            </w:pPr>
            <w:r>
              <w:t xml:space="preserve">[Q1]</w:t>
            </w:r>
          </w:p>
        </w:tc>
        <w:tc>
          <w:tcPr>
            <w:tcW w:w="1265" w:type="dxa"/>
          </w:tcPr>
          <w:p>
            <w:pPr>
              <w:pStyle w:val="Compact"/>
              <w:jc w:val="left"/>
            </w:pPr>
            <w:r>
              <w:t xml:space="preserve">[Specific question]</w:t>
            </w:r>
          </w:p>
        </w:tc>
        <w:tc>
          <w:tcPr>
            <w:tcW w:w="1955" w:type="dxa"/>
          </w:tcPr>
          <w:p>
            <w:pPr>
              <w:pStyle w:val="Compact"/>
              <w:jc w:val="left"/>
            </w:pPr>
            <w:r>
              <w:t xml:space="preserve">[Interpretation in one or two sentences]</w:t>
            </w:r>
          </w:p>
        </w:tc>
        <w:tc>
          <w:tcPr>
            <w:tcW w:w="1380" w:type="dxa"/>
          </w:tcPr>
          <w:p>
            <w:pPr>
              <w:pStyle w:val="Compact"/>
              <w:jc w:val="left"/>
            </w:pPr>
            <w:r>
              <w:t xml:space="preserve">[H, M, L]</w:t>
            </w:r>
          </w:p>
        </w:tc>
        <w:tc>
          <w:tcPr>
            <w:tcW w:w="2940" w:type="dxa"/>
          </w:tcPr>
          <w:p>
            <w:pPr>
              <w:pStyle w:val="Compact"/>
              <w:jc w:val="left"/>
            </w:pPr>
            <w:r>
              <w:t xml:space="preserve">[Broker [COMPANY], date, email filed at [location]; or "not yet"]</w:t>
            </w:r>
          </w:p>
        </w:tc>
        <w:tc>
          <w:tcPr>
            <w:tcW w:w="920" w:type="dxa"/>
          </w:tcPr>
          <w:p>
            <w:pPr>
              <w:pStyle w:val="Compact"/>
              <w:jc w:val="left"/>
            </w:pPr>
            <w:r>
              <w:t xml:space="preserve">[S#]</w:t>
            </w:r>
          </w:p>
        </w:tc>
      </w:tr>
    </w:tbl>
    <w:bookmarkEnd w:id="52"/>
    <w:bookmarkStart w:id="53" w:name="part-9-affected-items-extract-method"/>
    <w:p>
      <w:pPr>
        <w:pStyle w:val="Heading3"/>
      </w:pPr>
      <w:r>
        <w:t xml:space="preserve">Part 9: Affected items (extract method)</w:t>
      </w:r>
    </w:p>
    <w:tbl>
      <w:tblPr>
        <w:tblStyle w:val="Table"/>
        <w:tblW w:type="dxa" w:w="9360"/>
        <w:tblLook w:firstRow="1" w:lastRow="0" w:firstColumn="0" w:lastColumn="0" w:noHBand="0" w:noVBand="0" w:val="0020"/>
        <w:jc w:val="start"/>
        <w:tblLayout w:type="fixed"/>
      </w:tblPr>
      <w:tblGrid>
        <w:gridCol w:w="2098"/>
        <w:gridCol w:w="7261"/>
      </w:tblGrid>
      <w:tr>
        <w:trPr>
          <w:tblHeader w:val="true"/>
        </w:trPr>
        <w:tc>
          <w:tcPr>
            <w:tcW w:w="2098" w:type="dxa"/>
          </w:tcPr>
          <w:p>
            <w:pPr>
              <w:pStyle w:val="Compact"/>
              <w:jc w:val="left"/>
            </w:pPr>
            <w:r>
              <w:t xml:space="preserve">Step</w:t>
            </w:r>
          </w:p>
        </w:tc>
        <w:tc>
          <w:tcPr>
            <w:tcW w:w="7261" w:type="dxa"/>
          </w:tcPr>
          <w:p>
            <w:pPr>
              <w:pStyle w:val="Compact"/>
              <w:jc w:val="left"/>
            </w:pPr>
            <w:r>
              <w:t xml:space="preserve">Entry</w:t>
            </w:r>
          </w:p>
        </w:tc>
      </w:tr>
      <w:tr>
        <w:tc>
          <w:tcPr>
            <w:tcW w:w="2098" w:type="dxa"/>
          </w:tcPr>
          <w:p>
            <w:pPr>
              <w:pStyle w:val="Compact"/>
              <w:jc w:val="left"/>
            </w:pPr>
            <w:r>
              <w:t xml:space="preserve">Source and extract time</w:t>
            </w:r>
          </w:p>
        </w:tc>
        <w:tc>
          <w:tcPr>
            <w:tcW w:w="7261" w:type="dxa"/>
          </w:tcPr>
          <w:p>
            <w:pPr>
              <w:pStyle w:val="Compact"/>
              <w:jc w:val="left"/>
            </w:pPr>
            <w:r>
              <w:t xml:space="preserve">[COMPANY: classification master table or AS400 extract], run [date and time]</w:t>
            </w:r>
          </w:p>
        </w:tc>
      </w:tr>
      <w:tr>
        <w:tc>
          <w:tcPr>
            <w:tcW w:w="2098" w:type="dxa"/>
          </w:tcPr>
          <w:p>
            <w:pPr>
              <w:pStyle w:val="Compact"/>
              <w:jc w:val="left"/>
            </w:pPr>
            <w:r>
              <w:t xml:space="preserve">Filters</w:t>
            </w:r>
          </w:p>
        </w:tc>
        <w:tc>
          <w:tcPr>
            <w:tcW w:w="7261" w:type="dxa"/>
          </w:tcPr>
          <w:p>
            <w:pPr>
              <w:pStyle w:val="Compact"/>
              <w:jc w:val="left"/>
            </w:pPr>
            <w:r>
              <w:t xml:space="preserve">[Import country; active items ([COMPANY: active status rule]); origins in Part 6.2]</w:t>
            </w:r>
          </w:p>
        </w:tc>
      </w:tr>
      <w:tr>
        <w:tc>
          <w:tcPr>
            <w:tcW w:w="2098" w:type="dxa"/>
          </w:tcPr>
          <w:p>
            <w:pPr>
              <w:pStyle w:val="Compact"/>
              <w:jc w:val="left"/>
            </w:pPr>
            <w:r>
              <w:t xml:space="preserve">Matching rule</w:t>
            </w:r>
          </w:p>
        </w:tc>
        <w:tc>
          <w:tcPr>
            <w:tcW w:w="7261" w:type="dxa"/>
          </w:tcPr>
          <w:p>
            <w:pPr>
              <w:pStyle w:val="Compact"/>
              <w:jc w:val="left"/>
            </w:pPr>
            <w:r>
              <w:t xml:space="preserve">[HTS stored and compared as text; prefix match at the digit level of the annex (for example the first 8 digits); exclusions applied after the match]</w:t>
            </w:r>
          </w:p>
        </w:tc>
      </w:tr>
      <w:tr>
        <w:tc>
          <w:tcPr>
            <w:tcW w:w="2098" w:type="dxa"/>
          </w:tcPr>
          <w:p>
            <w:pPr>
              <w:pStyle w:val="Compact"/>
              <w:jc w:val="left"/>
            </w:pPr>
            <w:r>
              <w:t xml:space="preserve">Saved query</w:t>
            </w:r>
          </w:p>
        </w:tc>
        <w:tc>
          <w:tcPr>
            <w:tcW w:w="7261" w:type="dxa"/>
          </w:tcPr>
          <w:p>
            <w:pPr>
              <w:pStyle w:val="Compact"/>
              <w:jc w:val="left"/>
            </w:pPr>
            <w:r>
              <w:t xml:space="preserve">[COMPANY: code repository path], version [n]</w:t>
            </w:r>
          </w:p>
        </w:tc>
      </w:tr>
      <w:tr>
        <w:tc>
          <w:tcPr>
            <w:tcW w:w="2098" w:type="dxa"/>
          </w:tcPr>
          <w:p>
            <w:pPr>
              <w:pStyle w:val="Compact"/>
              <w:jc w:val="left"/>
            </w:pPr>
            <w:r>
              <w:t xml:space="preserve">Counts</w:t>
            </w:r>
          </w:p>
        </w:tc>
        <w:tc>
          <w:tcPr>
            <w:tcW w:w="7261" w:type="dxa"/>
          </w:tcPr>
          <w:p>
            <w:pPr>
              <w:pStyle w:val="Compact"/>
              <w:jc w:val="left"/>
            </w:pPr>
            <w:r>
              <w:t xml:space="preserve">[Candidates n; in scope n; out n (by reason); borderline n]</w:t>
            </w:r>
          </w:p>
        </w:tc>
      </w:tr>
      <w:tr>
        <w:tc>
          <w:tcPr>
            <w:tcW w:w="2098" w:type="dxa"/>
          </w:tcPr>
          <w:p>
            <w:pPr>
              <w:pStyle w:val="Compact"/>
              <w:jc w:val="left"/>
            </w:pPr>
            <w:r>
              <w:t xml:space="preserve">Borderline review</w:t>
            </w:r>
          </w:p>
        </w:tc>
        <w:tc>
          <w:tcPr>
            <w:tcW w:w="7261" w:type="dxa"/>
          </w:tcPr>
          <w:p>
            <w:pPr>
              <w:pStyle w:val="Compact"/>
              <w:jc w:val="left"/>
            </w:pPr>
            <w:r>
              <w:t xml:space="preserve">[List of items whose description doesn't clearly fit; reviewed by the Senior on [date]]</w:t>
            </w:r>
          </w:p>
        </w:tc>
      </w:tr>
      <w:tr>
        <w:tc>
          <w:tcPr>
            <w:tcW w:w="2098" w:type="dxa"/>
          </w:tcPr>
          <w:p>
            <w:pPr>
              <w:pStyle w:val="Compact"/>
              <w:jc w:val="left"/>
            </w:pPr>
            <w:r>
              <w:t xml:space="preserve">Item list delivered</w:t>
            </w:r>
          </w:p>
        </w:tc>
        <w:tc>
          <w:tcPr>
            <w:tcW w:w="7261" w:type="dxa"/>
          </w:tcPr>
          <w:p>
            <w:pPr>
              <w:pStyle w:val="Compact"/>
              <w:jc w:val="left"/>
            </w:pPr>
            <w:r>
              <w:t xml:space="preserve">[Location of the item list and determinations; Action tab of model version [n]]</w:t>
            </w:r>
          </w:p>
        </w:tc>
      </w:tr>
    </w:tbl>
    <w:p>
      <w:pPr>
        <w:pStyle w:val="BodyText"/>
      </w:pPr>
      <w:r>
        <w:t xml:space="preserve">Candidate-item query pattern (adjust the table and column names to [COMPANY: warehouse schema]):</w:t>
      </w:r>
    </w:p>
    <w:p>
      <w:pPr>
        <w:pStyle w:val="SourceCode"/>
      </w:pPr>
      <w:r>
        <w:rPr>
          <w:rStyle w:val="CommentTok"/>
        </w:rPr>
        <w:t xml:space="preserve">-- Load the annex list as text first: one row per HTS prefix, digits only.</w:t>
      </w:r>
      <w:r>
        <w:br/>
      </w:r>
      <w:r>
        <w:rPr>
          <w:rStyle w:val="CommentTok"/>
        </w:rPr>
        <w:t xml:space="preserve">-- CREATE TABLE #scope (prefix VARCHAR(10));  INSERT ... from the annex text file</w:t>
      </w:r>
      <w:r>
        <w:br/>
      </w:r>
      <w:r>
        <w:rPr>
          <w:rStyle w:val="KeywordTok"/>
        </w:rPr>
        <w:t xml:space="preserve">SELECT</w:t>
      </w:r>
      <w:r>
        <w:rPr>
          <w:rStyle w:val="NormalTok"/>
        </w:rPr>
        <w:t xml:space="preserve"> c.item_number, c.import_country, c.hts_code, c.country_of_origin, s.prefix</w:t>
      </w:r>
      <w:r>
        <w:br/>
      </w:r>
      <w:r>
        <w:rPr>
          <w:rStyle w:val="KeywordTok"/>
        </w:rPr>
        <w:t xml:space="preserve">FROM</w:t>
      </w:r>
      <w:r>
        <w:rPr>
          <w:rStyle w:val="NormalTok"/>
        </w:rPr>
        <w:t xml:space="preserve"> [COMPANY: classification </w:t>
      </w:r>
      <w:r>
        <w:rPr>
          <w:rStyle w:val="KeywordTok"/>
        </w:rPr>
        <w:t xml:space="preserve">table</w:t>
      </w:r>
      <w:r>
        <w:rPr>
          <w:rStyle w:val="NormalTok"/>
        </w:rPr>
        <w:t xml:space="preserve">] </w:t>
      </w:r>
      <w:r>
        <w:rPr>
          <w:rStyle w:val="KeywordTok"/>
        </w:rPr>
        <w:t xml:space="preserve">AS</w:t>
      </w:r>
      <w:r>
        <w:rPr>
          <w:rStyle w:val="NormalTok"/>
        </w:rPr>
        <w:t xml:space="preserve"> c</w:t>
      </w:r>
      <w:r>
        <w:br/>
      </w:r>
      <w:r>
        <w:rPr>
          <w:rStyle w:val="KeywordTok"/>
        </w:rPr>
        <w:t xml:space="preserve">JOIN</w:t>
      </w:r>
      <w:r>
        <w:rPr>
          <w:rStyle w:val="NormalTok"/>
        </w:rPr>
        <w:t xml:space="preserve"> #scope </w:t>
      </w:r>
      <w:r>
        <w:rPr>
          <w:rStyle w:val="KeywordTok"/>
        </w:rPr>
        <w:t xml:space="preserve">AS</w:t>
      </w:r>
      <w:r>
        <w:rPr>
          <w:rStyle w:val="NormalTok"/>
        </w:rPr>
        <w:t xml:space="preserve"> s</w:t>
      </w:r>
      <w:r>
        <w:br/>
      </w:r>
      <w:r>
        <w:rPr>
          <w:rStyle w:val="NormalTok"/>
        </w:rPr>
        <w:t xml:space="preserve">  </w:t>
      </w:r>
      <w:r>
        <w:rPr>
          <w:rStyle w:val="KeywordTok"/>
        </w:rPr>
        <w:t xml:space="preserve">ON</w:t>
      </w:r>
      <w:r>
        <w:rPr>
          <w:rStyle w:val="NormalTok"/>
        </w:rPr>
        <w:t xml:space="preserve"> </w:t>
      </w:r>
      <w:r>
        <w:rPr>
          <w:rStyle w:val="KeywordTok"/>
        </w:rPr>
        <w:t xml:space="preserve">REPLACE</w:t>
      </w:r>
      <w:r>
        <w:rPr>
          <w:rStyle w:val="NormalTok"/>
        </w:rPr>
        <w:t xml:space="preserve">(c.hts_code, </w:t>
      </w:r>
      <w:r>
        <w:rPr>
          <w:rStyle w:val="StringTok"/>
        </w:rPr>
        <w:t xml:space="preserve">'.'</w:t>
      </w:r>
      <w:r>
        <w:rPr>
          <w:rStyle w:val="NormalTok"/>
        </w:rPr>
        <w:t xml:space="preserve">, </w:t>
      </w:r>
      <w:r>
        <w:rPr>
          <w:rStyle w:val="StringTok"/>
        </w:rPr>
        <w:t xml:space="preserve">''</w:t>
      </w:r>
      <w:r>
        <w:rPr>
          <w:rStyle w:val="NormalTok"/>
        </w:rPr>
        <w:t xml:space="preserve">) </w:t>
      </w:r>
      <w:r>
        <w:rPr>
          <w:rStyle w:val="KeywordTok"/>
        </w:rPr>
        <w:t xml:space="preserve">LIKE</w:t>
      </w:r>
      <w:r>
        <w:rPr>
          <w:rStyle w:val="NormalTok"/>
        </w:rPr>
        <w:t xml:space="preserve"> s.prefix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text match keeps leading zeros</w:t>
      </w:r>
      <w:r>
        <w:br/>
      </w:r>
      <w:r>
        <w:rPr>
          <w:rStyle w:val="KeywordTok"/>
        </w:rPr>
        <w:t xml:space="preserve">WHERE</w:t>
      </w:r>
      <w:r>
        <w:rPr>
          <w:rStyle w:val="NormalTok"/>
        </w:rPr>
        <w:t xml:space="preserve"> c.import_country </w:t>
      </w:r>
      <w:r>
        <w:rPr>
          <w:rStyle w:val="OperatorTok"/>
        </w:rPr>
        <w:t xml:space="preserve">=</w:t>
      </w:r>
      <w:r>
        <w:rPr>
          <w:rStyle w:val="NormalTok"/>
        </w:rPr>
        <w:t xml:space="preserve"> </w:t>
      </w:r>
      <w:r>
        <w:rPr>
          <w:rStyle w:val="StringTok"/>
        </w:rPr>
        <w:t xml:space="preserve">'US'</w:t>
      </w:r>
      <w:r>
        <w:br/>
      </w:r>
      <w:r>
        <w:rPr>
          <w:rStyle w:val="NormalTok"/>
        </w:rPr>
        <w:t xml:space="preserve">  </w:t>
      </w:r>
      <w:r>
        <w:rPr>
          <w:rStyle w:val="KeywordTok"/>
        </w:rPr>
        <w:t xml:space="preserve">AND</w:t>
      </w:r>
      <w:r>
        <w:rPr>
          <w:rStyle w:val="NormalTok"/>
        </w:rPr>
        <w:t xml:space="preserve"> c.country_of_origin </w:t>
      </w:r>
      <w:r>
        <w:rPr>
          <w:rStyle w:val="KeywordTok"/>
        </w:rPr>
        <w:t xml:space="preserve">IN</w:t>
      </w:r>
      <w:r>
        <w:rPr>
          <w:rStyle w:val="NormalTok"/>
        </w:rPr>
        <w:t xml:space="preserve"> (</w:t>
      </w:r>
      <w:r>
        <w:rPr>
          <w:rStyle w:val="StringTok"/>
        </w:rPr>
        <w:t xml:space="preserve">'[origin codes]'</w:t>
      </w:r>
      <w:r>
        <w:rPr>
          <w:rStyle w:val="NormalTok"/>
        </w:rPr>
        <w:t xml:space="preserve">)</w:t>
      </w:r>
      <w:r>
        <w:br/>
      </w:r>
      <w:r>
        <w:rPr>
          <w:rStyle w:val="NormalTok"/>
        </w:rPr>
        <w:t xml:space="preserve">  </w:t>
      </w:r>
      <w:r>
        <w:rPr>
          <w:rStyle w:val="KeywordTok"/>
        </w:rPr>
        <w:t xml:space="preserve">AND</w:t>
      </w:r>
      <w:r>
        <w:rPr>
          <w:rStyle w:val="NormalTok"/>
        </w:rPr>
        <w:t xml:space="preserve"> c.item_status </w:t>
      </w:r>
      <w:r>
        <w:rPr>
          <w:rStyle w:val="OperatorTok"/>
        </w:rPr>
        <w:t xml:space="preserve">=</w:t>
      </w:r>
      <w:r>
        <w:rPr>
          <w:rStyle w:val="NormalTok"/>
        </w:rPr>
        <w:t xml:space="preserve"> </w:t>
      </w:r>
      <w:r>
        <w:rPr>
          <w:rStyle w:val="StringTok"/>
        </w:rPr>
        <w:t xml:space="preserve">'[COMPANY: active status]'</w:t>
      </w:r>
      <w:r>
        <w:rPr>
          <w:rStyle w:val="NormalTok"/>
        </w:rPr>
        <w:t xml:space="preserve">;</w:t>
      </w:r>
    </w:p>
    <w:bookmarkEnd w:id="53"/>
    <w:bookmarkStart w:id="54" w:name="part-10-open-questions"/>
    <w:p>
      <w:pPr>
        <w:pStyle w:val="Heading3"/>
      </w:pPr>
      <w:r>
        <w:t xml:space="preserve">Part 10: Open questions</w:t>
      </w:r>
    </w:p>
    <w:tbl>
      <w:tblPr>
        <w:tblStyle w:val="Table"/>
        <w:tblW w:type="dxa" w:w="9360"/>
        <w:tblLook w:firstRow="1" w:lastRow="0" w:firstColumn="0" w:lastColumn="0" w:noHBand="0" w:noVBand="0" w:val="0020"/>
        <w:jc w:val="start"/>
        <w:tblLayout w:type="fixed"/>
      </w:tblPr>
      <w:tblGrid>
        <w:gridCol w:w="900"/>
        <w:gridCol w:w="2182"/>
        <w:gridCol w:w="2740"/>
        <w:gridCol w:w="920"/>
        <w:gridCol w:w="920"/>
        <w:gridCol w:w="1697"/>
      </w:tblGrid>
      <w:tr>
        <w:trPr>
          <w:tblHeader w:val="true"/>
        </w:trPr>
        <w:tc>
          <w:tcPr>
            <w:tcW w:w="900" w:type="dxa"/>
          </w:tcPr>
          <w:p>
            <w:pPr>
              <w:pStyle w:val="Compact"/>
              <w:jc w:val="left"/>
            </w:pPr>
            <w:r>
              <w:t xml:space="preserve">#</w:t>
            </w:r>
          </w:p>
        </w:tc>
        <w:tc>
          <w:tcPr>
            <w:tcW w:w="2182" w:type="dxa"/>
          </w:tcPr>
          <w:p>
            <w:pPr>
              <w:pStyle w:val="Compact"/>
              <w:jc w:val="left"/>
            </w:pPr>
            <w:r>
              <w:t xml:space="preserve">Question</w:t>
            </w:r>
          </w:p>
        </w:tc>
        <w:tc>
          <w:tcPr>
            <w:tcW w:w="2740" w:type="dxa"/>
          </w:tcPr>
          <w:p>
            <w:pPr>
              <w:pStyle w:val="Compact"/>
              <w:jc w:val="left"/>
            </w:pPr>
            <w:r>
              <w:t xml:space="preserve">Asked to</w:t>
            </w:r>
          </w:p>
        </w:tc>
        <w:tc>
          <w:tcPr>
            <w:tcW w:w="920" w:type="dxa"/>
          </w:tcPr>
          <w:p>
            <w:pPr>
              <w:pStyle w:val="Compact"/>
              <w:jc w:val="left"/>
            </w:pPr>
            <w:r>
              <w:t xml:space="preserve">Date asked</w:t>
            </w:r>
          </w:p>
        </w:tc>
        <w:tc>
          <w:tcPr>
            <w:tcW w:w="920" w:type="dxa"/>
          </w:tcPr>
          <w:p>
            <w:pPr>
              <w:pStyle w:val="Compact"/>
              <w:jc w:val="left"/>
            </w:pPr>
            <w:r>
              <w:t xml:space="preserve">Needed by</w:t>
            </w:r>
          </w:p>
        </w:tc>
        <w:tc>
          <w:tcPr>
            <w:tcW w:w="1697" w:type="dxa"/>
          </w:tcPr>
          <w:p>
            <w:pPr>
              <w:pStyle w:val="Compact"/>
              <w:jc w:val="left"/>
            </w:pPr>
            <w:r>
              <w:t xml:space="preserve">Status and answer</w:t>
            </w:r>
          </w:p>
        </w:tc>
      </w:tr>
      <w:tr>
        <w:tc>
          <w:tcPr>
            <w:tcW w:w="900" w:type="dxa"/>
          </w:tcPr>
          <w:p>
            <w:pPr>
              <w:pStyle w:val="Compact"/>
              <w:jc w:val="left"/>
            </w:pPr>
            <w:r>
              <w:t xml:space="preserve">[OQ1]</w:t>
            </w:r>
          </w:p>
        </w:tc>
        <w:tc>
          <w:tcPr>
            <w:tcW w:w="2182" w:type="dxa"/>
          </w:tcPr>
          <w:p>
            <w:pPr>
              <w:pStyle w:val="Compact"/>
              <w:jc w:val="left"/>
            </w:pPr>
            <w:r>
              <w:t xml:space="preserve">[Question; what changes if the answer is different]</w:t>
            </w:r>
          </w:p>
        </w:tc>
        <w:tc>
          <w:tcPr>
            <w:tcW w:w="2740" w:type="dxa"/>
          </w:tcPr>
          <w:p>
            <w:pPr>
              <w:pStyle w:val="Compact"/>
              <w:jc w:val="left"/>
            </w:pPr>
            <w:r>
              <w:t xml:space="preserve">[Senior, Purchasing; a broker or counsel only through the Senior]</w:t>
            </w:r>
          </w:p>
        </w:tc>
        <w:tc>
          <w:tcPr>
            <w:tcW w:w="920" w:type="dxa"/>
          </w:tcPr>
          <w:p>
            <w:pPr>
              <w:pStyle w:val="Compact"/>
              <w:jc w:val="left"/>
            </w:pPr>
            <w:r>
              <w:t xml:space="preserve">[Date]</w:t>
            </w:r>
          </w:p>
        </w:tc>
        <w:tc>
          <w:tcPr>
            <w:tcW w:w="920" w:type="dxa"/>
          </w:tcPr>
          <w:p>
            <w:pPr>
              <w:pStyle w:val="Compact"/>
              <w:jc w:val="left"/>
            </w:pPr>
            <w:r>
              <w:t xml:space="preserve">[Date]</w:t>
            </w:r>
          </w:p>
        </w:tc>
        <w:tc>
          <w:tcPr>
            <w:tcW w:w="1697" w:type="dxa"/>
          </w:tcPr>
          <w:p>
            <w:pPr>
              <w:pStyle w:val="Compact"/>
              <w:jc w:val="left"/>
            </w:pPr>
            <w:r>
              <w:t xml:space="preserve">[Open, Answered: answer and source]</w:t>
            </w:r>
          </w:p>
        </w:tc>
      </w:tr>
    </w:tbl>
    <w:bookmarkEnd w:id="54"/>
    <w:bookmarkStart w:id="55" w:name="part-11-handoff-to-standard-cost"/>
    <w:p>
      <w:pPr>
        <w:pStyle w:val="Heading3"/>
      </w:pPr>
      <w:r>
        <w:t xml:space="preserve">Part 11: Handoff to Standard Cost</w:t>
      </w:r>
    </w:p>
    <w:tbl>
      <w:tblPr>
        <w:tblStyle w:val="Table"/>
        <w:tblW w:type="dxa" w:w="9360"/>
        <w:tblLook w:firstRow="1" w:lastRow="0" w:firstColumn="0" w:lastColumn="0" w:noHBand="0" w:noVBand="0" w:val="0020"/>
        <w:jc w:val="start"/>
        <w:tblLayout w:type="fixed"/>
      </w:tblPr>
      <w:tblGrid>
        <w:gridCol w:w="2989"/>
        <w:gridCol w:w="6370"/>
      </w:tblGrid>
      <w:tr>
        <w:trPr>
          <w:tblHeader w:val="true"/>
        </w:trPr>
        <w:tc>
          <w:tcPr>
            <w:tcW w:w="2989" w:type="dxa"/>
          </w:tcPr>
          <w:p>
            <w:pPr>
              <w:pStyle w:val="Compact"/>
              <w:jc w:val="left"/>
            </w:pPr>
            <w:r>
              <w:t xml:space="preserve">What is delivered</w:t>
            </w:r>
          </w:p>
        </w:tc>
        <w:tc>
          <w:tcPr>
            <w:tcW w:w="6370" w:type="dxa"/>
          </w:tcPr>
          <w:p>
            <w:pPr>
              <w:pStyle w:val="Compact"/>
              <w:jc w:val="left"/>
            </w:pPr>
            <w:r>
              <w:t xml:space="preserve">Entry</w:t>
            </w:r>
          </w:p>
        </w:tc>
      </w:tr>
      <w:tr>
        <w:tc>
          <w:tcPr>
            <w:tcW w:w="2989" w:type="dxa"/>
          </w:tcPr>
          <w:p>
            <w:pPr>
              <w:pStyle w:val="Compact"/>
              <w:jc w:val="left"/>
            </w:pPr>
            <w:r>
              <w:t xml:space="preserve">Brief version</w:t>
            </w:r>
          </w:p>
        </w:tc>
        <w:tc>
          <w:tcPr>
            <w:tcW w:w="6370" w:type="dxa"/>
          </w:tcPr>
          <w:p>
            <w:pPr>
              <w:pStyle w:val="Compact"/>
              <w:jc w:val="left"/>
            </w:pPr>
            <w:r>
              <w:t xml:space="preserve">[v1.0, released date and time]</w:t>
            </w:r>
          </w:p>
        </w:tc>
      </w:tr>
      <w:tr>
        <w:tc>
          <w:tcPr>
            <w:tcW w:w="2989" w:type="dxa"/>
          </w:tcPr>
          <w:p>
            <w:pPr>
              <w:pStyle w:val="Compact"/>
              <w:jc w:val="left"/>
            </w:pPr>
            <w:r>
              <w:t xml:space="preserve">Model</w:t>
            </w:r>
          </w:p>
        </w:tc>
        <w:tc>
          <w:tcPr>
            <w:tcW w:w="6370" w:type="dxa"/>
          </w:tcPr>
          <w:p>
            <w:pPr>
              <w:pStyle w:val="Compact"/>
              <w:jc w:val="left"/>
            </w:pPr>
            <w:r>
              <w:t xml:space="preserve">[Action tab filled and checked in model file [name] v[n]]</w:t>
            </w:r>
          </w:p>
        </w:tc>
      </w:tr>
      <w:tr>
        <w:tc>
          <w:tcPr>
            <w:tcW w:w="2989" w:type="dxa"/>
          </w:tcPr>
          <w:p>
            <w:pPr>
              <w:pStyle w:val="Compact"/>
              <w:jc w:val="left"/>
            </w:pPr>
            <w:r>
              <w:t xml:space="preserve">Item list</w:t>
            </w:r>
          </w:p>
        </w:tc>
        <w:tc>
          <w:tcPr>
            <w:tcW w:w="6370" w:type="dxa"/>
          </w:tcPr>
          <w:p>
            <w:pPr>
              <w:pStyle w:val="Compact"/>
              <w:jc w:val="left"/>
            </w:pPr>
            <w:r>
              <w:t xml:space="preserve">[In-scope items with determinations and reasons; location]</w:t>
            </w:r>
          </w:p>
        </w:tc>
      </w:tr>
      <w:tr>
        <w:tc>
          <w:tcPr>
            <w:tcW w:w="2989" w:type="dxa"/>
          </w:tcPr>
          <w:p>
            <w:pPr>
              <w:pStyle w:val="Compact"/>
              <w:jc w:val="left"/>
            </w:pPr>
            <w:r>
              <w:t xml:space="preserve">Dates Standard Cost needs</w:t>
            </w:r>
          </w:p>
        </w:tc>
        <w:tc>
          <w:tcPr>
            <w:tcW w:w="6370" w:type="dxa"/>
          </w:tcPr>
          <w:p>
            <w:pPr>
              <w:pStyle w:val="Compact"/>
              <w:jc w:val="left"/>
            </w:pPr>
            <w:r>
              <w:t xml:space="preserve">[Effective date, in-transit end date, end or step dates]</w:t>
            </w:r>
          </w:p>
        </w:tc>
      </w:tr>
      <w:tr>
        <w:tc>
          <w:tcPr>
            <w:tcW w:w="2989" w:type="dxa"/>
          </w:tcPr>
          <w:p>
            <w:pPr>
              <w:pStyle w:val="Compact"/>
              <w:jc w:val="left"/>
            </w:pPr>
            <w:r>
              <w:t xml:space="preserve">Open questions that could change the $</w:t>
            </w:r>
          </w:p>
        </w:tc>
        <w:tc>
          <w:tcPr>
            <w:tcW w:w="6370" w:type="dxa"/>
          </w:tcPr>
          <w:p>
            <w:pPr>
              <w:pStyle w:val="Compact"/>
              <w:jc w:val="left"/>
            </w:pPr>
            <w:r>
              <w:t xml:space="preserve">[OQ numbers and what would change]</w:t>
            </w:r>
          </w:p>
        </w:tc>
      </w:tr>
      <w:tr>
        <w:tc>
          <w:tcPr>
            <w:tcW w:w="2989" w:type="dxa"/>
          </w:tcPr>
          <w:p>
            <w:pPr>
              <w:pStyle w:val="Compact"/>
              <w:jc w:val="left"/>
            </w:pPr>
            <w:r>
              <w:t xml:space="preserve">Needed by</w:t>
            </w:r>
          </w:p>
        </w:tc>
        <w:tc>
          <w:tcPr>
            <w:tcW w:w="6370" w:type="dxa"/>
          </w:tcPr>
          <w:p>
            <w:pPr>
              <w:pStyle w:val="Compact"/>
              <w:jc w:val="left"/>
            </w:pPr>
            <w:r>
              <w:t xml:space="preserve">[Date and time, and the business reason (pricing meeting, cost cycle)]</w:t>
            </w:r>
          </w:p>
        </w:tc>
      </w:tr>
      <w:tr>
        <w:tc>
          <w:tcPr>
            <w:tcW w:w="2989" w:type="dxa"/>
          </w:tcPr>
          <w:p>
            <w:pPr>
              <w:pStyle w:val="Compact"/>
              <w:jc w:val="left"/>
            </w:pPr>
            <w:r>
              <w:t xml:space="preserve">Handoff call</w:t>
            </w:r>
          </w:p>
        </w:tc>
        <w:tc>
          <w:tcPr>
            <w:tcW w:w="6370" w:type="dxa"/>
          </w:tcPr>
          <w:p>
            <w:pPr>
              <w:pStyle w:val="Compact"/>
              <w:jc w:val="left"/>
            </w:pPr>
            <w:r>
              <w:t xml:space="preserve">[15 minutes, date; Standard Cost confirms on Jira that the inputs are understood]</w:t>
            </w:r>
          </w:p>
        </w:tc>
      </w:tr>
    </w:tbl>
    <w:bookmarkEnd w:id="55"/>
    <w:bookmarkStart w:id="56" w:name="part-12-maker-checker-sign-off"/>
    <w:p>
      <w:pPr>
        <w:pStyle w:val="Heading3"/>
      </w:pPr>
      <w:r>
        <w:t xml:space="preserve">Part 12: Maker-checker sign-off</w:t>
      </w:r>
    </w:p>
    <w:tbl>
      <w:tblPr>
        <w:tblStyle w:val="Table"/>
        <w:tblW w:type="dxa" w:w="9360"/>
        <w:tblLook w:firstRow="1" w:lastRow="0" w:firstColumn="0" w:lastColumn="0" w:noHBand="0" w:noVBand="0" w:val="0020"/>
        <w:jc w:val="start"/>
        <w:tblLayout w:type="fixed"/>
      </w:tblPr>
      <w:tblGrid>
        <w:gridCol w:w="2257"/>
        <w:gridCol w:w="1265"/>
        <w:gridCol w:w="1035"/>
        <w:gridCol w:w="900"/>
        <w:gridCol w:w="3902"/>
      </w:tblGrid>
      <w:tr>
        <w:trPr>
          <w:tblHeader w:val="true"/>
        </w:trPr>
        <w:tc>
          <w:tcPr>
            <w:tcW w:w="2257" w:type="dxa"/>
          </w:tcPr>
          <w:p>
            <w:pPr>
              <w:pStyle w:val="Compact"/>
              <w:jc w:val="left"/>
            </w:pPr>
            <w:r>
              <w:t xml:space="preserve">Role</w:t>
            </w:r>
          </w:p>
        </w:tc>
        <w:tc>
          <w:tcPr>
            <w:tcW w:w="1265" w:type="dxa"/>
          </w:tcPr>
          <w:p>
            <w:pPr>
              <w:pStyle w:val="Compact"/>
              <w:jc w:val="left"/>
            </w:pPr>
            <w:r>
              <w:t xml:space="preserve">Name</w:t>
            </w:r>
          </w:p>
        </w:tc>
        <w:tc>
          <w:tcPr>
            <w:tcW w:w="1035" w:type="dxa"/>
          </w:tcPr>
          <w:p>
            <w:pPr>
              <w:pStyle w:val="Compact"/>
              <w:jc w:val="left"/>
            </w:pPr>
            <w:r>
              <w:t xml:space="preserve">Version</w:t>
            </w:r>
          </w:p>
        </w:tc>
        <w:tc>
          <w:tcPr>
            <w:tcW w:w="900" w:type="dxa"/>
          </w:tcPr>
          <w:p>
            <w:pPr>
              <w:pStyle w:val="Compact"/>
              <w:jc w:val="left"/>
            </w:pPr>
            <w:r>
              <w:t xml:space="preserve">Date and time</w:t>
            </w:r>
          </w:p>
        </w:tc>
        <w:tc>
          <w:tcPr>
            <w:tcW w:w="3902" w:type="dxa"/>
          </w:tcPr>
          <w:p>
            <w:pPr>
              <w:pStyle w:val="Compact"/>
              <w:jc w:val="left"/>
            </w:pPr>
            <w:r>
              <w:t xml:space="preserve">Result and findings</w:t>
            </w:r>
          </w:p>
        </w:tc>
      </w:tr>
      <w:tr>
        <w:tc>
          <w:tcPr>
            <w:tcW w:w="2257" w:type="dxa"/>
          </w:tcPr>
          <w:p>
            <w:pPr>
              <w:pStyle w:val="Compact"/>
              <w:jc w:val="left"/>
            </w:pPr>
            <w:r>
              <w:t xml:space="preserve">Maker</w:t>
            </w:r>
          </w:p>
        </w:tc>
        <w:tc>
          <w:tcPr>
            <w:tcW w:w="1265" w:type="dxa"/>
          </w:tcPr>
          <w:p>
            <w:pPr>
              <w:pStyle w:val="Compact"/>
              <w:jc w:val="left"/>
            </w:pPr>
            <w:r>
              <w:t xml:space="preserve">[Hire A]</w:t>
            </w:r>
          </w:p>
        </w:tc>
        <w:tc>
          <w:tcPr>
            <w:tcW w:w="1035" w:type="dxa"/>
          </w:tcPr>
          <w:p>
            <w:pPr>
              <w:pStyle w:val="Compact"/>
              <w:jc w:val="left"/>
            </w:pPr>
            <w:r>
              <w:t xml:space="preserve">[v]</w:t>
            </w:r>
          </w:p>
        </w:tc>
        <w:tc>
          <w:tcPr>
            <w:tcW w:w="900" w:type="dxa"/>
          </w:tcPr>
          <w:p>
            <w:pPr>
              <w:pStyle w:val="Compact"/>
              <w:jc w:val="left"/>
            </w:pPr>
            <w:r>
              <w:t xml:space="preserve">[ ]</w:t>
            </w:r>
          </w:p>
        </w:tc>
        <w:tc>
          <w:tcPr>
            <w:tcW w:w="3902" w:type="dxa"/>
          </w:tcPr>
          <w:p>
            <w:pPr>
              <w:pStyle w:val="Compact"/>
              <w:jc w:val="left"/>
            </w:pPr>
            <w:r>
              <w:t xml:space="preserve">[Self-check complete (checklist below)]</w:t>
            </w:r>
          </w:p>
        </w:tc>
      </w:tr>
      <w:tr>
        <w:tc>
          <w:tcPr>
            <w:tcW w:w="2257" w:type="dxa"/>
          </w:tcPr>
          <w:p>
            <w:pPr>
              <w:pStyle w:val="Compact"/>
              <w:jc w:val="left"/>
            </w:pPr>
            <w:r>
              <w:t xml:space="preserve">Checker</w:t>
            </w:r>
          </w:p>
        </w:tc>
        <w:tc>
          <w:tcPr>
            <w:tcW w:w="1265" w:type="dxa"/>
          </w:tcPr>
          <w:p>
            <w:pPr>
              <w:pStyle w:val="Compact"/>
              <w:jc w:val="left"/>
            </w:pPr>
            <w:r>
              <w:t xml:space="preserve">[Senior or Manager]</w:t>
            </w:r>
          </w:p>
        </w:tc>
        <w:tc>
          <w:tcPr>
            <w:tcW w:w="1035" w:type="dxa"/>
          </w:tcPr>
          <w:p>
            <w:pPr>
              <w:pStyle w:val="Compact"/>
              <w:jc w:val="left"/>
            </w:pPr>
            <w:r>
              <w:t xml:space="preserve">[v]</w:t>
            </w:r>
          </w:p>
        </w:tc>
        <w:tc>
          <w:tcPr>
            <w:tcW w:w="900" w:type="dxa"/>
          </w:tcPr>
          <w:p>
            <w:pPr>
              <w:pStyle w:val="Compact"/>
              <w:jc w:val="left"/>
            </w:pPr>
            <w:r>
              <w:t xml:space="preserve">[ ]</w:t>
            </w:r>
          </w:p>
        </w:tc>
        <w:tc>
          <w:tcPr>
            <w:tcW w:w="3902" w:type="dxa"/>
          </w:tcPr>
          <w:p>
            <w:pPr>
              <w:pStyle w:val="Compact"/>
              <w:jc w:val="left"/>
            </w:pPr>
            <w:r>
              <w:t xml:space="preserve">[Approved; Approved with changes (list); Returned (list)]</w:t>
            </w:r>
          </w:p>
        </w:tc>
      </w:tr>
      <w:tr>
        <w:tc>
          <w:tcPr>
            <w:tcW w:w="2257" w:type="dxa"/>
          </w:tcPr>
          <w:p>
            <w:pPr>
              <w:pStyle w:val="Compact"/>
              <w:jc w:val="left"/>
            </w:pPr>
            <w:r>
              <w:t xml:space="preserve">Release approval for business communication</w:t>
            </w:r>
          </w:p>
        </w:tc>
        <w:tc>
          <w:tcPr>
            <w:tcW w:w="1265" w:type="dxa"/>
          </w:tcPr>
          <w:p>
            <w:pPr>
              <w:pStyle w:val="Compact"/>
              <w:jc w:val="left"/>
            </w:pPr>
            <w:r>
              <w:t xml:space="preserve">[Manager]</w:t>
            </w:r>
          </w:p>
        </w:tc>
        <w:tc>
          <w:tcPr>
            <w:tcW w:w="1035" w:type="dxa"/>
          </w:tcPr>
          <w:p>
            <w:pPr>
              <w:pStyle w:val="Compact"/>
              <w:jc w:val="left"/>
            </w:pPr>
            <w:r>
              <w:t xml:space="preserve">[v]</w:t>
            </w:r>
          </w:p>
        </w:tc>
        <w:tc>
          <w:tcPr>
            <w:tcW w:w="900" w:type="dxa"/>
          </w:tcPr>
          <w:p>
            <w:pPr>
              <w:pStyle w:val="Compact"/>
              <w:jc w:val="left"/>
            </w:pPr>
            <w:r>
              <w:t xml:space="preserve">[ ]</w:t>
            </w:r>
          </w:p>
        </w:tc>
        <w:tc>
          <w:tcPr>
            <w:tcW w:w="3902" w:type="dxa"/>
          </w:tcPr>
          <w:p>
            <w:pPr>
              <w:pStyle w:val="Compact"/>
              <w:jc w:val="left"/>
            </w:pPr>
            <w:r>
              <w:t xml:space="preserve">[Approved to send]</w:t>
            </w:r>
          </w:p>
        </w:tc>
      </w:tr>
    </w:tbl>
    <w:p>
      <w:pPr>
        <w:pStyle w:val="BodyText"/>
      </w:pPr>
      <w:r>
        <w:t xml:space="preserve">When the checker approves with changes, the checker confirms the changes in the released version and records that version here. The checker also records name, date, version and findings on the Jira story.</w:t>
      </w:r>
    </w:p>
    <w:bookmarkEnd w:id="56"/>
    <w:bookmarkStart w:id="57" w:name="part-13-change-log"/>
    <w:p>
      <w:pPr>
        <w:pStyle w:val="Heading3"/>
      </w:pPr>
      <w:r>
        <w:t xml:space="preserve">Part 13: Change log</w:t>
      </w:r>
    </w:p>
    <w:tbl>
      <w:tblPr>
        <w:tblStyle w:val="Table"/>
        <w:tblW w:type="dxa" w:w="9360"/>
        <w:tblLook w:firstRow="1" w:lastRow="0" w:firstColumn="0" w:lastColumn="0" w:noHBand="0" w:noVBand="0" w:val="0020"/>
        <w:jc w:val="start"/>
        <w:tblLayout w:type="fixed"/>
      </w:tblPr>
      <w:tblGrid>
        <w:gridCol w:w="1924"/>
        <w:gridCol w:w="1099"/>
        <w:gridCol w:w="3055"/>
        <w:gridCol w:w="900"/>
        <w:gridCol w:w="2380"/>
      </w:tblGrid>
      <w:tr>
        <w:trPr>
          <w:tblHeader w:val="true"/>
        </w:trPr>
        <w:tc>
          <w:tcPr>
            <w:tcW w:w="1924" w:type="dxa"/>
          </w:tcPr>
          <w:p>
            <w:pPr>
              <w:pStyle w:val="Compact"/>
              <w:jc w:val="left"/>
            </w:pPr>
            <w:r>
              <w:t xml:space="preserve">Version</w:t>
            </w:r>
          </w:p>
        </w:tc>
        <w:tc>
          <w:tcPr>
            <w:tcW w:w="1099" w:type="dxa"/>
          </w:tcPr>
          <w:p>
            <w:pPr>
              <w:pStyle w:val="Compact"/>
              <w:jc w:val="left"/>
            </w:pPr>
            <w:r>
              <w:t xml:space="preserve">Date</w:t>
            </w:r>
          </w:p>
        </w:tc>
        <w:tc>
          <w:tcPr>
            <w:tcW w:w="3055" w:type="dxa"/>
          </w:tcPr>
          <w:p>
            <w:pPr>
              <w:pStyle w:val="Compact"/>
              <w:jc w:val="left"/>
            </w:pPr>
            <w:r>
              <w:t xml:space="preserve">Change</w:t>
            </w:r>
          </w:p>
        </w:tc>
        <w:tc>
          <w:tcPr>
            <w:tcW w:w="900" w:type="dxa"/>
          </w:tcPr>
          <w:p>
            <w:pPr>
              <w:pStyle w:val="Compact"/>
              <w:jc w:val="left"/>
            </w:pPr>
            <w:r>
              <w:t xml:space="preserve">By</w:t>
            </w:r>
          </w:p>
        </w:tc>
        <w:tc>
          <w:tcPr>
            <w:tcW w:w="2380" w:type="dxa"/>
          </w:tcPr>
          <w:p>
            <w:pPr>
              <w:pStyle w:val="Compact"/>
              <w:jc w:val="left"/>
            </w:pPr>
            <w:r>
              <w:t xml:space="preserve">Checked by</w:t>
            </w:r>
          </w:p>
        </w:tc>
      </w:tr>
      <w:tr>
        <w:tc>
          <w:tcPr>
            <w:tcW w:w="1924" w:type="dxa"/>
          </w:tcPr>
          <w:p>
            <w:pPr>
              <w:pStyle w:val="Compact"/>
              <w:jc w:val="left"/>
            </w:pPr>
            <w:r>
              <w:t xml:space="preserve">[v0.1]</w:t>
            </w:r>
          </w:p>
        </w:tc>
        <w:tc>
          <w:tcPr>
            <w:tcW w:w="1099" w:type="dxa"/>
          </w:tcPr>
          <w:p>
            <w:pPr>
              <w:pStyle w:val="Compact"/>
              <w:jc w:val="left"/>
            </w:pPr>
            <w:r>
              <w:t xml:space="preserve">[ ]</w:t>
            </w:r>
          </w:p>
        </w:tc>
        <w:tc>
          <w:tcPr>
            <w:tcW w:w="3055" w:type="dxa"/>
          </w:tcPr>
          <w:p>
            <w:pPr>
              <w:pStyle w:val="Compact"/>
              <w:jc w:val="left"/>
            </w:pPr>
            <w:r>
              <w:t xml:space="preserve">[First draft]</w:t>
            </w:r>
          </w:p>
        </w:tc>
        <w:tc>
          <w:tcPr>
            <w:tcW w:w="900" w:type="dxa"/>
          </w:tcPr>
          <w:p>
            <w:pPr>
              <w:pStyle w:val="Compact"/>
              <w:jc w:val="left"/>
            </w:pPr>
            <w:r>
              <w:t xml:space="preserve">[ ]</w:t>
            </w:r>
          </w:p>
        </w:tc>
        <w:tc>
          <w:tcPr>
            <w:tcW w:w="2380" w:type="dxa"/>
          </w:tcPr>
          <w:p>
            <w:pPr>
              <w:pStyle w:val="Compact"/>
              <w:jc w:val="left"/>
            </w:pPr>
            <w:r>
              <w:t xml:space="preserve">[n/a]</w:t>
            </w:r>
          </w:p>
        </w:tc>
      </w:tr>
    </w:tbl>
    <w:bookmarkEnd w:id="57"/>
    <w:bookmarkEnd w:id="58"/>
    <w:bookmarkStart w:id="67" w:name="filled-example-fictional"/>
    <w:p>
      <w:pPr>
        <w:pStyle w:val="Heading2"/>
      </w:pPr>
      <w:r>
        <w:t xml:space="preserve">Filled example (FICTIONAL)</w:t>
      </w:r>
    </w:p>
    <w:p>
      <w:pPr>
        <w:pStyle w:val="FirstParagraph"/>
      </w:pPr>
      <w:r>
        <w:rPr>
          <w:bCs/>
          <w:b/>
        </w:rPr>
        <w:t xml:space="preserve">This action is FICTIONAL.</w:t>
      </w:r>
      <w:r>
        <w:t xml:space="preserve"> </w:t>
      </w:r>
      <w:r>
        <w:t xml:space="preserve">Country X, the notice, the Chapter 99 heading 9903.XX.01, the CSMS message and all dates below are invented to show the method. Do not use any of it as fact. It continues the hypothetical "Country X steel fasteners" example used in</w:t>
      </w:r>
      <w:r>
        <w:t xml:space="preserve"> </w:t>
      </w:r>
      <w:r>
        <w:rPr>
          <w:rStyle w:val="VerbatimChar"/>
        </w:rPr>
        <w:t xml:space="preserve">docs/templates/bsa/01-intake-request.md</w:t>
      </w:r>
      <w:r>
        <w:t xml:space="preserve">,</w:t>
      </w:r>
      <w:r>
        <w:t xml:space="preserve"> </w:t>
      </w:r>
      <w:r>
        <w:rPr>
          <w:rStyle w:val="VerbatimChar"/>
        </w:rPr>
        <w:t xml:space="preserve">docs/templates/bsa/07-jira-epic-story.md</w:t>
      </w:r>
      <w:r>
        <w:t xml:space="preserve"> </w:t>
      </w:r>
      <w:r>
        <w:t xml:space="preserve">and</w:t>
      </w:r>
      <w:r>
        <w:t xml:space="preserve"> </w:t>
      </w:r>
      <w:r>
        <w:rPr>
          <w:rStyle w:val="VerbatimChar"/>
        </w:rPr>
        <w:t xml:space="preserve">docs/templates/bsa/08-project-closeout.md</w:t>
      </w:r>
      <w:r>
        <w:t xml:space="preserve">. The 14 SAMPLE rows in Tariff-Impact-Model-Template.xlsx (in the onboarding folder) apply the same rules to a small synthetic item set. One difference to notice: the brief's aerospace bolt (Q2) is IN because certificates come with only some of its shipments, while the model's SAMPLE-005 is OUT because its supplier certifies every shipment.</w:t>
      </w:r>
    </w:p>
    <w:bookmarkStart w:id="59" w:name="header-and-summary"/>
    <w:p>
      <w:pPr>
        <w:pStyle w:val="Heading3"/>
      </w:pPr>
      <w:r>
        <w:t xml:space="preserve">Header and summary</w:t>
      </w:r>
    </w:p>
    <w:tbl>
      <w:tblPr>
        <w:tblStyle w:val="Table"/>
        <w:tblW w:type="dxa" w:w="9360"/>
        <w:tblLook w:firstRow="1" w:lastRow="0" w:firstColumn="0" w:lastColumn="0" w:noHBand="0" w:noVBand="0" w:val="0020"/>
        <w:jc w:val="start"/>
        <w:tblLayout w:type="fixed"/>
      </w:tblPr>
      <w:tblGrid>
        <w:gridCol w:w="2735"/>
        <w:gridCol w:w="6624"/>
      </w:tblGrid>
      <w:tr>
        <w:trPr>
          <w:tblHeader w:val="true"/>
        </w:trPr>
        <w:tc>
          <w:tcPr>
            <w:tcW w:w="2735" w:type="dxa"/>
          </w:tcPr>
          <w:p>
            <w:pPr>
              <w:pStyle w:val="Compact"/>
              <w:jc w:val="left"/>
            </w:pPr>
            <w:r>
              <w:t xml:space="preserve">Field</w:t>
            </w:r>
          </w:p>
        </w:tc>
        <w:tc>
          <w:tcPr>
            <w:tcW w:w="6624" w:type="dxa"/>
          </w:tcPr>
          <w:p>
            <w:pPr>
              <w:pStyle w:val="Compact"/>
              <w:jc w:val="left"/>
            </w:pPr>
            <w:r>
              <w:t xml:space="preserve">Entry</w:t>
            </w:r>
          </w:p>
        </w:tc>
      </w:tr>
      <w:tr>
        <w:tc>
          <w:tcPr>
            <w:tcW w:w="2735" w:type="dxa"/>
          </w:tcPr>
          <w:p>
            <w:pPr>
              <w:pStyle w:val="Compact"/>
              <w:jc w:val="left"/>
            </w:pPr>
            <w:r>
              <w:t xml:space="preserve">Action name</w:t>
            </w:r>
          </w:p>
        </w:tc>
        <w:tc>
          <w:tcPr>
            <w:tcW w:w="6624" w:type="dxa"/>
          </w:tcPr>
          <w:p>
            <w:pPr>
              <w:pStyle w:val="Compact"/>
              <w:jc w:val="left"/>
            </w:pPr>
            <w:r>
              <w:t xml:space="preserve">FICTIONAL: US additional duty on iron or steel fasteners (heading 7318) from Country X</w:t>
            </w:r>
          </w:p>
        </w:tc>
      </w:tr>
      <w:tr>
        <w:tc>
          <w:tcPr>
            <w:tcW w:w="2735" w:type="dxa"/>
          </w:tcPr>
          <w:p>
            <w:pPr>
              <w:pStyle w:val="Compact"/>
              <w:jc w:val="left"/>
            </w:pPr>
            <w:r>
              <w:t xml:space="preserve">Action ID</w:t>
            </w:r>
          </w:p>
        </w:tc>
        <w:tc>
          <w:tcPr>
            <w:tcW w:w="6624" w:type="dxa"/>
          </w:tcPr>
          <w:p>
            <w:pPr>
              <w:pStyle w:val="Compact"/>
              <w:jc w:val="left"/>
            </w:pPr>
            <w:r>
              <w:t xml:space="preserve">TA-US-FIC-01 (Jira label tariff-action-cx7318)</w:t>
            </w:r>
          </w:p>
        </w:tc>
      </w:tr>
      <w:tr>
        <w:tc>
          <w:tcPr>
            <w:tcW w:w="2735" w:type="dxa"/>
          </w:tcPr>
          <w:p>
            <w:pPr>
              <w:pStyle w:val="Compact"/>
              <w:jc w:val="left"/>
            </w:pPr>
            <w:r>
              <w:t xml:space="preserve">Brief ID and version</w:t>
            </w:r>
          </w:p>
        </w:tc>
        <w:tc>
          <w:tcPr>
            <w:tcW w:w="6624" w:type="dxa"/>
          </w:tcPr>
          <w:p>
            <w:pPr>
              <w:pStyle w:val="Compact"/>
              <w:jc w:val="left"/>
            </w:pPr>
            <w:r>
              <w:t xml:space="preserve">TIB-TA-US-FIC-01 v1.0</w:t>
            </w:r>
          </w:p>
        </w:tc>
      </w:tr>
      <w:tr>
        <w:tc>
          <w:tcPr>
            <w:tcW w:w="2735" w:type="dxa"/>
          </w:tcPr>
          <w:p>
            <w:pPr>
              <w:pStyle w:val="Compact"/>
              <w:jc w:val="left"/>
            </w:pPr>
            <w:r>
              <w:t xml:space="preserve">Importing country</w:t>
            </w:r>
          </w:p>
        </w:tc>
        <w:tc>
          <w:tcPr>
            <w:tcW w:w="6624" w:type="dxa"/>
          </w:tcPr>
          <w:p>
            <w:pPr>
              <w:pStyle w:val="Compact"/>
              <w:jc w:val="left"/>
            </w:pPr>
            <w:r>
              <w:t xml:space="preserve">US</w:t>
            </w:r>
          </w:p>
        </w:tc>
      </w:tr>
      <w:tr>
        <w:tc>
          <w:tcPr>
            <w:tcW w:w="2735" w:type="dxa"/>
          </w:tcPr>
          <w:p>
            <w:pPr>
              <w:pStyle w:val="Compact"/>
              <w:jc w:val="left"/>
            </w:pPr>
            <w:r>
              <w:t xml:space="preserve">Status</w:t>
            </w:r>
          </w:p>
        </w:tc>
        <w:tc>
          <w:tcPr>
            <w:tcW w:w="6624" w:type="dxa"/>
          </w:tcPr>
          <w:p>
            <w:pPr>
              <w:pStyle w:val="Compact"/>
              <w:jc w:val="left"/>
            </w:pPr>
            <w:r>
              <w:t xml:space="preserve">Released v1.0, Thu 2027-02-18 11:30</w:t>
            </w:r>
          </w:p>
        </w:tc>
      </w:tr>
      <w:tr>
        <w:tc>
          <w:tcPr>
            <w:tcW w:w="2735" w:type="dxa"/>
          </w:tcPr>
          <w:p>
            <w:pPr>
              <w:pStyle w:val="Compact"/>
              <w:jc w:val="left"/>
            </w:pPr>
            <w:r>
              <w:t xml:space="preserve">Maker / checker</w:t>
            </w:r>
          </w:p>
        </w:tc>
        <w:tc>
          <w:tcPr>
            <w:tcW w:w="6624" w:type="dxa"/>
          </w:tcPr>
          <w:p>
            <w:pPr>
              <w:pStyle w:val="Compact"/>
              <w:jc w:val="left"/>
            </w:pPr>
            <w:r>
              <w:t xml:space="preserve">Hire A / Senior</w:t>
            </w:r>
          </w:p>
        </w:tc>
      </w:tr>
      <w:tr>
        <w:tc>
          <w:tcPr>
            <w:tcW w:w="2735" w:type="dxa"/>
          </w:tcPr>
          <w:p>
            <w:pPr>
              <w:pStyle w:val="Compact"/>
              <w:jc w:val="left"/>
            </w:pPr>
            <w:r>
              <w:t xml:space="preserve">Date received / due</w:t>
            </w:r>
          </w:p>
        </w:tc>
        <w:tc>
          <w:tcPr>
            <w:tcW w:w="6624" w:type="dxa"/>
          </w:tcPr>
          <w:p>
            <w:pPr>
              <w:pStyle w:val="Compact"/>
              <w:jc w:val="left"/>
            </w:pPr>
            <w:r>
              <w:t xml:space="preserve">Tue 2027-02-16 09:40 / Thu 2027-02-18 12:00 (pricing meets Fri; duty applies in 8 working days)</w:t>
            </w:r>
          </w:p>
        </w:tc>
      </w:tr>
      <w:tr>
        <w:tc>
          <w:tcPr>
            <w:tcW w:w="2735" w:type="dxa"/>
          </w:tcPr>
          <w:p>
            <w:pPr>
              <w:pStyle w:val="Compact"/>
              <w:jc w:val="left"/>
            </w:pPr>
            <w:r>
              <w:t xml:space="preserve">Date sources last checked</w:t>
            </w:r>
          </w:p>
        </w:tc>
        <w:tc>
          <w:tcPr>
            <w:tcW w:w="6624" w:type="dxa"/>
          </w:tcPr>
          <w:p>
            <w:pPr>
              <w:pStyle w:val="Compact"/>
              <w:jc w:val="left"/>
            </w:pPr>
            <w:r>
              <w:t xml:space="preserve">Thu 2027-02-18 10:15</w:t>
            </w:r>
          </w:p>
        </w:tc>
      </w:tr>
    </w:tbl>
    <w:p>
      <w:pPr>
        <w:pStyle w:val="BodyText"/>
      </w:pPr>
      <w:r>
        <w:t xml:space="preserve">Summary: (1) A FICTIONAL Section 301 action adds a 25% ad valorem duty on goods of HTS heading 7318 from Country X. (2) Origin Country X only; all of heading 7318 except the Annex II exclusions. (3) Goods entered on or after 12:01 a.m. EST Mon 2027-03-01; no end date; goods already in transit get relief until 2027-04-30 if conditions are met. (4) Adds to the column 1 General rate. It switches off the FICTIONAL 9903.YY.01 duty (an earlier 10% on listed goods of Country X) on the goods it covers (S1 clause 4); 3 of our in-scope items pay 9903.YY.01 today (Q5). (5) 140 candidate items; 138 in scope after the Senior's review; 1 open question on how to claim the in-transit relief.</w:t>
      </w:r>
    </w:p>
    <w:bookmarkEnd w:id="59"/>
    <w:bookmarkStart w:id="60" w:name="legal-authority-and-sources"/>
    <w:p>
      <w:pPr>
        <w:pStyle w:val="Heading3"/>
      </w:pPr>
      <w:r>
        <w:t xml:space="preserve">Legal authority and sources</w:t>
      </w:r>
    </w:p>
    <w:tbl>
      <w:tblPr>
        <w:tblStyle w:val="Table"/>
        <w:tblW w:type="dxa" w:w="9360"/>
        <w:tblLook w:firstRow="1" w:lastRow="0" w:firstColumn="0" w:lastColumn="0" w:noHBand="0" w:noVBand="0" w:val="0020"/>
        <w:jc w:val="start"/>
        <w:tblLayout w:type="fixed"/>
      </w:tblPr>
      <w:tblGrid>
        <w:gridCol w:w="2641"/>
        <w:gridCol w:w="6718"/>
      </w:tblGrid>
      <w:tr>
        <w:trPr>
          <w:tblHeader w:val="true"/>
        </w:trPr>
        <w:tc>
          <w:tcPr>
            <w:tcW w:w="2641" w:type="dxa"/>
          </w:tcPr>
          <w:p>
            <w:pPr>
              <w:pStyle w:val="Compact"/>
              <w:jc w:val="left"/>
            </w:pPr>
            <w:r>
              <w:t xml:space="preserve">Field</w:t>
            </w:r>
          </w:p>
        </w:tc>
        <w:tc>
          <w:tcPr>
            <w:tcW w:w="6718" w:type="dxa"/>
          </w:tcPr>
          <w:p>
            <w:pPr>
              <w:pStyle w:val="Compact"/>
              <w:jc w:val="left"/>
            </w:pPr>
            <w:r>
              <w:t xml:space="preserve">Entry</w:t>
            </w:r>
          </w:p>
        </w:tc>
      </w:tr>
      <w:tr>
        <w:tc>
          <w:tcPr>
            <w:tcW w:w="2641" w:type="dxa"/>
          </w:tcPr>
          <w:p>
            <w:pPr>
              <w:pStyle w:val="Compact"/>
              <w:jc w:val="left"/>
            </w:pPr>
            <w:r>
              <w:t xml:space="preserve">Category</w:t>
            </w:r>
          </w:p>
        </w:tc>
        <w:tc>
          <w:tcPr>
            <w:tcW w:w="6718" w:type="dxa"/>
          </w:tcPr>
          <w:p>
            <w:pPr>
              <w:pStyle w:val="Compact"/>
              <w:jc w:val="left"/>
            </w:pPr>
            <w:r>
              <w:t xml:space="preserve">Section 301 of the Trade Act of 1974 (FICTIONAL instance; no such action exists)</w:t>
            </w:r>
          </w:p>
        </w:tc>
      </w:tr>
      <w:tr>
        <w:tc>
          <w:tcPr>
            <w:tcW w:w="2641" w:type="dxa"/>
          </w:tcPr>
          <w:p>
            <w:pPr>
              <w:pStyle w:val="Compact"/>
              <w:jc w:val="left"/>
            </w:pPr>
            <w:r>
              <w:t xml:space="preserve">Instrument</w:t>
            </w:r>
          </w:p>
        </w:tc>
        <w:tc>
          <w:tcPr>
            <w:tcW w:w="6718" w:type="dxa"/>
          </w:tcPr>
          <w:p>
            <w:pPr>
              <w:pStyle w:val="Compact"/>
              <w:jc w:val="left"/>
            </w:pPr>
            <w:r>
              <w:t xml:space="preserve">FICTIONAL USTR notice of action, 92 FR 00000, published 2027-02-16</w:t>
            </w:r>
          </w:p>
        </w:tc>
      </w:tr>
      <w:tr>
        <w:tc>
          <w:tcPr>
            <w:tcW w:w="2641" w:type="dxa"/>
          </w:tcPr>
          <w:p>
            <w:pPr>
              <w:pStyle w:val="Compact"/>
              <w:jc w:val="left"/>
            </w:pPr>
            <w:r>
              <w:t xml:space="preserve">Issuing authority</w:t>
            </w:r>
          </w:p>
        </w:tc>
        <w:tc>
          <w:tcPr>
            <w:tcW w:w="6718" w:type="dxa"/>
          </w:tcPr>
          <w:p>
            <w:pPr>
              <w:pStyle w:val="Compact"/>
              <w:jc w:val="left"/>
            </w:pPr>
            <w:r>
              <w:t xml:space="preserve">USTR</w:t>
            </w:r>
          </w:p>
        </w:tc>
      </w:tr>
      <w:tr>
        <w:tc>
          <w:tcPr>
            <w:tcW w:w="2641" w:type="dxa"/>
          </w:tcPr>
          <w:p>
            <w:pPr>
              <w:pStyle w:val="Compact"/>
              <w:jc w:val="left"/>
            </w:pPr>
            <w:r>
              <w:t xml:space="preserve">Related earlier actions</w:t>
            </w:r>
          </w:p>
        </w:tc>
        <w:tc>
          <w:tcPr>
            <w:tcW w:w="6718" w:type="dxa"/>
          </w:tcPr>
          <w:p>
            <w:pPr>
              <w:pStyle w:val="Compact"/>
              <w:jc w:val="left"/>
            </w:pPr>
            <w:r>
              <w:t xml:space="preserve">None on heading 7318 from Country X</w:t>
            </w:r>
          </w:p>
        </w:tc>
      </w:tr>
    </w:tbl>
    <w:p/>
    <w:tbl>
      <w:tblPr>
        <w:tblStyle w:val="Table"/>
        <w:tblW w:type="dxa" w:w="9360"/>
        <w:tblLook w:firstRow="1" w:lastRow="0" w:firstColumn="0" w:lastColumn="0" w:noHBand="0" w:noVBand="0" w:val="0020"/>
        <w:jc w:val="start"/>
        <w:tblLayout w:type="fixed"/>
      </w:tblPr>
      <w:tblGrid>
        <w:gridCol w:w="900"/>
        <w:gridCol w:w="3079"/>
        <w:gridCol w:w="1380"/>
        <w:gridCol w:w="2200"/>
        <w:gridCol w:w="1800"/>
      </w:tblGrid>
      <w:tr>
        <w:trPr>
          <w:tblHeader w:val="true"/>
        </w:trPr>
        <w:tc>
          <w:tcPr>
            <w:tcW w:w="900" w:type="dxa"/>
          </w:tcPr>
          <w:p>
            <w:pPr>
              <w:pStyle w:val="Compact"/>
              <w:jc w:val="left"/>
            </w:pPr>
            <w:r>
              <w:t xml:space="preserve">ID</w:t>
            </w:r>
          </w:p>
        </w:tc>
        <w:tc>
          <w:tcPr>
            <w:tcW w:w="3079" w:type="dxa"/>
          </w:tcPr>
          <w:p>
            <w:pPr>
              <w:pStyle w:val="Compact"/>
              <w:jc w:val="left"/>
            </w:pPr>
            <w:r>
              <w:t xml:space="preserve">Document</w:t>
            </w:r>
          </w:p>
        </w:tc>
        <w:tc>
          <w:tcPr>
            <w:tcW w:w="1380" w:type="dxa"/>
          </w:tcPr>
          <w:p>
            <w:pPr>
              <w:pStyle w:val="Compact"/>
              <w:jc w:val="left"/>
            </w:pPr>
            <w:r>
              <w:t xml:space="preserve">Date published</w:t>
            </w:r>
          </w:p>
        </w:tc>
        <w:tc>
          <w:tcPr>
            <w:tcW w:w="2200" w:type="dxa"/>
          </w:tcPr>
          <w:p>
            <w:pPr>
              <w:pStyle w:val="Compact"/>
              <w:jc w:val="left"/>
            </w:pPr>
            <w:r>
              <w:t xml:space="preserve">Link or location</w:t>
            </w:r>
          </w:p>
        </w:tc>
        <w:tc>
          <w:tcPr>
            <w:tcW w:w="1800" w:type="dxa"/>
          </w:tcPr>
          <w:p>
            <w:pPr>
              <w:pStyle w:val="Compact"/>
              <w:jc w:val="left"/>
            </w:pPr>
            <w:r>
              <w:t xml:space="preserve">What it is used for</w:t>
            </w:r>
          </w:p>
        </w:tc>
      </w:tr>
      <w:tr>
        <w:tc>
          <w:tcPr>
            <w:tcW w:w="900" w:type="dxa"/>
          </w:tcPr>
          <w:p>
            <w:pPr>
              <w:pStyle w:val="Compact"/>
              <w:jc w:val="left"/>
            </w:pPr>
            <w:r>
              <w:t xml:space="preserve">S1</w:t>
            </w:r>
          </w:p>
        </w:tc>
        <w:tc>
          <w:tcPr>
            <w:tcW w:w="3079" w:type="dxa"/>
          </w:tcPr>
          <w:p>
            <w:pPr>
              <w:pStyle w:val="Compact"/>
              <w:jc w:val="left"/>
            </w:pPr>
            <w:r>
              <w:t xml:space="preserve">FICTIONAL USTR notice of action 92 FR 00000, with Annex I (covered) and Annex II (excluded)</w:t>
            </w:r>
          </w:p>
        </w:tc>
        <w:tc>
          <w:tcPr>
            <w:tcW w:w="1380" w:type="dxa"/>
          </w:tcPr>
          <w:p>
            <w:pPr>
              <w:pStyle w:val="Compact"/>
              <w:jc w:val="left"/>
            </w:pPr>
            <w:r>
              <w:t xml:space="preserve">2027-02-16</w:t>
            </w:r>
          </w:p>
        </w:tc>
        <w:tc>
          <w:tcPr>
            <w:tcW w:w="2200" w:type="dxa"/>
          </w:tcPr>
          <w:p>
            <w:pPr>
              <w:pStyle w:val="Compact"/>
              <w:jc w:val="left"/>
            </w:pPr>
            <w:r>
              <w:t xml:space="preserve">[federalregister.gov link]</w:t>
            </w:r>
          </w:p>
        </w:tc>
        <w:tc>
          <w:tcPr>
            <w:tcW w:w="1800" w:type="dxa"/>
          </w:tcPr>
          <w:p>
            <w:pPr>
              <w:pStyle w:val="Compact"/>
              <w:jc w:val="left"/>
            </w:pPr>
            <w:r>
              <w:t xml:space="preserve">Legal text, timing, scope, rate</w:t>
            </w:r>
          </w:p>
        </w:tc>
      </w:tr>
      <w:tr>
        <w:tc>
          <w:tcPr>
            <w:tcW w:w="900" w:type="dxa"/>
          </w:tcPr>
          <w:p>
            <w:pPr>
              <w:pStyle w:val="Compact"/>
              <w:jc w:val="left"/>
            </w:pPr>
            <w:r>
              <w:t xml:space="preserve">S2</w:t>
            </w:r>
          </w:p>
        </w:tc>
        <w:tc>
          <w:tcPr>
            <w:tcW w:w="3079" w:type="dxa"/>
          </w:tcPr>
          <w:p>
            <w:pPr>
              <w:pStyle w:val="Compact"/>
              <w:jc w:val="left"/>
            </w:pPr>
            <w:r>
              <w:t xml:space="preserve">FICTIONAL CBP CSMS #00000000</w:t>
            </w:r>
          </w:p>
        </w:tc>
        <w:tc>
          <w:tcPr>
            <w:tcW w:w="1380" w:type="dxa"/>
          </w:tcPr>
          <w:p>
            <w:pPr>
              <w:pStyle w:val="Compact"/>
              <w:jc w:val="left"/>
            </w:pPr>
            <w:r>
              <w:t xml:space="preserve">2027-02-17</w:t>
            </w:r>
          </w:p>
        </w:tc>
        <w:tc>
          <w:tcPr>
            <w:tcW w:w="2200" w:type="dxa"/>
          </w:tcPr>
          <w:p>
            <w:pPr>
              <w:pStyle w:val="Compact"/>
              <w:jc w:val="left"/>
            </w:pPr>
            <w:r>
              <w:t xml:space="preserve">[cbp.gov CSMS link]</w:t>
            </w:r>
          </w:p>
        </w:tc>
        <w:tc>
          <w:tcPr>
            <w:tcW w:w="1800" w:type="dxa"/>
          </w:tcPr>
          <w:p>
            <w:pPr>
              <w:pStyle w:val="Compact"/>
              <w:jc w:val="left"/>
            </w:pPr>
            <w:r>
              <w:t xml:space="preserve">Filing: 9903.XX.01 and 9903.XX.02, reporting order, stacking</w:t>
            </w:r>
          </w:p>
        </w:tc>
      </w:tr>
      <w:tr>
        <w:tc>
          <w:tcPr>
            <w:tcW w:w="900" w:type="dxa"/>
          </w:tcPr>
          <w:p>
            <w:pPr>
              <w:pStyle w:val="Compact"/>
              <w:jc w:val="left"/>
            </w:pPr>
            <w:r>
              <w:t xml:space="preserve">S3</w:t>
            </w:r>
          </w:p>
        </w:tc>
        <w:tc>
          <w:tcPr>
            <w:tcW w:w="3079" w:type="dxa"/>
          </w:tcPr>
          <w:p>
            <w:pPr>
              <w:pStyle w:val="Compact"/>
              <w:jc w:val="left"/>
            </w:pPr>
            <w:r>
              <w:t xml:space="preserve">FICTIONAL HTSUS heading 9903.XX.01 and U.S. note 99</w:t>
            </w:r>
          </w:p>
        </w:tc>
        <w:tc>
          <w:tcPr>
            <w:tcW w:w="1380" w:type="dxa"/>
          </w:tcPr>
          <w:p>
            <w:pPr>
              <w:pStyle w:val="Compact"/>
              <w:jc w:val="left"/>
            </w:pPr>
            <w:r>
              <w:t xml:space="preserve">Revision [n]</w:t>
            </w:r>
          </w:p>
        </w:tc>
        <w:tc>
          <w:tcPr>
            <w:tcW w:w="2200" w:type="dxa"/>
          </w:tcPr>
          <w:p>
            <w:pPr>
              <w:pStyle w:val="Compact"/>
              <w:jc w:val="left"/>
            </w:pPr>
            <w:r>
              <w:t xml:space="preserve">[hts.usitc.gov link]</w:t>
            </w:r>
          </w:p>
        </w:tc>
        <w:tc>
          <w:tcPr>
            <w:tcW w:w="1800" w:type="dxa"/>
          </w:tcPr>
          <w:p>
            <w:pPr>
              <w:pStyle w:val="Compact"/>
              <w:jc w:val="left"/>
            </w:pPr>
            <w:r>
              <w:t xml:space="preserve">Heading text and rate</w:t>
            </w:r>
          </w:p>
        </w:tc>
      </w:tr>
      <w:tr>
        <w:tc>
          <w:tcPr>
            <w:tcW w:w="900" w:type="dxa"/>
          </w:tcPr>
          <w:p>
            <w:pPr>
              <w:pStyle w:val="Compact"/>
              <w:jc w:val="left"/>
            </w:pPr>
            <w:r>
              <w:t xml:space="preserve">S4</w:t>
            </w:r>
          </w:p>
        </w:tc>
        <w:tc>
          <w:tcPr>
            <w:tcW w:w="3079" w:type="dxa"/>
          </w:tcPr>
          <w:p>
            <w:pPr>
              <w:pStyle w:val="Compact"/>
              <w:jc w:val="left"/>
            </w:pPr>
            <w:r>
              <w:t xml:space="preserve">Email from [COMPANY: US broker] confirming Q2 and Q3 (Hire A's question, sent with the Senior copied)</w:t>
            </w:r>
          </w:p>
        </w:tc>
        <w:tc>
          <w:tcPr>
            <w:tcW w:w="1380" w:type="dxa"/>
          </w:tcPr>
          <w:p>
            <w:pPr>
              <w:pStyle w:val="Compact"/>
              <w:jc w:val="left"/>
            </w:pPr>
            <w:r>
              <w:t xml:space="preserve">2027-02-17</w:t>
            </w:r>
          </w:p>
        </w:tc>
        <w:tc>
          <w:tcPr>
            <w:tcW w:w="2200" w:type="dxa"/>
          </w:tcPr>
          <w:p>
            <w:pPr>
              <w:pStyle w:val="Compact"/>
              <w:jc w:val="left"/>
            </w:pPr>
            <w:r>
              <w:t xml:space="preserve">[COMPANY: email archive]</w:t>
            </w:r>
          </w:p>
        </w:tc>
        <w:tc>
          <w:tcPr>
            <w:tcW w:w="1800" w:type="dxa"/>
          </w:tcPr>
          <w:p>
            <w:pPr>
              <w:pStyle w:val="Compact"/>
              <w:jc w:val="left"/>
            </w:pPr>
            <w:r>
              <w:t xml:space="preserve">Confirmation</w:t>
            </w:r>
          </w:p>
        </w:tc>
      </w:tr>
    </w:tbl>
    <w:bookmarkEnd w:id="60"/>
    <w:bookmarkStart w:id="61" w:name="timing"/>
    <w:p>
      <w:pPr>
        <w:pStyle w:val="Heading3"/>
      </w:pPr>
      <w:r>
        <w:t xml:space="preserve">Timing</w:t>
      </w:r>
    </w:p>
    <w:tbl>
      <w:tblPr>
        <w:tblStyle w:val="Table"/>
        <w:tblW w:type="dxa" w:w="9360"/>
        <w:tblLook w:firstRow="1" w:lastRow="0" w:firstColumn="0" w:lastColumn="0" w:noHBand="0" w:noVBand="0" w:val="0020"/>
        <w:jc w:val="start"/>
        <w:tblLayout w:type="fixed"/>
      </w:tblPr>
      <w:tblGrid>
        <w:gridCol w:w="2404"/>
        <w:gridCol w:w="5976"/>
        <w:gridCol w:w="979"/>
      </w:tblGrid>
      <w:tr>
        <w:trPr>
          <w:tblHeader w:val="true"/>
        </w:trPr>
        <w:tc>
          <w:tcPr>
            <w:tcW w:w="2404" w:type="dxa"/>
          </w:tcPr>
          <w:p>
            <w:pPr>
              <w:pStyle w:val="Compact"/>
              <w:jc w:val="left"/>
            </w:pPr>
            <w:r>
              <w:t xml:space="preserve">Field</w:t>
            </w:r>
          </w:p>
        </w:tc>
        <w:tc>
          <w:tcPr>
            <w:tcW w:w="5976" w:type="dxa"/>
          </w:tcPr>
          <w:p>
            <w:pPr>
              <w:pStyle w:val="Compact"/>
              <w:jc w:val="left"/>
            </w:pPr>
            <w:r>
              <w:t xml:space="preserve">Entry</w:t>
            </w:r>
          </w:p>
        </w:tc>
        <w:tc>
          <w:tcPr>
            <w:tcW w:w="979" w:type="dxa"/>
          </w:tcPr>
          <w:p>
            <w:pPr>
              <w:pStyle w:val="Compact"/>
              <w:jc w:val="left"/>
            </w:pPr>
            <w:r>
              <w:t xml:space="preserve">Source</w:t>
            </w:r>
          </w:p>
        </w:tc>
      </w:tr>
      <w:tr>
        <w:tc>
          <w:tcPr>
            <w:tcW w:w="2404" w:type="dxa"/>
          </w:tcPr>
          <w:p>
            <w:pPr>
              <w:pStyle w:val="Compact"/>
              <w:jc w:val="left"/>
            </w:pPr>
            <w:r>
              <w:t xml:space="preserve">Effective date and time</w:t>
            </w:r>
          </w:p>
        </w:tc>
        <w:tc>
          <w:tcPr>
            <w:tcW w:w="5976" w:type="dxa"/>
          </w:tcPr>
          <w:p>
            <w:pPr>
              <w:pStyle w:val="Compact"/>
              <w:jc w:val="left"/>
            </w:pPr>
            <w:r>
              <w:t xml:space="preserve">12:01 a.m. eastern standard time, Mon 2027-03-01</w:t>
            </w:r>
          </w:p>
        </w:tc>
        <w:tc>
          <w:tcPr>
            <w:tcW w:w="979" w:type="dxa"/>
          </w:tcPr>
          <w:p>
            <w:pPr>
              <w:pStyle w:val="Compact"/>
              <w:jc w:val="left"/>
            </w:pPr>
            <w:r>
              <w:t xml:space="preserve">S1</w:t>
            </w:r>
          </w:p>
        </w:tc>
      </w:tr>
      <w:tr>
        <w:tc>
          <w:tcPr>
            <w:tcW w:w="2404" w:type="dxa"/>
          </w:tcPr>
          <w:p>
            <w:pPr>
              <w:pStyle w:val="Compact"/>
              <w:jc w:val="left"/>
            </w:pPr>
            <w:r>
              <w:t xml:space="preserve">Basis (quote)</w:t>
            </w:r>
          </w:p>
        </w:tc>
        <w:tc>
          <w:tcPr>
            <w:tcW w:w="5976" w:type="dxa"/>
          </w:tcPr>
          <w:p>
            <w:pPr>
              <w:pStyle w:val="Compact"/>
              <w:jc w:val="left"/>
            </w:pPr>
            <w:r>
              <w:t xml:space="preserve">"...products of Country X that are entered for consumption, or withdrawn from warehouse for consumption, on or after 12:01 a.m. eastern standard time on March 1, 2027"</w:t>
            </w:r>
          </w:p>
        </w:tc>
        <w:tc>
          <w:tcPr>
            <w:tcW w:w="979" w:type="dxa"/>
          </w:tcPr>
          <w:p>
            <w:pPr>
              <w:pStyle w:val="Compact"/>
              <w:jc w:val="left"/>
            </w:pPr>
            <w:r>
              <w:t xml:space="preserve">S1</w:t>
            </w:r>
          </w:p>
        </w:tc>
      </w:tr>
      <w:tr>
        <w:tc>
          <w:tcPr>
            <w:tcW w:w="2404" w:type="dxa"/>
          </w:tcPr>
          <w:p>
            <w:pPr>
              <w:pStyle w:val="Compact"/>
              <w:jc w:val="left"/>
            </w:pPr>
            <w:r>
              <w:t xml:space="preserve">In-transit provision</w:t>
            </w:r>
          </w:p>
        </w:tc>
        <w:tc>
          <w:tcPr>
            <w:tcW w:w="5976" w:type="dxa"/>
          </w:tcPr>
          <w:p>
            <w:pPr>
              <w:pStyle w:val="Compact"/>
              <w:jc w:val="left"/>
            </w:pPr>
            <w:r>
              <w:t xml:space="preserve">"...does not apply to products loaded onto a vessel at the port of loading and in transit on the final mode of transit before 12:01 a.m. eastern standard time on March 1, 2027, and entered for consumption before 12:01 a.m. eastern daylight time on April 30, 2027." Claimed under 9903.XX.03 (S2)</w:t>
            </w:r>
          </w:p>
        </w:tc>
        <w:tc>
          <w:tcPr>
            <w:tcW w:w="979" w:type="dxa"/>
          </w:tcPr>
          <w:p>
            <w:pPr>
              <w:pStyle w:val="Compact"/>
              <w:jc w:val="left"/>
            </w:pPr>
            <w:r>
              <w:t xml:space="preserve">S1, S2</w:t>
            </w:r>
          </w:p>
        </w:tc>
      </w:tr>
      <w:tr>
        <w:tc>
          <w:tcPr>
            <w:tcW w:w="2404" w:type="dxa"/>
          </w:tcPr>
          <w:p>
            <w:pPr>
              <w:pStyle w:val="Compact"/>
              <w:jc w:val="left"/>
            </w:pPr>
            <w:r>
              <w:t xml:space="preserve">End date</w:t>
            </w:r>
          </w:p>
        </w:tc>
        <w:tc>
          <w:tcPr>
            <w:tcW w:w="5976" w:type="dxa"/>
          </w:tcPr>
          <w:p>
            <w:pPr>
              <w:pStyle w:val="Compact"/>
              <w:jc w:val="left"/>
            </w:pPr>
            <w:r>
              <w:t xml:space="preserve">None stated</w:t>
            </w:r>
          </w:p>
        </w:tc>
        <w:tc>
          <w:tcPr>
            <w:tcW w:w="979" w:type="dxa"/>
          </w:tcPr>
          <w:p>
            <w:pPr>
              <w:pStyle w:val="Compact"/>
              <w:jc w:val="left"/>
            </w:pPr>
            <w:r>
              <w:t xml:space="preserve">S1</w:t>
            </w:r>
          </w:p>
        </w:tc>
      </w:tr>
      <w:tr>
        <w:tc>
          <w:tcPr>
            <w:tcW w:w="2404" w:type="dxa"/>
          </w:tcPr>
          <w:p>
            <w:pPr>
              <w:pStyle w:val="Compact"/>
              <w:jc w:val="left"/>
            </w:pPr>
            <w:r>
              <w:t xml:space="preserve">Step changes or quotas</w:t>
            </w:r>
          </w:p>
        </w:tc>
        <w:tc>
          <w:tcPr>
            <w:tcW w:w="5976" w:type="dxa"/>
          </w:tcPr>
          <w:p>
            <w:pPr>
              <w:pStyle w:val="Compact"/>
              <w:jc w:val="left"/>
            </w:pPr>
            <w:r>
              <w:t xml:space="preserve">None</w:t>
            </w:r>
          </w:p>
        </w:tc>
        <w:tc>
          <w:tcPr>
            <w:tcW w:w="979" w:type="dxa"/>
          </w:tcPr>
          <w:p>
            <w:pPr>
              <w:pStyle w:val="Compact"/>
              <w:jc w:val="left"/>
            </w:pPr>
            <w:r>
              <w:t xml:space="preserve">S1</w:t>
            </w:r>
          </w:p>
        </w:tc>
      </w:tr>
      <w:tr>
        <w:tc>
          <w:tcPr>
            <w:tcW w:w="2404" w:type="dxa"/>
          </w:tcPr>
          <w:p>
            <w:pPr>
              <w:pStyle w:val="Compact"/>
              <w:jc w:val="left"/>
            </w:pPr>
            <w:r>
              <w:t xml:space="preserve">Retroactivity or refunds</w:t>
            </w:r>
          </w:p>
        </w:tc>
        <w:tc>
          <w:tcPr>
            <w:tcW w:w="5976" w:type="dxa"/>
          </w:tcPr>
          <w:p>
            <w:pPr>
              <w:pStyle w:val="Compact"/>
              <w:jc w:val="left"/>
            </w:pPr>
            <w:r>
              <w:t xml:space="preserve">None</w:t>
            </w:r>
          </w:p>
        </w:tc>
        <w:tc>
          <w:tcPr>
            <w:tcW w:w="979" w:type="dxa"/>
          </w:tcPr>
          <w:p>
            <w:pPr>
              <w:pStyle w:val="Compact"/>
              <w:jc w:val="left"/>
            </w:pPr>
            <w:r>
              <w:t xml:space="preserve">S1</w:t>
            </w:r>
          </w:p>
        </w:tc>
      </w:tr>
      <w:tr>
        <w:tc>
          <w:tcPr>
            <w:tcW w:w="2404" w:type="dxa"/>
          </w:tcPr>
          <w:p>
            <w:pPr>
              <w:pStyle w:val="Compact"/>
              <w:jc w:val="left"/>
            </w:pPr>
            <w:r>
              <w:t xml:space="preserve">Exclusion or inclusion request process</w:t>
            </w:r>
          </w:p>
        </w:tc>
        <w:tc>
          <w:tcPr>
            <w:tcW w:w="5976" w:type="dxa"/>
          </w:tcPr>
          <w:p>
            <w:pPr>
              <w:pStyle w:val="Compact"/>
              <w:jc w:val="left"/>
            </w:pPr>
            <w:r>
              <w:t xml:space="preserve">None in the notice</w:t>
            </w:r>
          </w:p>
        </w:tc>
        <w:tc>
          <w:tcPr>
            <w:tcW w:w="979" w:type="dxa"/>
          </w:tcPr>
          <w:p>
            <w:pPr>
              <w:pStyle w:val="Compact"/>
              <w:jc w:val="left"/>
            </w:pPr>
            <w:r>
              <w:t xml:space="preserve">S1</w:t>
            </w:r>
          </w:p>
        </w:tc>
      </w:tr>
    </w:tbl>
    <w:bookmarkEnd w:id="61"/>
    <w:bookmarkStart w:id="62" w:name="scope"/>
    <w:p>
      <w:pPr>
        <w:pStyle w:val="Heading3"/>
      </w:pPr>
      <w:r>
        <w:t xml:space="preserve">Scope</w:t>
      </w:r>
    </w:p>
    <w:tbl>
      <w:tblPr>
        <w:tblStyle w:val="Table"/>
        <w:tblW w:type="dxa" w:w="9360"/>
        <w:tblLook w:firstRow="1" w:lastRow="0" w:firstColumn="0" w:lastColumn="0" w:noHBand="0" w:noVBand="0" w:val="0020"/>
        <w:jc w:val="start"/>
        <w:tblLayout w:type="fixed"/>
      </w:tblPr>
      <w:tblGrid>
        <w:gridCol w:w="1380"/>
        <w:gridCol w:w="1999"/>
        <w:gridCol w:w="3052"/>
        <w:gridCol w:w="920"/>
        <w:gridCol w:w="2008"/>
      </w:tblGrid>
      <w:tr>
        <w:trPr>
          <w:tblHeader w:val="true"/>
        </w:trPr>
        <w:tc>
          <w:tcPr>
            <w:tcW w:w="1380" w:type="dxa"/>
          </w:tcPr>
          <w:p>
            <w:pPr>
              <w:pStyle w:val="Compact"/>
              <w:jc w:val="left"/>
            </w:pPr>
            <w:r>
              <w:t xml:space="preserve">Chapter 99 heading</w:t>
            </w:r>
          </w:p>
        </w:tc>
        <w:tc>
          <w:tcPr>
            <w:tcW w:w="1999" w:type="dxa"/>
          </w:tcPr>
          <w:p>
            <w:pPr>
              <w:pStyle w:val="Compact"/>
              <w:jc w:val="left"/>
            </w:pPr>
            <w:r>
              <w:t xml:space="preserve">What it covers</w:t>
            </w:r>
          </w:p>
        </w:tc>
        <w:tc>
          <w:tcPr>
            <w:tcW w:w="3052" w:type="dxa"/>
          </w:tcPr>
          <w:p>
            <w:pPr>
              <w:pStyle w:val="Compact"/>
              <w:jc w:val="left"/>
            </w:pPr>
            <w:r>
              <w:t xml:space="preserve">Covered HTS numbers or list</w:t>
            </w:r>
          </w:p>
        </w:tc>
        <w:tc>
          <w:tcPr>
            <w:tcW w:w="920" w:type="dxa"/>
          </w:tcPr>
          <w:p>
            <w:pPr>
              <w:pStyle w:val="Compact"/>
              <w:jc w:val="left"/>
            </w:pPr>
            <w:r>
              <w:t xml:space="preserve">Source</w:t>
            </w:r>
          </w:p>
        </w:tc>
        <w:tc>
          <w:tcPr>
            <w:tcW w:w="2008" w:type="dxa"/>
          </w:tcPr>
          <w:p>
            <w:pPr>
              <w:pStyle w:val="Compact"/>
              <w:jc w:val="left"/>
            </w:pPr>
            <w:r>
              <w:t xml:space="preserve">Notes</w:t>
            </w:r>
          </w:p>
        </w:tc>
      </w:tr>
      <w:tr>
        <w:tc>
          <w:tcPr>
            <w:tcW w:w="1380" w:type="dxa"/>
          </w:tcPr>
          <w:p>
            <w:pPr>
              <w:pStyle w:val="Compact"/>
              <w:jc w:val="left"/>
            </w:pPr>
            <w:r>
              <w:t xml:space="preserve">9903.XX.01</w:t>
            </w:r>
          </w:p>
        </w:tc>
        <w:tc>
          <w:tcPr>
            <w:tcW w:w="1999" w:type="dxa"/>
          </w:tcPr>
          <w:p>
            <w:pPr>
              <w:pStyle w:val="Compact"/>
              <w:jc w:val="left"/>
            </w:pPr>
            <w:r>
              <w:t xml:space="preserve">Products of Country X listed in Annex I: additional 25%</w:t>
            </w:r>
          </w:p>
        </w:tc>
        <w:tc>
          <w:tcPr>
            <w:tcW w:w="3052" w:type="dxa"/>
          </w:tcPr>
          <w:p>
            <w:pPr>
              <w:pStyle w:val="Compact"/>
              <w:jc w:val="left"/>
            </w:pPr>
            <w:r>
              <w:t xml:space="preserve">Annex I: heading 7318 (1 line)</w:t>
            </w:r>
          </w:p>
        </w:tc>
        <w:tc>
          <w:tcPr>
            <w:tcW w:w="920" w:type="dxa"/>
          </w:tcPr>
          <w:p>
            <w:pPr>
              <w:pStyle w:val="Compact"/>
              <w:jc w:val="left"/>
            </w:pPr>
            <w:r>
              <w:t xml:space="preserve">S1, S3</w:t>
            </w:r>
          </w:p>
        </w:tc>
        <w:tc>
          <w:tcPr>
            <w:tcW w:w="2008" w:type="dxa"/>
          </w:tcPr>
          <w:p>
            <w:pPr>
              <w:pStyle w:val="Compact"/>
              <w:jc w:val="left"/>
            </w:pPr>
            <w:r>
              <w:t xml:space="preserve">4-digit list: every 7318 number is covered unless in Annex II</w:t>
            </w:r>
          </w:p>
        </w:tc>
      </w:tr>
      <w:tr>
        <w:tc>
          <w:tcPr>
            <w:tcW w:w="1380" w:type="dxa"/>
          </w:tcPr>
          <w:p>
            <w:pPr>
              <w:pStyle w:val="Compact"/>
              <w:jc w:val="left"/>
            </w:pPr>
            <w:r>
              <w:t xml:space="preserve">9903.XX.02</w:t>
            </w:r>
          </w:p>
        </w:tc>
        <w:tc>
          <w:tcPr>
            <w:tcW w:w="1999" w:type="dxa"/>
          </w:tcPr>
          <w:p>
            <w:pPr>
              <w:pStyle w:val="Compact"/>
              <w:jc w:val="left"/>
            </w:pPr>
            <w:r>
              <w:t xml:space="preserve">Products of Country X listed in Annex II: no additional duty</w:t>
            </w:r>
          </w:p>
        </w:tc>
        <w:tc>
          <w:tcPr>
            <w:tcW w:w="3052" w:type="dxa"/>
          </w:tcPr>
          <w:p>
            <w:pPr>
              <w:pStyle w:val="Compact"/>
              <w:jc w:val="left"/>
            </w:pPr>
            <w:r>
              <w:t xml:space="preserve">Annex II: (1) subheading 7318.24 (cotters and cotter pins); (2) "fasteners certified for use in civil aircraft and accompanied by a certificate of conformity"</w:t>
            </w:r>
          </w:p>
        </w:tc>
        <w:tc>
          <w:tcPr>
            <w:tcW w:w="920" w:type="dxa"/>
          </w:tcPr>
          <w:p>
            <w:pPr>
              <w:pStyle w:val="Compact"/>
              <w:jc w:val="left"/>
            </w:pPr>
            <w:r>
              <w:t xml:space="preserve">S1, S2</w:t>
            </w:r>
          </w:p>
        </w:tc>
        <w:tc>
          <w:tcPr>
            <w:tcW w:w="2008" w:type="dxa"/>
          </w:tcPr>
          <w:p>
            <w:pPr>
              <w:pStyle w:val="Compact"/>
              <w:jc w:val="left"/>
            </w:pPr>
            <w:r>
              <w:t xml:space="preserve">Exclusion (2) is a product description, not an HTS line</w:t>
            </w:r>
          </w:p>
        </w:tc>
      </w:tr>
      <w:tr>
        <w:tc>
          <w:tcPr>
            <w:tcW w:w="1380" w:type="dxa"/>
          </w:tcPr>
          <w:p>
            <w:pPr>
              <w:pStyle w:val="Compact"/>
              <w:jc w:val="left"/>
            </w:pPr>
            <w:r>
              <w:t xml:space="preserve">9903.XX.03</w:t>
            </w:r>
          </w:p>
        </w:tc>
        <w:tc>
          <w:tcPr>
            <w:tcW w:w="1999" w:type="dxa"/>
          </w:tcPr>
          <w:p>
            <w:pPr>
              <w:pStyle w:val="Compact"/>
              <w:jc w:val="left"/>
            </w:pPr>
            <w:r>
              <w:t xml:space="preserve">In-transit products</w:t>
            </w:r>
          </w:p>
        </w:tc>
        <w:tc>
          <w:tcPr>
            <w:tcW w:w="3052" w:type="dxa"/>
          </w:tcPr>
          <w:p>
            <w:pPr>
              <w:pStyle w:val="Compact"/>
              <w:jc w:val="left"/>
            </w:pPr>
            <w:r>
              <w:t xml:space="preserve">Same as Annex I</w:t>
            </w:r>
          </w:p>
        </w:tc>
        <w:tc>
          <w:tcPr>
            <w:tcW w:w="920" w:type="dxa"/>
          </w:tcPr>
          <w:p>
            <w:pPr>
              <w:pStyle w:val="Compact"/>
              <w:jc w:val="left"/>
            </w:pPr>
            <w:r>
              <w:t xml:space="preserve">S2</w:t>
            </w:r>
          </w:p>
        </w:tc>
        <w:tc>
          <w:tcPr>
            <w:tcW w:w="2008" w:type="dxa"/>
          </w:tcPr>
          <w:p>
            <w:pPr>
              <w:pStyle w:val="Compact"/>
              <w:jc w:val="left"/>
            </w:pPr>
            <w:r>
              <w:t xml:space="preserve">Claim conditions in Timing</w:t>
            </w:r>
          </w:p>
        </w:tc>
      </w:tr>
    </w:tbl>
    <w:p/>
    <w:tbl>
      <w:tblPr>
        <w:tblStyle w:val="Table"/>
        <w:tblW w:type="dxa" w:w="9360"/>
        <w:tblLook w:firstRow="1" w:lastRow="0" w:firstColumn="0" w:lastColumn="0" w:noHBand="0" w:noVBand="0" w:val="0020"/>
        <w:jc w:val="start"/>
        <w:tblLayout w:type="fixed"/>
      </w:tblPr>
      <w:tblGrid>
        <w:gridCol w:w="1401"/>
        <w:gridCol w:w="1204"/>
        <w:gridCol w:w="5802"/>
        <w:gridCol w:w="950"/>
      </w:tblGrid>
      <w:tr>
        <w:trPr>
          <w:tblHeader w:val="true"/>
        </w:trPr>
        <w:tc>
          <w:tcPr>
            <w:tcW w:w="1401" w:type="dxa"/>
          </w:tcPr>
          <w:p>
            <w:pPr>
              <w:pStyle w:val="Compact"/>
              <w:jc w:val="left"/>
            </w:pPr>
            <w:r>
              <w:t xml:space="preserve">Country</w:t>
            </w:r>
          </w:p>
        </w:tc>
        <w:tc>
          <w:tcPr>
            <w:tcW w:w="1204" w:type="dxa"/>
          </w:tcPr>
          <w:p>
            <w:pPr>
              <w:pStyle w:val="Compact"/>
              <w:jc w:val="left"/>
            </w:pPr>
            <w:r>
              <w:t xml:space="preserve">Covered?</w:t>
            </w:r>
          </w:p>
        </w:tc>
        <w:tc>
          <w:tcPr>
            <w:tcW w:w="5802" w:type="dxa"/>
          </w:tcPr>
          <w:p>
            <w:pPr>
              <w:pStyle w:val="Compact"/>
              <w:jc w:val="left"/>
            </w:pPr>
            <w:r>
              <w:t xml:space="preserve">Origin rule used</w:t>
            </w:r>
          </w:p>
        </w:tc>
        <w:tc>
          <w:tcPr>
            <w:tcW w:w="950" w:type="dxa"/>
          </w:tcPr>
          <w:p>
            <w:pPr>
              <w:pStyle w:val="Compact"/>
              <w:jc w:val="left"/>
            </w:pPr>
            <w:r>
              <w:t xml:space="preserve">Source</w:t>
            </w:r>
          </w:p>
        </w:tc>
      </w:tr>
      <w:tr>
        <w:tc>
          <w:tcPr>
            <w:tcW w:w="1401" w:type="dxa"/>
          </w:tcPr>
          <w:p>
            <w:pPr>
              <w:pStyle w:val="Compact"/>
              <w:jc w:val="left"/>
            </w:pPr>
            <w:r>
              <w:t xml:space="preserve">Country X</w:t>
            </w:r>
          </w:p>
        </w:tc>
        <w:tc>
          <w:tcPr>
            <w:tcW w:w="1204" w:type="dxa"/>
          </w:tcPr>
          <w:p>
            <w:pPr>
              <w:pStyle w:val="Compact"/>
              <w:jc w:val="left"/>
            </w:pPr>
            <w:r>
              <w:t xml:space="preserve">Yes</w:t>
            </w:r>
          </w:p>
        </w:tc>
        <w:tc>
          <w:tcPr>
            <w:tcW w:w="5802" w:type="dxa"/>
          </w:tcPr>
          <w:p>
            <w:pPr>
              <w:pStyle w:val="Compact"/>
              <w:jc w:val="left"/>
            </w:pPr>
            <w:r>
              <w:t xml:space="preserve">Normal non-preferential origin (no special rule in the notice)</w:t>
            </w:r>
          </w:p>
        </w:tc>
        <w:tc>
          <w:tcPr>
            <w:tcW w:w="950" w:type="dxa"/>
          </w:tcPr>
          <w:p>
            <w:pPr>
              <w:pStyle w:val="Compact"/>
              <w:jc w:val="left"/>
            </w:pPr>
            <w:r>
              <w:t xml:space="preserve">S1</w:t>
            </w:r>
          </w:p>
        </w:tc>
      </w:tr>
      <w:tr>
        <w:tc>
          <w:tcPr>
            <w:tcW w:w="1401" w:type="dxa"/>
          </w:tcPr>
          <w:p>
            <w:pPr>
              <w:pStyle w:val="Compact"/>
              <w:jc w:val="left"/>
            </w:pPr>
            <w:r>
              <w:t xml:space="preserve">All others</w:t>
            </w:r>
          </w:p>
        </w:tc>
        <w:tc>
          <w:tcPr>
            <w:tcW w:w="1204" w:type="dxa"/>
          </w:tcPr>
          <w:p>
            <w:pPr>
              <w:pStyle w:val="Compact"/>
              <w:jc w:val="left"/>
            </w:pPr>
            <w:r>
              <w:t xml:space="preserve">No</w:t>
            </w:r>
          </w:p>
        </w:tc>
        <w:tc>
          <w:tcPr>
            <w:tcW w:w="5802" w:type="dxa"/>
          </w:tcPr>
          <w:p>
            <w:pPr>
              <w:pStyle w:val="Compact"/>
              <w:jc w:val="left"/>
            </w:pPr>
            <w:r>
              <w:t xml:space="preserve">n/a</w:t>
            </w:r>
          </w:p>
        </w:tc>
        <w:tc>
          <w:tcPr>
            <w:tcW w:w="950" w:type="dxa"/>
          </w:tcPr>
          <w:p>
            <w:pPr>
              <w:pStyle w:val="Compact"/>
              <w:jc w:val="left"/>
            </w:pPr>
            <w:r>
              <w:t xml:space="preserve">S1</w:t>
            </w:r>
          </w:p>
        </w:tc>
      </w:tr>
    </w:tbl>
    <w:p/>
    <w:tbl>
      <w:tblPr>
        <w:tblStyle w:val="Table"/>
        <w:tblW w:type="dxa" w:w="9360"/>
        <w:tblLook w:firstRow="1" w:lastRow="0" w:firstColumn="0" w:lastColumn="0" w:noHBand="0" w:noVBand="0" w:val="0020"/>
        <w:jc w:val="start"/>
        <w:tblLayout w:type="fixed"/>
      </w:tblPr>
      <w:tblGrid>
        <w:gridCol w:w="1840"/>
        <w:gridCol w:w="1495"/>
        <w:gridCol w:w="2959"/>
        <w:gridCol w:w="2145"/>
        <w:gridCol w:w="920"/>
      </w:tblGrid>
      <w:tr>
        <w:trPr>
          <w:tblHeader w:val="true"/>
        </w:trPr>
        <w:tc>
          <w:tcPr>
            <w:tcW w:w="1840" w:type="dxa"/>
          </w:tcPr>
          <w:p>
            <w:pPr>
              <w:pStyle w:val="Compact"/>
              <w:jc w:val="left"/>
            </w:pPr>
            <w:r>
              <w:t xml:space="preserve">Exclusion or exemption</w:t>
            </w:r>
          </w:p>
        </w:tc>
        <w:tc>
          <w:tcPr>
            <w:tcW w:w="1495" w:type="dxa"/>
          </w:tcPr>
          <w:p>
            <w:pPr>
              <w:pStyle w:val="Compact"/>
              <w:jc w:val="left"/>
            </w:pPr>
            <w:r>
              <w:t xml:space="preserve">Type</w:t>
            </w:r>
          </w:p>
        </w:tc>
        <w:tc>
          <w:tcPr>
            <w:tcW w:w="2959" w:type="dxa"/>
          </w:tcPr>
          <w:p>
            <w:pPr>
              <w:pStyle w:val="Compact"/>
              <w:jc w:val="left"/>
            </w:pPr>
            <w:r>
              <w:t xml:space="preserve">How we identify affected items</w:t>
            </w:r>
          </w:p>
        </w:tc>
        <w:tc>
          <w:tcPr>
            <w:tcW w:w="2145" w:type="dxa"/>
          </w:tcPr>
          <w:p>
            <w:pPr>
              <w:pStyle w:val="Compact"/>
              <w:jc w:val="left"/>
            </w:pPr>
            <w:r>
              <w:t xml:space="preserve">Evidence needed at entry</w:t>
            </w:r>
          </w:p>
        </w:tc>
        <w:tc>
          <w:tcPr>
            <w:tcW w:w="920" w:type="dxa"/>
          </w:tcPr>
          <w:p>
            <w:pPr>
              <w:pStyle w:val="Compact"/>
              <w:jc w:val="left"/>
            </w:pPr>
            <w:r>
              <w:t xml:space="preserve">Source</w:t>
            </w:r>
          </w:p>
        </w:tc>
      </w:tr>
      <w:tr>
        <w:tc>
          <w:tcPr>
            <w:tcW w:w="1840" w:type="dxa"/>
          </w:tcPr>
          <w:p>
            <w:pPr>
              <w:pStyle w:val="Compact"/>
              <w:jc w:val="left"/>
            </w:pPr>
            <w:r>
              <w:t xml:space="preserve">7318.24 cotters and cotter pins</w:t>
            </w:r>
          </w:p>
        </w:tc>
        <w:tc>
          <w:tcPr>
            <w:tcW w:w="1495" w:type="dxa"/>
          </w:tcPr>
          <w:p>
            <w:pPr>
              <w:pStyle w:val="Compact"/>
              <w:jc w:val="left"/>
            </w:pPr>
            <w:r>
              <w:t xml:space="preserve">HTS line</w:t>
            </w:r>
          </w:p>
        </w:tc>
        <w:tc>
          <w:tcPr>
            <w:tcW w:w="2959" w:type="dxa"/>
          </w:tcPr>
          <w:p>
            <w:pPr>
              <w:pStyle w:val="Compact"/>
              <w:jc w:val="left"/>
            </w:pPr>
            <w:r>
              <w:t xml:space="preserve">Query: HTS starts 731824</w:t>
            </w:r>
          </w:p>
        </w:tc>
        <w:tc>
          <w:tcPr>
            <w:tcW w:w="2145" w:type="dxa"/>
          </w:tcPr>
          <w:p>
            <w:pPr>
              <w:pStyle w:val="Compact"/>
              <w:jc w:val="left"/>
            </w:pPr>
            <w:r>
              <w:t xml:space="preserve">None beyond classification; filed under 9903.XX.02</w:t>
            </w:r>
          </w:p>
        </w:tc>
        <w:tc>
          <w:tcPr>
            <w:tcW w:w="920" w:type="dxa"/>
          </w:tcPr>
          <w:p>
            <w:pPr>
              <w:pStyle w:val="Compact"/>
              <w:jc w:val="left"/>
            </w:pPr>
            <w:r>
              <w:t xml:space="preserve">S1, S2</w:t>
            </w:r>
          </w:p>
        </w:tc>
      </w:tr>
      <w:tr>
        <w:tc>
          <w:tcPr>
            <w:tcW w:w="1840" w:type="dxa"/>
          </w:tcPr>
          <w:p>
            <w:pPr>
              <w:pStyle w:val="Compact"/>
              <w:jc w:val="left"/>
            </w:pPr>
            <w:r>
              <w:t xml:space="preserve">Civil-aircraft fasteners with certificate</w:t>
            </w:r>
          </w:p>
        </w:tc>
        <w:tc>
          <w:tcPr>
            <w:tcW w:w="1495" w:type="dxa"/>
          </w:tcPr>
          <w:p>
            <w:pPr>
              <w:pStyle w:val="Compact"/>
              <w:jc w:val="left"/>
            </w:pPr>
            <w:r>
              <w:t xml:space="preserve">Product description and certificate</w:t>
            </w:r>
          </w:p>
        </w:tc>
        <w:tc>
          <w:tcPr>
            <w:tcW w:w="2959" w:type="dxa"/>
          </w:tcPr>
          <w:p>
            <w:pPr>
              <w:pStyle w:val="Compact"/>
              <w:jc w:val="left"/>
            </w:pPr>
            <w:r>
              <w:t xml:space="preserve">Item-by-item: aerospace item attribute [COMPANY: attribute] plus Purchasing check</w:t>
            </w:r>
          </w:p>
        </w:tc>
        <w:tc>
          <w:tcPr>
            <w:tcW w:w="2145" w:type="dxa"/>
          </w:tcPr>
          <w:p>
            <w:pPr>
              <w:pStyle w:val="Compact"/>
              <w:jc w:val="left"/>
            </w:pPr>
            <w:r>
              <w:t xml:space="preserve">Certificate of conformity with each entry</w:t>
            </w:r>
          </w:p>
        </w:tc>
        <w:tc>
          <w:tcPr>
            <w:tcW w:w="920" w:type="dxa"/>
          </w:tcPr>
          <w:p>
            <w:pPr>
              <w:pStyle w:val="Compact"/>
              <w:jc w:val="left"/>
            </w:pPr>
            <w:r>
              <w:t xml:space="preserve">S1, S2</w:t>
            </w:r>
          </w:p>
        </w:tc>
      </w:tr>
    </w:tbl>
    <w:p/>
    <w:tbl>
      <w:tblPr>
        <w:tblStyle w:val="Table"/>
        <w:tblW w:type="dxa" w:w="9360"/>
        <w:tblLook w:firstRow="1" w:lastRow="0" w:firstColumn="0" w:lastColumn="0" w:noHBand="0" w:noVBand="0" w:val="0020"/>
        <w:jc w:val="start"/>
        <w:tblLayout w:type="fixed"/>
      </w:tblPr>
      <w:tblGrid>
        <w:gridCol w:w="1400"/>
        <w:gridCol w:w="6839"/>
        <w:gridCol w:w="1120"/>
      </w:tblGrid>
      <w:tr>
        <w:trPr>
          <w:tblHeader w:val="true"/>
        </w:trPr>
        <w:tc>
          <w:tcPr>
            <w:tcW w:w="1400" w:type="dxa"/>
          </w:tcPr>
          <w:p>
            <w:pPr>
              <w:pStyle w:val="Compact"/>
              <w:jc w:val="left"/>
            </w:pPr>
            <w:r>
              <w:t xml:space="preserve">Topic</w:t>
            </w:r>
          </w:p>
        </w:tc>
        <w:tc>
          <w:tcPr>
            <w:tcW w:w="6839" w:type="dxa"/>
          </w:tcPr>
          <w:p>
            <w:pPr>
              <w:pStyle w:val="Compact"/>
              <w:jc w:val="left"/>
            </w:pPr>
            <w:r>
              <w:t xml:space="preserve">Entry</w:t>
            </w:r>
          </w:p>
        </w:tc>
        <w:tc>
          <w:tcPr>
            <w:tcW w:w="1120" w:type="dxa"/>
          </w:tcPr>
          <w:p>
            <w:pPr>
              <w:pStyle w:val="Compact"/>
              <w:jc w:val="left"/>
            </w:pPr>
            <w:r>
              <w:t xml:space="preserve">Source</w:t>
            </w:r>
          </w:p>
        </w:tc>
      </w:tr>
      <w:tr>
        <w:tc>
          <w:tcPr>
            <w:tcW w:w="1400" w:type="dxa"/>
          </w:tcPr>
          <w:p>
            <w:pPr>
              <w:pStyle w:val="Compact"/>
              <w:jc w:val="left"/>
            </w:pPr>
            <w:r>
              <w:t xml:space="preserve">USMCA</w:t>
            </w:r>
          </w:p>
        </w:tc>
        <w:tc>
          <w:tcPr>
            <w:tcW w:w="6839" w:type="dxa"/>
          </w:tcPr>
          <w:p>
            <w:pPr>
              <w:pStyle w:val="Compact"/>
              <w:jc w:val="left"/>
            </w:pPr>
            <w:r>
              <w:t xml:space="preserve">Not applicable: Country X is not a USMCA party; goods of Canada and Mexico are not covered. Routing Country X goods through Mexico does not change their origin unless they are substantially transformed there (flag any such supply chain to the Senior)</w:t>
            </w:r>
          </w:p>
        </w:tc>
        <w:tc>
          <w:tcPr>
            <w:tcW w:w="1120" w:type="dxa"/>
          </w:tcPr>
          <w:p>
            <w:pPr>
              <w:pStyle w:val="Compact"/>
              <w:jc w:val="left"/>
            </w:pPr>
            <w:r>
              <w:t xml:space="preserve">S1</w:t>
            </w:r>
          </w:p>
        </w:tc>
      </w:tr>
      <w:tr>
        <w:tc>
          <w:tcPr>
            <w:tcW w:w="1400" w:type="dxa"/>
          </w:tcPr>
          <w:p>
            <w:pPr>
              <w:pStyle w:val="Compact"/>
              <w:jc w:val="left"/>
            </w:pPr>
            <w:r>
              <w:t xml:space="preserve">Stacking</w:t>
            </w:r>
          </w:p>
        </w:tc>
        <w:tc>
          <w:tcPr>
            <w:tcW w:w="6839" w:type="dxa"/>
          </w:tcPr>
          <w:p>
            <w:pPr>
              <w:pStyle w:val="Compact"/>
              <w:jc w:val="left"/>
            </w:pPr>
            <w:r>
              <w:t xml:space="preserve">Adds to the column 1 General rate. S1 clause 4: goods that pay 9903.XX.01 no longer pay the FICTIONAL 9903.YY.01 (10%). 3 of our items pay 9903.YY.01 today (Q5): they go on the Action tab as determinations with 10% displaced. S2: apart from 9903.YY.01, no other additional duty applies to these goods. Report 9903.XX.01 before the Chapter 73 number</w:t>
            </w:r>
          </w:p>
        </w:tc>
        <w:tc>
          <w:tcPr>
            <w:tcW w:w="1120" w:type="dxa"/>
          </w:tcPr>
          <w:p>
            <w:pPr>
              <w:pStyle w:val="Compact"/>
              <w:jc w:val="left"/>
            </w:pPr>
            <w:r>
              <w:t xml:space="preserve">S1, S2</w:t>
            </w:r>
          </w:p>
        </w:tc>
      </w:tr>
      <w:tr>
        <w:tc>
          <w:tcPr>
            <w:tcW w:w="1400" w:type="dxa"/>
          </w:tcPr>
          <w:p>
            <w:pPr>
              <w:pStyle w:val="Compact"/>
              <w:jc w:val="left"/>
            </w:pPr>
            <w:r>
              <w:t xml:space="preserve">De minimis</w:t>
            </w:r>
          </w:p>
        </w:tc>
        <w:tc>
          <w:tcPr>
            <w:tcW w:w="6839" w:type="dxa"/>
          </w:tcPr>
          <w:p>
            <w:pPr>
              <w:pStyle w:val="Compact"/>
              <w:jc w:val="left"/>
            </w:pPr>
            <w:r>
              <w:t xml:space="preserve">S2: applies regardless of value. Our imports from Country X are formal entries ([COMPANY: confirm])</w:t>
            </w:r>
          </w:p>
        </w:tc>
        <w:tc>
          <w:tcPr>
            <w:tcW w:w="1120" w:type="dxa"/>
          </w:tcPr>
          <w:p>
            <w:pPr>
              <w:pStyle w:val="Compact"/>
              <w:jc w:val="left"/>
            </w:pPr>
            <w:r>
              <w:t xml:space="preserve">S2</w:t>
            </w:r>
          </w:p>
        </w:tc>
      </w:tr>
      <w:tr>
        <w:tc>
          <w:tcPr>
            <w:tcW w:w="1400" w:type="dxa"/>
          </w:tcPr>
          <w:p>
            <w:pPr>
              <w:pStyle w:val="Compact"/>
              <w:jc w:val="left"/>
            </w:pPr>
            <w:r>
              <w:t xml:space="preserve">Drawback</w:t>
            </w:r>
          </w:p>
        </w:tc>
        <w:tc>
          <w:tcPr>
            <w:tcW w:w="6839" w:type="dxa"/>
          </w:tcPr>
          <w:p>
            <w:pPr>
              <w:pStyle w:val="Compact"/>
              <w:jc w:val="left"/>
            </w:pPr>
            <w:r>
              <w:t xml:space="preserve">S1 is silent; S2 says normal drawback rules apply. Sent to the Senior 2027-02-17</w:t>
            </w:r>
          </w:p>
        </w:tc>
        <w:tc>
          <w:tcPr>
            <w:tcW w:w="1120" w:type="dxa"/>
          </w:tcPr>
          <w:p>
            <w:pPr>
              <w:pStyle w:val="Compact"/>
              <w:jc w:val="left"/>
            </w:pPr>
            <w:r>
              <w:t xml:space="preserve">S2</w:t>
            </w:r>
          </w:p>
        </w:tc>
      </w:tr>
    </w:tbl>
    <w:bookmarkEnd w:id="62"/>
    <w:bookmarkStart w:id="63" w:name="rates"/>
    <w:p>
      <w:pPr>
        <w:pStyle w:val="Heading3"/>
      </w:pPr>
      <w:r>
        <w:t xml:space="preserve">Rates</w:t>
      </w:r>
    </w:p>
    <w:tbl>
      <w:tblPr>
        <w:tblStyle w:val="Table"/>
        <w:tblW w:type="dxa" w:w="9360"/>
        <w:tblLook w:firstRow="1" w:lastRow="0" w:firstColumn="0" w:lastColumn="0" w:noHBand="0" w:noVBand="0" w:val="0020"/>
        <w:jc w:val="start"/>
        <w:tblLayout w:type="fixed"/>
      </w:tblPr>
      <w:tblGrid>
        <w:gridCol w:w="899"/>
        <w:gridCol w:w="1379"/>
        <w:gridCol w:w="1379"/>
        <w:gridCol w:w="1914"/>
        <w:gridCol w:w="2865"/>
        <w:gridCol w:w="919"/>
      </w:tblGrid>
      <w:tr>
        <w:trPr>
          <w:tblHeader w:val="true"/>
        </w:trPr>
        <w:tc>
          <w:tcPr>
            <w:tcW w:w="899" w:type="dxa"/>
          </w:tcPr>
          <w:p>
            <w:pPr>
              <w:pStyle w:val="Compact"/>
              <w:jc w:val="left"/>
            </w:pPr>
            <w:r>
              <w:t xml:space="preserve">Line</w:t>
            </w:r>
          </w:p>
        </w:tc>
        <w:tc>
          <w:tcPr>
            <w:tcW w:w="1379" w:type="dxa"/>
          </w:tcPr>
          <w:p>
            <w:pPr>
              <w:pStyle w:val="Compact"/>
              <w:jc w:val="left"/>
            </w:pPr>
            <w:r>
              <w:t xml:space="preserve">Applies to</w:t>
            </w:r>
          </w:p>
        </w:tc>
        <w:tc>
          <w:tcPr>
            <w:tcW w:w="1379" w:type="dxa"/>
          </w:tcPr>
          <w:p>
            <w:pPr>
              <w:pStyle w:val="Compact"/>
              <w:jc w:val="left"/>
            </w:pPr>
            <w:r>
              <w:t xml:space="preserve">Rate and type</w:t>
            </w:r>
          </w:p>
        </w:tc>
        <w:tc>
          <w:tcPr>
            <w:tcW w:w="1914" w:type="dxa"/>
          </w:tcPr>
          <w:p>
            <w:pPr>
              <w:pStyle w:val="Compact"/>
              <w:jc w:val="left"/>
            </w:pPr>
            <w:r>
              <w:t xml:space="preserve">Base the rate applies to</w:t>
            </w:r>
          </w:p>
        </w:tc>
        <w:tc>
          <w:tcPr>
            <w:tcW w:w="2865" w:type="dxa"/>
          </w:tcPr>
          <w:p>
            <w:pPr>
              <w:pStyle w:val="Compact"/>
              <w:jc w:val="left"/>
            </w:pPr>
            <w:r>
              <w:t xml:space="preserve">Adds to or replaces</w:t>
            </w:r>
          </w:p>
        </w:tc>
        <w:tc>
          <w:tcPr>
            <w:tcW w:w="919" w:type="dxa"/>
          </w:tcPr>
          <w:p>
            <w:pPr>
              <w:pStyle w:val="Compact"/>
              <w:jc w:val="left"/>
            </w:pPr>
            <w:r>
              <w:t xml:space="preserve">Source</w:t>
            </w:r>
          </w:p>
        </w:tc>
      </w:tr>
      <w:tr>
        <w:tc>
          <w:tcPr>
            <w:tcW w:w="899" w:type="dxa"/>
          </w:tcPr>
          <w:p>
            <w:pPr>
              <w:pStyle w:val="Compact"/>
              <w:jc w:val="left"/>
            </w:pPr>
            <w:r>
              <w:t xml:space="preserve">R1</w:t>
            </w:r>
          </w:p>
        </w:tc>
        <w:tc>
          <w:tcPr>
            <w:tcW w:w="1379" w:type="dxa"/>
          </w:tcPr>
          <w:p>
            <w:pPr>
              <w:pStyle w:val="Compact"/>
              <w:jc w:val="left"/>
            </w:pPr>
            <w:r>
              <w:t xml:space="preserve">9903.XX.01</w:t>
            </w:r>
          </w:p>
        </w:tc>
        <w:tc>
          <w:tcPr>
            <w:tcW w:w="1379" w:type="dxa"/>
          </w:tcPr>
          <w:p>
            <w:pPr>
              <w:pStyle w:val="Compact"/>
              <w:jc w:val="left"/>
            </w:pPr>
            <w:r>
              <w:t xml:space="preserve">25% ad valorem</w:t>
            </w:r>
          </w:p>
        </w:tc>
        <w:tc>
          <w:tcPr>
            <w:tcW w:w="1914" w:type="dxa"/>
          </w:tcPr>
          <w:p>
            <w:pPr>
              <w:pStyle w:val="Compact"/>
              <w:jc w:val="left"/>
            </w:pPr>
            <w:r>
              <w:t xml:space="preserve">Customs value of the Chapter 73 good (full value)</w:t>
            </w:r>
          </w:p>
        </w:tc>
        <w:tc>
          <w:tcPr>
            <w:tcW w:w="2865" w:type="dxa"/>
          </w:tcPr>
          <w:p>
            <w:pPr>
              <w:pStyle w:val="Compact"/>
              <w:jc w:val="left"/>
            </w:pPr>
            <w:r>
              <w:t xml:space="preserve">Adds to the column 1 General rate; switches off 9903.YY.01 (10%) on covered goods</w:t>
            </w:r>
          </w:p>
        </w:tc>
        <w:tc>
          <w:tcPr>
            <w:tcW w:w="919" w:type="dxa"/>
          </w:tcPr>
          <w:p>
            <w:pPr>
              <w:pStyle w:val="Compact"/>
              <w:jc w:val="left"/>
            </w:pPr>
            <w:r>
              <w:t xml:space="preserve">S1, S3</w:t>
            </w:r>
          </w:p>
        </w:tc>
      </w:tr>
      <w:tr>
        <w:tc>
          <w:tcPr>
            <w:tcW w:w="899" w:type="dxa"/>
          </w:tcPr>
          <w:p>
            <w:pPr>
              <w:pStyle w:val="Compact"/>
              <w:jc w:val="left"/>
            </w:pPr>
            <w:r>
              <w:t xml:space="preserve">R2</w:t>
            </w:r>
          </w:p>
        </w:tc>
        <w:tc>
          <w:tcPr>
            <w:tcW w:w="1379" w:type="dxa"/>
          </w:tcPr>
          <w:p>
            <w:pPr>
              <w:pStyle w:val="Compact"/>
              <w:jc w:val="left"/>
            </w:pPr>
            <w:r>
              <w:t xml:space="preserve">9903.XX.02 (excluded)</w:t>
            </w:r>
          </w:p>
        </w:tc>
        <w:tc>
          <w:tcPr>
            <w:tcW w:w="1379" w:type="dxa"/>
          </w:tcPr>
          <w:p>
            <w:pPr>
              <w:pStyle w:val="Compact"/>
              <w:jc w:val="left"/>
            </w:pPr>
            <w:r>
              <w:t xml:space="preserve">No additional duty</w:t>
            </w:r>
          </w:p>
        </w:tc>
        <w:tc>
          <w:tcPr>
            <w:tcW w:w="1914" w:type="dxa"/>
          </w:tcPr>
          <w:p>
            <w:pPr>
              <w:pStyle w:val="Compact"/>
              <w:jc w:val="left"/>
            </w:pPr>
            <w:r>
              <w:t xml:space="preserve">n/a</w:t>
            </w:r>
          </w:p>
        </w:tc>
        <w:tc>
          <w:tcPr>
            <w:tcW w:w="2865" w:type="dxa"/>
          </w:tcPr>
          <w:p>
            <w:pPr>
              <w:pStyle w:val="Compact"/>
              <w:jc w:val="left"/>
            </w:pPr>
            <w:r>
              <w:t xml:space="preserve">n/a</w:t>
            </w:r>
          </w:p>
        </w:tc>
        <w:tc>
          <w:tcPr>
            <w:tcW w:w="919" w:type="dxa"/>
          </w:tcPr>
          <w:p>
            <w:pPr>
              <w:pStyle w:val="Compact"/>
              <w:jc w:val="left"/>
            </w:pPr>
            <w:r>
              <w:t xml:space="preserve">S1</w:t>
            </w:r>
          </w:p>
        </w:tc>
      </w:tr>
    </w:tbl>
    <w:bookmarkEnd w:id="63"/>
    <w:bookmarkStart w:id="64" w:name="interpretation-and-confirmation"/>
    <w:p>
      <w:pPr>
        <w:pStyle w:val="Heading3"/>
      </w:pPr>
      <w:r>
        <w:t xml:space="preserve">Interpretation and confirmation</w:t>
      </w:r>
    </w:p>
    <w:tbl>
      <w:tblPr>
        <w:tblStyle w:val="Table"/>
        <w:tblW w:type="dxa" w:w="9360"/>
        <w:tblLook w:firstRow="1" w:lastRow="0" w:firstColumn="0" w:lastColumn="0" w:noHBand="0" w:noVBand="0" w:val="0020"/>
        <w:jc w:val="start"/>
        <w:tblLayout w:type="fixed"/>
      </w:tblPr>
      <w:tblGrid>
        <w:gridCol w:w="900"/>
        <w:gridCol w:w="1960"/>
        <w:gridCol w:w="2704"/>
        <w:gridCol w:w="1380"/>
        <w:gridCol w:w="1495"/>
        <w:gridCol w:w="920"/>
      </w:tblGrid>
      <w:tr>
        <w:trPr>
          <w:tblHeader w:val="true"/>
        </w:trPr>
        <w:tc>
          <w:tcPr>
            <w:tcW w:w="900" w:type="dxa"/>
          </w:tcPr>
          <w:p>
            <w:pPr>
              <w:pStyle w:val="Compact"/>
              <w:jc w:val="left"/>
            </w:pPr>
            <w:r>
              <w:t xml:space="preserve">Q</w:t>
            </w:r>
          </w:p>
        </w:tc>
        <w:tc>
          <w:tcPr>
            <w:tcW w:w="1960" w:type="dxa"/>
          </w:tcPr>
          <w:p>
            <w:pPr>
              <w:pStyle w:val="Compact"/>
              <w:jc w:val="left"/>
            </w:pPr>
            <w:r>
              <w:t xml:space="preserve">Question</w:t>
            </w:r>
          </w:p>
        </w:tc>
        <w:tc>
          <w:tcPr>
            <w:tcW w:w="2704" w:type="dxa"/>
          </w:tcPr>
          <w:p>
            <w:pPr>
              <w:pStyle w:val="Compact"/>
              <w:jc w:val="left"/>
            </w:pPr>
            <w:r>
              <w:t xml:space="preserve">Our working interpretation</w:t>
            </w:r>
          </w:p>
        </w:tc>
        <w:tc>
          <w:tcPr>
            <w:tcW w:w="1380" w:type="dxa"/>
          </w:tcPr>
          <w:p>
            <w:pPr>
              <w:pStyle w:val="Compact"/>
              <w:jc w:val="left"/>
            </w:pPr>
            <w:r>
              <w:t xml:space="preserve">Confidence</w:t>
            </w:r>
          </w:p>
        </w:tc>
        <w:tc>
          <w:tcPr>
            <w:tcW w:w="1495" w:type="dxa"/>
          </w:tcPr>
          <w:p>
            <w:pPr>
              <w:pStyle w:val="Compact"/>
              <w:jc w:val="left"/>
            </w:pPr>
            <w:r>
              <w:t xml:space="preserve">Confirmed with (who, date, how)</w:t>
            </w:r>
          </w:p>
        </w:tc>
        <w:tc>
          <w:tcPr>
            <w:tcW w:w="920" w:type="dxa"/>
          </w:tcPr>
          <w:p>
            <w:pPr>
              <w:pStyle w:val="Compact"/>
              <w:jc w:val="left"/>
            </w:pPr>
            <w:r>
              <w:t xml:space="preserve">Source</w:t>
            </w:r>
          </w:p>
        </w:tc>
      </w:tr>
      <w:tr>
        <w:tc>
          <w:tcPr>
            <w:tcW w:w="900" w:type="dxa"/>
          </w:tcPr>
          <w:p>
            <w:pPr>
              <w:pStyle w:val="Compact"/>
              <w:jc w:val="left"/>
            </w:pPr>
            <w:r>
              <w:t xml:space="preserve">Q1</w:t>
            </w:r>
          </w:p>
        </w:tc>
        <w:tc>
          <w:tcPr>
            <w:tcW w:w="1960" w:type="dxa"/>
          </w:tcPr>
          <w:p>
            <w:pPr>
              <w:pStyle w:val="Compact"/>
              <w:jc w:val="left"/>
            </w:pPr>
            <w:r>
              <w:t xml:space="preserve">Are plated or coated screws of 7318.15 covered?</w:t>
            </w:r>
          </w:p>
        </w:tc>
        <w:tc>
          <w:tcPr>
            <w:tcW w:w="2704" w:type="dxa"/>
          </w:tcPr>
          <w:p>
            <w:pPr>
              <w:pStyle w:val="Compact"/>
              <w:jc w:val="left"/>
            </w:pPr>
            <w:r>
              <w:t xml:space="preserve">Yes. Plating does not change the heading, and Annex I covers all of 7318</w:t>
            </w:r>
          </w:p>
        </w:tc>
        <w:tc>
          <w:tcPr>
            <w:tcW w:w="1380" w:type="dxa"/>
          </w:tcPr>
          <w:p>
            <w:pPr>
              <w:pStyle w:val="Compact"/>
              <w:jc w:val="left"/>
            </w:pPr>
            <w:r>
              <w:t xml:space="preserve">High</w:t>
            </w:r>
          </w:p>
        </w:tc>
        <w:tc>
          <w:tcPr>
            <w:tcW w:w="1495" w:type="dxa"/>
          </w:tcPr>
          <w:p>
            <w:pPr>
              <w:pStyle w:val="Compact"/>
              <w:jc w:val="left"/>
            </w:pPr>
            <w:r>
              <w:t xml:space="preserve">Not needed</w:t>
            </w:r>
          </w:p>
        </w:tc>
        <w:tc>
          <w:tcPr>
            <w:tcW w:w="920" w:type="dxa"/>
          </w:tcPr>
          <w:p>
            <w:pPr>
              <w:pStyle w:val="Compact"/>
              <w:jc w:val="left"/>
            </w:pPr>
            <w:r>
              <w:t xml:space="preserve">S1</w:t>
            </w:r>
          </w:p>
        </w:tc>
      </w:tr>
      <w:tr>
        <w:tc>
          <w:tcPr>
            <w:tcW w:w="900" w:type="dxa"/>
          </w:tcPr>
          <w:p>
            <w:pPr>
              <w:pStyle w:val="Compact"/>
              <w:jc w:val="left"/>
            </w:pPr>
            <w:r>
              <w:t xml:space="preserve">Q2</w:t>
            </w:r>
          </w:p>
        </w:tc>
        <w:tc>
          <w:tcPr>
            <w:tcW w:w="1960" w:type="dxa"/>
          </w:tcPr>
          <w:p>
            <w:pPr>
              <w:pStyle w:val="Compact"/>
              <w:jc w:val="left"/>
            </w:pPr>
            <w:r>
              <w:t xml:space="preserve">Our aerospace bolt (1 item) has certificates for some shipments only. In or out?</w:t>
            </w:r>
          </w:p>
        </w:tc>
        <w:tc>
          <w:tcPr>
            <w:tcW w:w="2704" w:type="dxa"/>
          </w:tcPr>
          <w:p>
            <w:pPr>
              <w:pStyle w:val="Compact"/>
              <w:jc w:val="left"/>
            </w:pPr>
            <w:r>
              <w:t xml:space="preserve">In scope unless a certificate accompanies the entry. Purchasing confirmed on 2027-02-17 that the supplier does not issue them for our orders, so the item is IN</w:t>
            </w:r>
          </w:p>
        </w:tc>
        <w:tc>
          <w:tcPr>
            <w:tcW w:w="1380" w:type="dxa"/>
          </w:tcPr>
          <w:p>
            <w:pPr>
              <w:pStyle w:val="Compact"/>
              <w:jc w:val="left"/>
            </w:pPr>
            <w:r>
              <w:t xml:space="preserve">Medium before, High after</w:t>
            </w:r>
          </w:p>
        </w:tc>
        <w:tc>
          <w:tcPr>
            <w:tcW w:w="1495" w:type="dxa"/>
          </w:tcPr>
          <w:p>
            <w:pPr>
              <w:pStyle w:val="Compact"/>
              <w:jc w:val="left"/>
            </w:pPr>
            <w:r>
              <w:t xml:space="preserve">[COMPANY: US broker], 2027-02-17, email (S4)</w:t>
            </w:r>
          </w:p>
        </w:tc>
        <w:tc>
          <w:tcPr>
            <w:tcW w:w="920" w:type="dxa"/>
          </w:tcPr>
          <w:p>
            <w:pPr>
              <w:pStyle w:val="Compact"/>
              <w:jc w:val="left"/>
            </w:pPr>
            <w:r>
              <w:t xml:space="preserve">S1, S2, S4</w:t>
            </w:r>
          </w:p>
        </w:tc>
      </w:tr>
      <w:tr>
        <w:tc>
          <w:tcPr>
            <w:tcW w:w="900" w:type="dxa"/>
          </w:tcPr>
          <w:p>
            <w:pPr>
              <w:pStyle w:val="Compact"/>
              <w:jc w:val="left"/>
            </w:pPr>
            <w:r>
              <w:t xml:space="preserve">Q3</w:t>
            </w:r>
          </w:p>
        </w:tc>
        <w:tc>
          <w:tcPr>
            <w:tcW w:w="1960" w:type="dxa"/>
          </w:tcPr>
          <w:p>
            <w:pPr>
              <w:pStyle w:val="Compact"/>
              <w:jc w:val="left"/>
            </w:pPr>
            <w:r>
              <w:t xml:space="preserve">6 items have descriptions that may belong outside 7318 (brackets, hooks). Are they covered?</w:t>
            </w:r>
          </w:p>
        </w:tc>
        <w:tc>
          <w:tcPr>
            <w:tcW w:w="2704" w:type="dxa"/>
          </w:tcPr>
          <w:p>
            <w:pPr>
              <w:pStyle w:val="Compact"/>
              <w:jc w:val="left"/>
            </w:pPr>
            <w:r>
              <w:t xml:space="preserve">Covered only if correctly classified in 7318. The Senior reviewed all 6: 2 belong in another heading and go through change requests before the effective date; 4 stay in 7318</w:t>
            </w:r>
          </w:p>
        </w:tc>
        <w:tc>
          <w:tcPr>
            <w:tcW w:w="1380" w:type="dxa"/>
          </w:tcPr>
          <w:p>
            <w:pPr>
              <w:pStyle w:val="Compact"/>
              <w:jc w:val="left"/>
            </w:pPr>
            <w:r>
              <w:t xml:space="preserve">Medium before, High after</w:t>
            </w:r>
          </w:p>
        </w:tc>
        <w:tc>
          <w:tcPr>
            <w:tcW w:w="1495" w:type="dxa"/>
          </w:tcPr>
          <w:p>
            <w:pPr>
              <w:pStyle w:val="Compact"/>
              <w:jc w:val="left"/>
            </w:pPr>
            <w:r>
              <w:t xml:space="preserve">Senior 2027-02-17; [COMPANY: US broker] (S4)</w:t>
            </w:r>
          </w:p>
        </w:tc>
        <w:tc>
          <w:tcPr>
            <w:tcW w:w="920" w:type="dxa"/>
          </w:tcPr>
          <w:p>
            <w:pPr>
              <w:pStyle w:val="Compact"/>
              <w:jc w:val="left"/>
            </w:pPr>
            <w:r>
              <w:t xml:space="preserve">S3</w:t>
            </w:r>
          </w:p>
        </w:tc>
      </w:tr>
      <w:tr>
        <w:tc>
          <w:tcPr>
            <w:tcW w:w="900" w:type="dxa"/>
          </w:tcPr>
          <w:p>
            <w:pPr>
              <w:pStyle w:val="Compact"/>
              <w:jc w:val="left"/>
            </w:pPr>
            <w:r>
              <w:t xml:space="preserve">Q4</w:t>
            </w:r>
          </w:p>
        </w:tc>
        <w:tc>
          <w:tcPr>
            <w:tcW w:w="1960" w:type="dxa"/>
          </w:tcPr>
          <w:p>
            <w:pPr>
              <w:pStyle w:val="Compact"/>
              <w:jc w:val="left"/>
            </w:pPr>
            <w:r>
              <w:t xml:space="preserve">How do we claim the in-transit relief?</w:t>
            </w:r>
          </w:p>
        </w:tc>
        <w:tc>
          <w:tcPr>
            <w:tcW w:w="2704" w:type="dxa"/>
          </w:tcPr>
          <w:p>
            <w:pPr>
              <w:pStyle w:val="Compact"/>
              <w:jc w:val="left"/>
            </w:pPr>
            <w:r>
              <w:t xml:space="preserve">File 9903.XX.03 with proof of the loading date. CBP said further guidance will follow</w:t>
            </w:r>
          </w:p>
        </w:tc>
        <w:tc>
          <w:tcPr>
            <w:tcW w:w="1380" w:type="dxa"/>
          </w:tcPr>
          <w:p>
            <w:pPr>
              <w:pStyle w:val="Compact"/>
              <w:jc w:val="left"/>
            </w:pPr>
            <w:r>
              <w:t xml:space="preserve">Medium</w:t>
            </w:r>
          </w:p>
        </w:tc>
        <w:tc>
          <w:tcPr>
            <w:tcW w:w="1495" w:type="dxa"/>
          </w:tcPr>
          <w:p>
            <w:pPr>
              <w:pStyle w:val="Compact"/>
              <w:jc w:val="left"/>
            </w:pPr>
            <w:r>
              <w:t xml:space="preserve">Open: OQ1</w:t>
            </w:r>
          </w:p>
        </w:tc>
        <w:tc>
          <w:tcPr>
            <w:tcW w:w="920" w:type="dxa"/>
          </w:tcPr>
          <w:p>
            <w:pPr>
              <w:pStyle w:val="Compact"/>
              <w:jc w:val="left"/>
            </w:pPr>
            <w:r>
              <w:t xml:space="preserve">S2</w:t>
            </w:r>
          </w:p>
        </w:tc>
      </w:tr>
      <w:tr>
        <w:tc>
          <w:tcPr>
            <w:tcW w:w="900" w:type="dxa"/>
          </w:tcPr>
          <w:p>
            <w:pPr>
              <w:pStyle w:val="Compact"/>
              <w:jc w:val="left"/>
            </w:pPr>
            <w:r>
              <w:t xml:space="preserve">Q5</w:t>
            </w:r>
          </w:p>
        </w:tc>
        <w:tc>
          <w:tcPr>
            <w:tcW w:w="1960" w:type="dxa"/>
          </w:tcPr>
          <w:p>
            <w:pPr>
              <w:pStyle w:val="Compact"/>
              <w:jc w:val="left"/>
            </w:pPr>
            <w:r>
              <w:t xml:space="preserve">Which of our items pay 9903.YY.01 today, and does clause 4 remove it from all of them?</w:t>
            </w:r>
          </w:p>
        </w:tc>
        <w:tc>
          <w:tcPr>
            <w:tcW w:w="2704" w:type="dxa"/>
          </w:tcPr>
          <w:p>
            <w:pPr>
              <w:pStyle w:val="Compact"/>
              <w:jc w:val="left"/>
            </w:pPr>
            <w:r>
              <w:t xml:space="preserve">3 items, found from the last 12 months of entry lines and the 9903.YY.01 list. Clause 4 removes it from any good that pays 9903.XX.01, so all 3 drop it</w:t>
            </w:r>
          </w:p>
        </w:tc>
        <w:tc>
          <w:tcPr>
            <w:tcW w:w="1380" w:type="dxa"/>
          </w:tcPr>
          <w:p>
            <w:pPr>
              <w:pStyle w:val="Compact"/>
              <w:jc w:val="left"/>
            </w:pPr>
            <w:r>
              <w:t xml:space="preserve">High</w:t>
            </w:r>
          </w:p>
        </w:tc>
        <w:tc>
          <w:tcPr>
            <w:tcW w:w="1495" w:type="dxa"/>
          </w:tcPr>
          <w:p>
            <w:pPr>
              <w:pStyle w:val="Compact"/>
              <w:jc w:val="left"/>
            </w:pPr>
            <w:r>
              <w:t xml:space="preserve">Not needed</w:t>
            </w:r>
          </w:p>
        </w:tc>
        <w:tc>
          <w:tcPr>
            <w:tcW w:w="920" w:type="dxa"/>
          </w:tcPr>
          <w:p>
            <w:pPr>
              <w:pStyle w:val="Compact"/>
              <w:jc w:val="left"/>
            </w:pPr>
            <w:r>
              <w:t xml:space="preserve">S1</w:t>
            </w:r>
          </w:p>
        </w:tc>
      </w:tr>
    </w:tbl>
    <w:bookmarkEnd w:id="64"/>
    <w:bookmarkStart w:id="65" w:name="affected-items-and-open-questions"/>
    <w:p>
      <w:pPr>
        <w:pStyle w:val="Heading3"/>
      </w:pPr>
      <w:r>
        <w:t xml:space="preserve">Affected items and open questions</w:t>
      </w:r>
    </w:p>
    <w:tbl>
      <w:tblPr>
        <w:tblStyle w:val="Table"/>
        <w:tblW w:type="dxa" w:w="9360"/>
        <w:tblLook w:firstRow="1" w:lastRow="0" w:firstColumn="0" w:lastColumn="0" w:noHBand="0" w:noVBand="0" w:val="0020"/>
        <w:jc w:val="start"/>
        <w:tblLayout w:type="fixed"/>
      </w:tblPr>
      <w:tblGrid>
        <w:gridCol w:w="2122"/>
        <w:gridCol w:w="7237"/>
      </w:tblGrid>
      <w:tr>
        <w:trPr>
          <w:tblHeader w:val="true"/>
        </w:trPr>
        <w:tc>
          <w:tcPr>
            <w:tcW w:w="2122" w:type="dxa"/>
          </w:tcPr>
          <w:p>
            <w:pPr>
              <w:pStyle w:val="Compact"/>
              <w:jc w:val="left"/>
            </w:pPr>
            <w:r>
              <w:t xml:space="preserve">Step</w:t>
            </w:r>
          </w:p>
        </w:tc>
        <w:tc>
          <w:tcPr>
            <w:tcW w:w="7237" w:type="dxa"/>
          </w:tcPr>
          <w:p>
            <w:pPr>
              <w:pStyle w:val="Compact"/>
              <w:jc w:val="left"/>
            </w:pPr>
            <w:r>
              <w:t xml:space="preserve">Entry</w:t>
            </w:r>
          </w:p>
        </w:tc>
      </w:tr>
      <w:tr>
        <w:tc>
          <w:tcPr>
            <w:tcW w:w="2122" w:type="dxa"/>
          </w:tcPr>
          <w:p>
            <w:pPr>
              <w:pStyle w:val="Compact"/>
              <w:jc w:val="left"/>
            </w:pPr>
            <w:r>
              <w:t xml:space="preserve">Source and extract time</w:t>
            </w:r>
          </w:p>
        </w:tc>
        <w:tc>
          <w:tcPr>
            <w:tcW w:w="7237" w:type="dxa"/>
          </w:tcPr>
          <w:p>
            <w:pPr>
              <w:pStyle w:val="Compact"/>
              <w:jc w:val="left"/>
            </w:pPr>
            <w:r>
              <w:t xml:space="preserve">[COMPANY: classification master], run 2027-02-16 14:00</w:t>
            </w:r>
          </w:p>
        </w:tc>
      </w:tr>
      <w:tr>
        <w:tc>
          <w:tcPr>
            <w:tcW w:w="2122" w:type="dxa"/>
          </w:tcPr>
          <w:p>
            <w:pPr>
              <w:pStyle w:val="Compact"/>
              <w:jc w:val="left"/>
            </w:pPr>
            <w:r>
              <w:t xml:space="preserve">Filters</w:t>
            </w:r>
          </w:p>
        </w:tc>
        <w:tc>
          <w:tcPr>
            <w:tcW w:w="7237" w:type="dxa"/>
          </w:tcPr>
          <w:p>
            <w:pPr>
              <w:pStyle w:val="Compact"/>
              <w:jc w:val="left"/>
            </w:pPr>
            <w:r>
              <w:t xml:space="preserve">Import country US; active items; origin Country X</w:t>
            </w:r>
          </w:p>
        </w:tc>
      </w:tr>
      <w:tr>
        <w:tc>
          <w:tcPr>
            <w:tcW w:w="2122" w:type="dxa"/>
          </w:tcPr>
          <w:p>
            <w:pPr>
              <w:pStyle w:val="Compact"/>
              <w:jc w:val="left"/>
            </w:pPr>
            <w:r>
              <w:t xml:space="preserve">Matching rule</w:t>
            </w:r>
          </w:p>
        </w:tc>
        <w:tc>
          <w:tcPr>
            <w:tcW w:w="7237" w:type="dxa"/>
          </w:tcPr>
          <w:p>
            <w:pPr>
              <w:pStyle w:val="Compact"/>
              <w:jc w:val="left"/>
            </w:pPr>
            <w:r>
              <w:t xml:space="preserve">HTS digits as text, prefix 7318; Annex II applied after the match</w:t>
            </w:r>
          </w:p>
        </w:tc>
      </w:tr>
      <w:tr>
        <w:tc>
          <w:tcPr>
            <w:tcW w:w="2122" w:type="dxa"/>
          </w:tcPr>
          <w:p>
            <w:pPr>
              <w:pStyle w:val="Compact"/>
              <w:jc w:val="left"/>
            </w:pPr>
            <w:r>
              <w:t xml:space="preserve">Counts</w:t>
            </w:r>
          </w:p>
        </w:tc>
        <w:tc>
          <w:tcPr>
            <w:tcW w:w="7237" w:type="dxa"/>
          </w:tcPr>
          <w:p>
            <w:pPr>
              <w:pStyle w:val="Compact"/>
              <w:jc w:val="left"/>
            </w:pPr>
            <w:r>
              <w:t xml:space="preserve">140 candidates. 0 in 7318.24. 2 out after the Senior's classification review (Q3). 138 in scope, including the aerospace bolt (Q2)</w:t>
            </w:r>
          </w:p>
        </w:tc>
      </w:tr>
      <w:tr>
        <w:tc>
          <w:tcPr>
            <w:tcW w:w="2122" w:type="dxa"/>
          </w:tcPr>
          <w:p>
            <w:pPr>
              <w:pStyle w:val="Compact"/>
              <w:jc w:val="left"/>
            </w:pPr>
            <w:r>
              <w:t xml:space="preserve">Borderline review</w:t>
            </w:r>
          </w:p>
        </w:tc>
        <w:tc>
          <w:tcPr>
            <w:tcW w:w="7237" w:type="dxa"/>
          </w:tcPr>
          <w:p>
            <w:pPr>
              <w:pStyle w:val="Compact"/>
              <w:jc w:val="left"/>
            </w:pPr>
            <w:r>
              <w:t xml:space="preserve">6 items reviewed by the Senior on 2027-02-17 (Q3)</w:t>
            </w:r>
          </w:p>
        </w:tc>
      </w:tr>
      <w:tr>
        <w:tc>
          <w:tcPr>
            <w:tcW w:w="2122" w:type="dxa"/>
          </w:tcPr>
          <w:p>
            <w:pPr>
              <w:pStyle w:val="Compact"/>
              <w:jc w:val="left"/>
            </w:pPr>
            <w:r>
              <w:t xml:space="preserve">Item list delivered</w:t>
            </w:r>
          </w:p>
        </w:tc>
        <w:tc>
          <w:tcPr>
            <w:tcW w:w="7237" w:type="dxa"/>
          </w:tcPr>
          <w:p>
            <w:pPr>
              <w:pStyle w:val="Compact"/>
              <w:jc w:val="left"/>
            </w:pPr>
            <w:r>
              <w:t xml:space="preserve">Action tab of TIM_TA-US-FIC-01_US_v1.0; item list with determinations (including the 3 items with 9903.YY.01 displaced) in [COMPANY: briefs folder]</w:t>
            </w:r>
          </w:p>
        </w:tc>
      </w:tr>
    </w:tbl>
    <w:p/>
    <w:tbl>
      <w:tblPr>
        <w:tblStyle w:val="Table"/>
        <w:tblW w:type="dxa" w:w="9360"/>
        <w:tblLook w:firstRow="1" w:lastRow="0" w:firstColumn="0" w:lastColumn="0" w:noHBand="0" w:noVBand="0" w:val="0020"/>
        <w:jc w:val="start"/>
        <w:tblLayout w:type="fixed"/>
      </w:tblPr>
      <w:tblGrid>
        <w:gridCol w:w="900"/>
        <w:gridCol w:w="3026"/>
        <w:gridCol w:w="1265"/>
        <w:gridCol w:w="1380"/>
        <w:gridCol w:w="1380"/>
        <w:gridCol w:w="1408"/>
      </w:tblGrid>
      <w:tr>
        <w:trPr>
          <w:tblHeader w:val="true"/>
        </w:trPr>
        <w:tc>
          <w:tcPr>
            <w:tcW w:w="900" w:type="dxa"/>
          </w:tcPr>
          <w:p>
            <w:pPr>
              <w:pStyle w:val="Compact"/>
              <w:jc w:val="left"/>
            </w:pPr>
            <w:r>
              <w:t xml:space="preserve">#</w:t>
            </w:r>
          </w:p>
        </w:tc>
        <w:tc>
          <w:tcPr>
            <w:tcW w:w="3026" w:type="dxa"/>
          </w:tcPr>
          <w:p>
            <w:pPr>
              <w:pStyle w:val="Compact"/>
              <w:jc w:val="left"/>
            </w:pPr>
            <w:r>
              <w:t xml:space="preserve">Question</w:t>
            </w:r>
          </w:p>
        </w:tc>
        <w:tc>
          <w:tcPr>
            <w:tcW w:w="1265" w:type="dxa"/>
          </w:tcPr>
          <w:p>
            <w:pPr>
              <w:pStyle w:val="Compact"/>
              <w:jc w:val="left"/>
            </w:pPr>
            <w:r>
              <w:t xml:space="preserve">Asked to</w:t>
            </w:r>
          </w:p>
        </w:tc>
        <w:tc>
          <w:tcPr>
            <w:tcW w:w="1380" w:type="dxa"/>
          </w:tcPr>
          <w:p>
            <w:pPr>
              <w:pStyle w:val="Compact"/>
              <w:jc w:val="left"/>
            </w:pPr>
            <w:r>
              <w:t xml:space="preserve">Date asked</w:t>
            </w:r>
          </w:p>
        </w:tc>
        <w:tc>
          <w:tcPr>
            <w:tcW w:w="1380" w:type="dxa"/>
          </w:tcPr>
          <w:p>
            <w:pPr>
              <w:pStyle w:val="Compact"/>
              <w:jc w:val="left"/>
            </w:pPr>
            <w:r>
              <w:t xml:space="preserve">Needed by</w:t>
            </w:r>
          </w:p>
        </w:tc>
        <w:tc>
          <w:tcPr>
            <w:tcW w:w="1408" w:type="dxa"/>
          </w:tcPr>
          <w:p>
            <w:pPr>
              <w:pStyle w:val="Compact"/>
              <w:jc w:val="left"/>
            </w:pPr>
            <w:r>
              <w:t xml:space="preserve">Status and answer</w:t>
            </w:r>
          </w:p>
        </w:tc>
      </w:tr>
      <w:tr>
        <w:tc>
          <w:tcPr>
            <w:tcW w:w="900" w:type="dxa"/>
          </w:tcPr>
          <w:p>
            <w:pPr>
              <w:pStyle w:val="Compact"/>
              <w:jc w:val="left"/>
            </w:pPr>
            <w:r>
              <w:t xml:space="preserve">OQ1</w:t>
            </w:r>
          </w:p>
        </w:tc>
        <w:tc>
          <w:tcPr>
            <w:tcW w:w="3026" w:type="dxa"/>
          </w:tcPr>
          <w:p>
            <w:pPr>
              <w:pStyle w:val="Compact"/>
              <w:jc w:val="left"/>
            </w:pPr>
            <w:r>
              <w:t xml:space="preserve">Exact filing and proof requirements for in-transit goods (9903.XX.03). Affects goods on the water on 2027-03-01 only, not the item list</w:t>
            </w:r>
          </w:p>
        </w:tc>
        <w:tc>
          <w:tcPr>
            <w:tcW w:w="1265" w:type="dxa"/>
          </w:tcPr>
          <w:p>
            <w:pPr>
              <w:pStyle w:val="Compact"/>
              <w:jc w:val="left"/>
            </w:pPr>
            <w:r>
              <w:t xml:space="preserve">[COMPANY: US broker]; watch CBP CSMS</w:t>
            </w:r>
          </w:p>
        </w:tc>
        <w:tc>
          <w:tcPr>
            <w:tcW w:w="1380" w:type="dxa"/>
          </w:tcPr>
          <w:p>
            <w:pPr>
              <w:pStyle w:val="Compact"/>
              <w:jc w:val="left"/>
            </w:pPr>
            <w:r>
              <w:t xml:space="preserve">2027-02-17</w:t>
            </w:r>
          </w:p>
        </w:tc>
        <w:tc>
          <w:tcPr>
            <w:tcW w:w="1380" w:type="dxa"/>
          </w:tcPr>
          <w:p>
            <w:pPr>
              <w:pStyle w:val="Compact"/>
              <w:jc w:val="left"/>
            </w:pPr>
            <w:r>
              <w:t xml:space="preserve">2027-02-26</w:t>
            </w:r>
          </w:p>
        </w:tc>
        <w:tc>
          <w:tcPr>
            <w:tcW w:w="1408" w:type="dxa"/>
          </w:tcPr>
          <w:p>
            <w:pPr>
              <w:pStyle w:val="Compact"/>
              <w:jc w:val="left"/>
            </w:pPr>
            <w:r>
              <w:t xml:space="preserve">Open. Hire A checks CSMS daily until answered</w:t>
            </w:r>
          </w:p>
        </w:tc>
      </w:tr>
    </w:tbl>
    <w:bookmarkEnd w:id="65"/>
    <w:bookmarkStart w:id="66" w:name="handoff-and-sign-off"/>
    <w:p>
      <w:pPr>
        <w:pStyle w:val="Heading3"/>
      </w:pPr>
      <w:r>
        <w:t xml:space="preserve">Handoff and sign-off</w:t>
      </w:r>
    </w:p>
    <w:p>
      <w:pPr>
        <w:pStyle w:val="FirstParagraph"/>
      </w:pPr>
      <w:r>
        <w:t xml:space="preserve">Handoff: brief v1.0 and the checked Action tab released Thu 2027-02-18 11:30. Standard Cost needs the effective date (2027-03-01) and the in-transit end date (2027-04-30) for in-transit stock; OQ1 does not change the item list. The 15-minute handoff call was held Thu 13:00, and Hire B confirmed on the Jira story.</w:t>
      </w:r>
    </w:p>
    <w:tbl>
      <w:tblPr>
        <w:tblStyle w:val="Table"/>
        <w:tblW w:type="dxa" w:w="9360"/>
        <w:tblLook w:firstRow="1" w:lastRow="0" w:firstColumn="0" w:lastColumn="0" w:noHBand="0" w:noVBand="0" w:val="0020"/>
        <w:jc w:val="start"/>
        <w:tblLayout w:type="fixed"/>
      </w:tblPr>
      <w:tblGrid>
        <w:gridCol w:w="1150"/>
        <w:gridCol w:w="1035"/>
        <w:gridCol w:w="1035"/>
        <w:gridCol w:w="1380"/>
        <w:gridCol w:w="4760"/>
      </w:tblGrid>
      <w:tr>
        <w:trPr>
          <w:tblHeader w:val="true"/>
        </w:trPr>
        <w:tc>
          <w:tcPr>
            <w:tcW w:w="1150" w:type="dxa"/>
          </w:tcPr>
          <w:p>
            <w:pPr>
              <w:pStyle w:val="Compact"/>
              <w:jc w:val="left"/>
            </w:pPr>
            <w:r>
              <w:t xml:space="preserve">Role</w:t>
            </w:r>
          </w:p>
        </w:tc>
        <w:tc>
          <w:tcPr>
            <w:tcW w:w="1035" w:type="dxa"/>
          </w:tcPr>
          <w:p>
            <w:pPr>
              <w:pStyle w:val="Compact"/>
              <w:jc w:val="left"/>
            </w:pPr>
            <w:r>
              <w:t xml:space="preserve">Name</w:t>
            </w:r>
          </w:p>
        </w:tc>
        <w:tc>
          <w:tcPr>
            <w:tcW w:w="1035" w:type="dxa"/>
          </w:tcPr>
          <w:p>
            <w:pPr>
              <w:pStyle w:val="Compact"/>
              <w:jc w:val="left"/>
            </w:pPr>
            <w:r>
              <w:t xml:space="preserve">Version</w:t>
            </w:r>
          </w:p>
        </w:tc>
        <w:tc>
          <w:tcPr>
            <w:tcW w:w="1380" w:type="dxa"/>
          </w:tcPr>
          <w:p>
            <w:pPr>
              <w:pStyle w:val="Compact"/>
              <w:jc w:val="left"/>
            </w:pPr>
            <w:r>
              <w:t xml:space="preserve">Date and time</w:t>
            </w:r>
          </w:p>
        </w:tc>
        <w:tc>
          <w:tcPr>
            <w:tcW w:w="4760" w:type="dxa"/>
          </w:tcPr>
          <w:p>
            <w:pPr>
              <w:pStyle w:val="Compact"/>
              <w:jc w:val="left"/>
            </w:pPr>
            <w:r>
              <w:t xml:space="preserve">Result and findings</w:t>
            </w:r>
          </w:p>
        </w:tc>
      </w:tr>
      <w:tr>
        <w:tc>
          <w:tcPr>
            <w:tcW w:w="1150" w:type="dxa"/>
          </w:tcPr>
          <w:p>
            <w:pPr>
              <w:pStyle w:val="Compact"/>
              <w:jc w:val="left"/>
            </w:pPr>
            <w:r>
              <w:t xml:space="preserve">Maker</w:t>
            </w:r>
          </w:p>
        </w:tc>
        <w:tc>
          <w:tcPr>
            <w:tcW w:w="1035" w:type="dxa"/>
          </w:tcPr>
          <w:p>
            <w:pPr>
              <w:pStyle w:val="Compact"/>
              <w:jc w:val="left"/>
            </w:pPr>
            <w:r>
              <w:t xml:space="preserve">Hire A</w:t>
            </w:r>
          </w:p>
        </w:tc>
        <w:tc>
          <w:tcPr>
            <w:tcW w:w="1035" w:type="dxa"/>
          </w:tcPr>
          <w:p>
            <w:pPr>
              <w:pStyle w:val="Compact"/>
              <w:jc w:val="left"/>
            </w:pPr>
            <w:r>
              <w:t xml:space="preserve">v0.3</w:t>
            </w:r>
          </w:p>
        </w:tc>
        <w:tc>
          <w:tcPr>
            <w:tcW w:w="1380" w:type="dxa"/>
          </w:tcPr>
          <w:p>
            <w:pPr>
              <w:pStyle w:val="Compact"/>
              <w:jc w:val="left"/>
            </w:pPr>
            <w:r>
              <w:t xml:space="preserve">2027-02-18 09:00</w:t>
            </w:r>
          </w:p>
        </w:tc>
        <w:tc>
          <w:tcPr>
            <w:tcW w:w="4760" w:type="dxa"/>
          </w:tcPr>
          <w:p>
            <w:pPr>
              <w:pStyle w:val="Compact"/>
              <w:jc w:val="left"/>
            </w:pPr>
            <w:r>
              <w:t xml:space="preserve">Self-check complete</w:t>
            </w:r>
          </w:p>
        </w:tc>
      </w:tr>
      <w:tr>
        <w:tc>
          <w:tcPr>
            <w:tcW w:w="1150" w:type="dxa"/>
          </w:tcPr>
          <w:p>
            <w:pPr>
              <w:pStyle w:val="Compact"/>
              <w:jc w:val="left"/>
            </w:pPr>
            <w:r>
              <w:t xml:space="preserve">Checker</w:t>
            </w:r>
          </w:p>
        </w:tc>
        <w:tc>
          <w:tcPr>
            <w:tcW w:w="1035" w:type="dxa"/>
          </w:tcPr>
          <w:p>
            <w:pPr>
              <w:pStyle w:val="Compact"/>
              <w:jc w:val="left"/>
            </w:pPr>
            <w:r>
              <w:t xml:space="preserve">Senior</w:t>
            </w:r>
          </w:p>
        </w:tc>
        <w:tc>
          <w:tcPr>
            <w:tcW w:w="1035" w:type="dxa"/>
          </w:tcPr>
          <w:p>
            <w:pPr>
              <w:pStyle w:val="Compact"/>
              <w:jc w:val="left"/>
            </w:pPr>
            <w:r>
              <w:t xml:space="preserve">v0.3</w:t>
            </w:r>
          </w:p>
        </w:tc>
        <w:tc>
          <w:tcPr>
            <w:tcW w:w="1380" w:type="dxa"/>
          </w:tcPr>
          <w:p>
            <w:pPr>
              <w:pStyle w:val="Compact"/>
              <w:jc w:val="left"/>
            </w:pPr>
            <w:r>
              <w:t xml:space="preserve">2027-02-18 10:45</w:t>
            </w:r>
          </w:p>
        </w:tc>
        <w:tc>
          <w:tcPr>
            <w:tcW w:w="4760" w:type="dxa"/>
          </w:tcPr>
          <w:p>
            <w:pPr>
              <w:pStyle w:val="Compact"/>
              <w:jc w:val="left"/>
            </w:pPr>
            <w:r>
              <w:t xml:space="preserve">Approved with changes: stacking wording now quotes S1 and S2 instead of paraphrasing them. Closed in v1.0; Senior confirmed v1.0 at 11:20</w:t>
            </w:r>
          </w:p>
        </w:tc>
      </w:tr>
      <w:tr>
        <w:tc>
          <w:tcPr>
            <w:tcW w:w="1150" w:type="dxa"/>
          </w:tcPr>
          <w:p>
            <w:pPr>
              <w:pStyle w:val="Compact"/>
              <w:jc w:val="left"/>
            </w:pPr>
            <w:r>
              <w:t xml:space="preserve">Release approval</w:t>
            </w:r>
          </w:p>
        </w:tc>
        <w:tc>
          <w:tcPr>
            <w:tcW w:w="1035" w:type="dxa"/>
          </w:tcPr>
          <w:p>
            <w:pPr>
              <w:pStyle w:val="Compact"/>
              <w:jc w:val="left"/>
            </w:pPr>
            <w:r>
              <w:t xml:space="preserve">Manager</w:t>
            </w:r>
          </w:p>
        </w:tc>
        <w:tc>
          <w:tcPr>
            <w:tcW w:w="1035" w:type="dxa"/>
          </w:tcPr>
          <w:p>
            <w:pPr>
              <w:pStyle w:val="Compact"/>
              <w:jc w:val="left"/>
            </w:pPr>
            <w:r>
              <w:t xml:space="preserve">v1.0</w:t>
            </w:r>
          </w:p>
        </w:tc>
        <w:tc>
          <w:tcPr>
            <w:tcW w:w="1380" w:type="dxa"/>
          </w:tcPr>
          <w:p>
            <w:pPr>
              <w:pStyle w:val="Compact"/>
              <w:jc w:val="left"/>
            </w:pPr>
            <w:r>
              <w:t xml:space="preserve">2027-02-19 08:35</w:t>
            </w:r>
          </w:p>
        </w:tc>
        <w:tc>
          <w:tcPr>
            <w:tcW w:w="4760" w:type="dxa"/>
          </w:tcPr>
          <w:p>
            <w:pPr>
              <w:pStyle w:val="Compact"/>
              <w:jc w:val="left"/>
            </w:pPr>
            <w:r>
              <w:t xml:space="preserve">Approved to send with the Standard Cost $ summary</w:t>
            </w:r>
          </w:p>
        </w:tc>
      </w:tr>
    </w:tbl>
    <w:bookmarkEnd w:id="66"/>
    <w:bookmarkEnd w:id="67"/>
    <w:bookmarkStart w:id="68" w:name="Xa9bf95083e0136eeb851c2e7ac387e805fe58b3"/>
    <w:p>
      <w:pPr>
        <w:pStyle w:val="Heading2"/>
      </w:pPr>
      <w:r>
        <w:t xml:space="preserve">Quality checklist (maker, before you send for checking)</w:t>
      </w:r>
    </w:p>
    <w:p>
      <w:pPr>
        <w:numPr>
          <w:ilvl w:val="0"/>
          <w:numId w:val="1005"/>
        </w:numPr>
        <w:pStyle w:val="Compact"/>
      </w:pPr>
      <w:r>
        <w:t xml:space="preserve">☐ Every fact has a source ID, and every source is primary (or an identified broker or counsel confirmation).</w:t>
      </w:r>
    </w:p>
    <w:p>
      <w:pPr>
        <w:numPr>
          <w:ilvl w:val="0"/>
          <w:numId w:val="1005"/>
        </w:numPr>
        <w:pStyle w:val="Compact"/>
      </w:pPr>
      <w:r>
        <w:t xml:space="preserve">☐ Timing, scope, exclusion and stacking wording is quoted, not paraphrased.</w:t>
      </w:r>
    </w:p>
    <w:p>
      <w:pPr>
        <w:numPr>
          <w:ilvl w:val="0"/>
          <w:numId w:val="1005"/>
        </w:numPr>
        <w:pStyle w:val="Compact"/>
      </w:pPr>
      <w:r>
        <w:t xml:space="preserve">☐ Effective date, time, time zone and basis are stated; the in-transit provision is stated or "none".</w:t>
      </w:r>
    </w:p>
    <w:p>
      <w:pPr>
        <w:numPr>
          <w:ilvl w:val="0"/>
          <w:numId w:val="1005"/>
        </w:numPr>
        <w:pStyle w:val="Compact"/>
      </w:pPr>
      <w:r>
        <w:t xml:space="preserve">☐ The HTS list came from the source as text and was not retyped; its digit level is stated.</w:t>
      </w:r>
    </w:p>
    <w:p>
      <w:pPr>
        <w:numPr>
          <w:ilvl w:val="0"/>
          <w:numId w:val="1005"/>
        </w:numPr>
        <w:pStyle w:val="Compact"/>
      </w:pPr>
      <w:r>
        <w:t xml:space="preserve">☐ Origin rule stated; origins checked against our classification master, not supplier addresses.</w:t>
      </w:r>
    </w:p>
    <w:p>
      <w:pPr>
        <w:numPr>
          <w:ilvl w:val="0"/>
          <w:numId w:val="1005"/>
        </w:numPr>
        <w:pStyle w:val="Compact"/>
      </w:pPr>
      <w:r>
        <w:t xml:space="preserve">☐ Each exclusion says how we find affected items and what evidence the entry needs.</w:t>
      </w:r>
    </w:p>
    <w:p>
      <w:pPr>
        <w:numPr>
          <w:ilvl w:val="0"/>
          <w:numId w:val="1005"/>
        </w:numPr>
        <w:pStyle w:val="Compact"/>
      </w:pPr>
      <w:r>
        <w:t xml:space="preserve">☐ USMCA, stacking, de minimis and drawback each have an answer or "not applicable", with a source.</w:t>
      </w:r>
    </w:p>
    <w:p>
      <w:pPr>
        <w:numPr>
          <w:ilvl w:val="0"/>
          <w:numId w:val="1005"/>
        </w:numPr>
        <w:pStyle w:val="Compact"/>
      </w:pPr>
      <w:r>
        <w:t xml:space="preserve">☐ Each Part 7 line says which goods it applies to and its base (full value or a named part); every duty the action switches off is listed by item.</w:t>
      </w:r>
    </w:p>
    <w:p>
      <w:pPr>
        <w:numPr>
          <w:ilvl w:val="0"/>
          <w:numId w:val="1005"/>
        </w:numPr>
        <w:pStyle w:val="Compact"/>
      </w:pPr>
      <w:r>
        <w:t xml:space="preserve">☐ Every Medium or Low interpretation that changes scope, rate or date is confirmed or listed as an open question; broker and counsel questions went through the Senior.</w:t>
      </w:r>
    </w:p>
    <w:p>
      <w:pPr>
        <w:numPr>
          <w:ilvl w:val="0"/>
          <w:numId w:val="1005"/>
        </w:numPr>
        <w:pStyle w:val="Compact"/>
      </w:pPr>
      <w:r>
        <w:t xml:space="preserve">☐ Item counts add up (candidates = in scope + out + borderline), and the query is saved.</w:t>
      </w:r>
    </w:p>
    <w:p>
      <w:pPr>
        <w:numPr>
          <w:ilvl w:val="0"/>
          <w:numId w:val="1005"/>
        </w:numPr>
        <w:pStyle w:val="Compact"/>
      </w:pPr>
      <w:r>
        <w:t xml:space="preserve">☐ No $ figures anywhere in the brief.</w:t>
      </w:r>
    </w:p>
    <w:p>
      <w:pPr>
        <w:numPr>
          <w:ilvl w:val="0"/>
          <w:numId w:val="1005"/>
        </w:numPr>
        <w:pStyle w:val="Compact"/>
      </w:pPr>
      <w:r>
        <w:t xml:space="preserve">☐ The Action tab of the model matches this version, line for line.</w:t>
      </w:r>
    </w:p>
    <w:p>
      <w:pPr>
        <w:numPr>
          <w:ilvl w:val="0"/>
          <w:numId w:val="1005"/>
        </w:numPr>
        <w:pStyle w:val="Compact"/>
      </w:pPr>
      <w:r>
        <w:t xml:space="preserve">☐ Version and change log updated; Jira story linked.</w:t>
      </w:r>
    </w:p>
    <w:bookmarkEnd w:id="68"/>
    <w:bookmarkStart w:id="69" w:name="checker-checklist-senior-or-manager"/>
    <w:p>
      <w:pPr>
        <w:pStyle w:val="Heading2"/>
      </w:pPr>
      <w:r>
        <w:t xml:space="preserve">Checker checklist (Senior or Manager)</w:t>
      </w:r>
    </w:p>
    <w:p>
      <w:pPr>
        <w:numPr>
          <w:ilvl w:val="0"/>
          <w:numId w:val="1006"/>
        </w:numPr>
        <w:pStyle w:val="Compact"/>
      </w:pPr>
      <w:r>
        <w:t xml:space="preserve">☐ Open each source and compare the brief to it line by line: HTS list, origins, rate, effective date and time, exclusions, in-transit terms.</w:t>
      </w:r>
    </w:p>
    <w:p>
      <w:pPr>
        <w:numPr>
          <w:ilvl w:val="0"/>
          <w:numId w:val="1006"/>
        </w:numPr>
        <w:pStyle w:val="Compact"/>
      </w:pPr>
      <w:r>
        <w:t xml:space="preserve">☐ Re-run the candidate count, or check the saved query's logic and filters.</w:t>
      </w:r>
    </w:p>
    <w:p>
      <w:pPr>
        <w:numPr>
          <w:ilvl w:val="0"/>
          <w:numId w:val="1006"/>
        </w:numPr>
        <w:pStyle w:val="Compact"/>
      </w:pPr>
      <w:r>
        <w:t xml:space="preserve">☐ Challenge every High rating once: "Where does the text say that?"</w:t>
      </w:r>
    </w:p>
    <w:p>
      <w:pPr>
        <w:numPr>
          <w:ilvl w:val="0"/>
          <w:numId w:val="1006"/>
        </w:numPr>
        <w:pStyle w:val="Compact"/>
      </w:pPr>
      <w:r>
        <w:t xml:space="preserve">☐ Confirm the stacking result for at least 3 items that carry other duties.</w:t>
      </w:r>
    </w:p>
    <w:p>
      <w:pPr>
        <w:numPr>
          <w:ilvl w:val="0"/>
          <w:numId w:val="1006"/>
        </w:numPr>
        <w:pStyle w:val="Compact"/>
      </w:pPr>
      <w:r>
        <w:t xml:space="preserve">☐ Check the boundary: no $; nothing on cost or pricing decisions.</w:t>
      </w:r>
    </w:p>
    <w:p>
      <w:pPr>
        <w:numPr>
          <w:ilvl w:val="0"/>
          <w:numId w:val="1006"/>
        </w:numPr>
        <w:pStyle w:val="Compact"/>
      </w:pPr>
      <w:r>
        <w:t xml:space="preserve">☐ Record name, date, version and findings on the Jira story and in Part 12.</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62626"/>
      <w:sz w:val="22"/>
    </w:rPr>
  </w:style>
  <w:style w:styleId="BodyText" w:type="paragraph">
    <w:name w:val="Body Text"/>
    <w:basedOn w:val="Normal"/>
    <w:link w:val="BodyTextChar"/>
    <w:pPr>
      <w:spacing w:after="180" w:before="180"/>
    </w:pPr>
    <w:qFormat/>
    <w:rPr>
      <w:rFonts w:ascii="Calibri" w:hAnsi="Calibri"/>
      <w:color w:val="262626"/>
      <w:sz w:val="22"/>
    </w:rPr>
  </w:style>
  <w:style w:customStyle="1" w:styleId="FirstParagraph" w:type="paragraph">
    <w:name w:val="First Paragraph"/>
    <w:basedOn w:val="BodyText"/>
    <w:next w:val="BodyText"/>
    <w:qFormat/>
    <w:rPr>
      <w:rFonts w:ascii="Calibri" w:hAnsi="Calibri"/>
      <w:color w:val="262626"/>
      <w:sz w:val="22"/>
    </w:rPr>
  </w:style>
  <w:style w:customStyle="1" w:styleId="Compact" w:type="paragraph">
    <w:name w:val="Compact"/>
    <w:basedOn w:val="BodyText"/>
    <w:qFormat/>
    <w:pPr>
      <w:spacing w:after="36" w:before="36"/>
    </w:pPr>
    <w:rPr>
      <w:rFonts w:ascii="Calibri" w:hAnsi="Calibri"/>
      <w:color w:val="262626"/>
      <w:sz w:val="22"/>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
      <w:bCs/>
      <w:color w:val="1F3864"/>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262626"/>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Pr>
    <w:tblStylePr w:type="firstRow">
      <w:tblPr>
        <w:jc w:val="left"/>
        <w:tblInd w:type="dxa" w:w="0"/>
      </w:tblPr>
      <w:trPr>
        <w:jc w:val="left"/>
      </w:trPr>
      <w:tcPr>
        <w:vAlign w:val="bottom"/>
        <w:tcBorders>
          <w:bottom w:val="single"/>
        </w:tcBorders>
      </w:tcPr>
    </w:tblStylePr>
    <w:tblStylePr w:type="firstRow">
      <w:rPr>
        <w:b/>
      </w:rPr>
      <w:tcPr>
        <w:shd w:color="auto" w:fill="D9E2F3"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hyperlink" Target="https://gazette.gc.ca/" TargetMode="External"/><Relationship Id="rId25" Type="http://schemas.openxmlformats.org/officeDocument/2006/relationships/hyperlink" Target="https://hts.usitc.gov/" TargetMode="External"/><Relationship Id="rId28" Type="http://schemas.openxmlformats.org/officeDocument/2006/relationships/hyperlink" Target="https://ustr.gov/" TargetMode="External"/><Relationship Id="rId27" Type="http://schemas.openxmlformats.org/officeDocument/2006/relationships/hyperlink" Target="https://www.cbp.gov/document/guidance/csms-archive" TargetMode="External"/><Relationship Id="rId26" Type="http://schemas.openxmlformats.org/officeDocument/2006/relationships/hyperlink" Target="https://www.cbp.gov/trade/automated/cargo-systems-messaging-service" TargetMode="External"/><Relationship Id="rId31" Type="http://schemas.openxmlformats.org/officeDocument/2006/relationships/hyperlink" Target="https://www.cbsa-asfc.gc.ca/publications/cn-ad/menu-eng.html" TargetMode="External"/><Relationship Id="rId32" Type="http://schemas.openxmlformats.org/officeDocument/2006/relationships/hyperlink" Target="https://www.cbsa-asfc.gc.ca/trade-commerce/tariff-tarif/2026/menu-eng.html" TargetMode="External"/><Relationship Id="rId33" Type="http://schemas.openxmlformats.org/officeDocument/2006/relationships/hyperlink" Target="https://www.dof.gob.mx/" TargetMode="External"/><Relationship Id="rId24" Type="http://schemas.openxmlformats.org/officeDocument/2006/relationships/hyperlink" Target="https://www.federalregister.gov/" TargetMode="External"/><Relationship Id="rId34" Type="http://schemas.openxmlformats.org/officeDocument/2006/relationships/hyperlink" Target="https://www.gob.mx/se" TargetMode="External"/><Relationship Id="rId29" Type="http://schemas.openxmlformats.org/officeDocument/2006/relationships/hyperlink" Target="https://www.trade.gov/"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gazette.gc.ca/" TargetMode="External"/><Relationship Id="rId25" Type="http://schemas.openxmlformats.org/officeDocument/2006/relationships/hyperlink" Target="https://hts.usitc.gov/" TargetMode="External"/><Relationship Id="rId28" Type="http://schemas.openxmlformats.org/officeDocument/2006/relationships/hyperlink" Target="https://ustr.gov/" TargetMode="External"/><Relationship Id="rId27" Type="http://schemas.openxmlformats.org/officeDocument/2006/relationships/hyperlink" Target="https://www.cbp.gov/document/guidance/csms-archive" TargetMode="External"/><Relationship Id="rId26" Type="http://schemas.openxmlformats.org/officeDocument/2006/relationships/hyperlink" Target="https://www.cbp.gov/trade/automated/cargo-systems-messaging-service" TargetMode="External"/><Relationship Id="rId31" Type="http://schemas.openxmlformats.org/officeDocument/2006/relationships/hyperlink" Target="https://www.cbsa-asfc.gc.ca/publications/cn-ad/menu-eng.html" TargetMode="External"/><Relationship Id="rId32" Type="http://schemas.openxmlformats.org/officeDocument/2006/relationships/hyperlink" Target="https://www.cbsa-asfc.gc.ca/trade-commerce/tariff-tarif/2026/menu-eng.html" TargetMode="External"/><Relationship Id="rId33" Type="http://schemas.openxmlformats.org/officeDocument/2006/relationships/hyperlink" Target="https://www.dof.gob.mx/" TargetMode="External"/><Relationship Id="rId24" Type="http://schemas.openxmlformats.org/officeDocument/2006/relationships/hyperlink" Target="https://www.federalregister.gov/" TargetMode="External"/><Relationship Id="rId34" Type="http://schemas.openxmlformats.org/officeDocument/2006/relationships/hyperlink" Target="https://www.gob.mx/se" TargetMode="External"/><Relationship Id="rId29" Type="http://schemas.openxmlformats.org/officeDocument/2006/relationships/hyperlink" Target="https://www.trade.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2026-10-17T11:56:32Z</dcterms:created>
  <dcterms:modified xsi:type="dcterms:W3CDTF">2026-10-17T11:56:32Z</dcterms:modified>
</cp:coreProperties>
</file>

<file path=docProps/custom.xml><?xml version="1.0" encoding="utf-8"?>
<Properties xmlns="http://schemas.openxmlformats.org/officeDocument/2006/custom-properties" xmlns:vt="http://schemas.openxmlformats.org/officeDocument/2006/docPropsVTypes"/>
</file>