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3ae909333995e9fd874d91df9dce77c3e4e09c"/>
    <w:p>
      <w:pPr>
        <w:pStyle w:val="Heading1"/>
      </w:pPr>
      <w:r>
        <w:t xml:space="preserve">Customs and Trade Compliance Primer: US, Canada and Mexico</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an import entry works (US, Canada, Mexico)</w:t>
      </w:r>
      <w:r>
        <w:t xml:space="preserve"> </w:t>
      </w:r>
      <w:r>
        <w:t xml:space="preserve">— [COMPANY: Stream link]. It gives you the shape of Sections 2 to 7 before you read them; its captions file is in the onboarding folder.</w:t>
      </w:r>
    </w:p>
    <w:tbl>
      <w:tblPr>
        <w:tblStyle w:val="Table"/>
        <w:tblW w:type="dxa" w:w="9360"/>
        <w:tblLook w:firstRow="1" w:lastRow="0" w:firstColumn="0" w:lastColumn="0" w:noHBand="0" w:noVBand="0" w:val="0020"/>
        <w:jc w:val="start"/>
        <w:tblLayout w:type="fixed"/>
      </w:tblPr>
      <w:tblGrid>
        <w:gridCol w:w="1035"/>
        <w:gridCol w:w="2200"/>
        <w:gridCol w:w="2548"/>
        <w:gridCol w:w="1035"/>
        <w:gridCol w:w="2541"/>
      </w:tblGrid>
      <w:tr>
        <w:trPr>
          <w:tblHeader w:val="true"/>
        </w:trPr>
        <w:tc>
          <w:tcPr>
            <w:tcW w:w="1035" w:type="dxa"/>
          </w:tcPr>
          <w:p>
            <w:pPr>
              <w:pStyle w:val="Compact"/>
              <w:jc w:val="left"/>
            </w:pPr>
            <w:r>
              <w:t xml:space="preserve">Session</w:t>
            </w:r>
          </w:p>
        </w:tc>
        <w:tc>
          <w:tcPr>
            <w:tcW w:w="2200" w:type="dxa"/>
          </w:tcPr>
          <w:p>
            <w:pPr>
              <w:pStyle w:val="Compact"/>
              <w:jc w:val="left"/>
            </w:pPr>
            <w:r>
              <w:t xml:space="preserve">When (see</w:t>
            </w:r>
            <w:r>
              <w:t xml:space="preserve"> </w:t>
            </w:r>
            <w:r>
              <w:rPr>
                <w:rStyle w:val="VerbatimChar"/>
              </w:rPr>
              <w:t xml:space="preserve">docs/02-weeks-1-2-schedule.md</w:t>
            </w:r>
            <w:r>
              <w:t xml:space="preserve">)</w:t>
            </w:r>
          </w:p>
        </w:tc>
        <w:tc>
          <w:tcPr>
            <w:tcW w:w="2548" w:type="dxa"/>
          </w:tcPr>
          <w:p>
            <w:pPr>
              <w:pStyle w:val="Compact"/>
              <w:jc w:val="left"/>
            </w:pPr>
            <w:r>
              <w:t xml:space="preserve">Sections</w:t>
            </w:r>
          </w:p>
        </w:tc>
        <w:tc>
          <w:tcPr>
            <w:tcW w:w="1035" w:type="dxa"/>
          </w:tcPr>
          <w:p>
            <w:pPr>
              <w:pStyle w:val="Compact"/>
              <w:jc w:val="left"/>
            </w:pPr>
            <w:r>
              <w:t xml:space="preserve">Focused time</w:t>
            </w:r>
          </w:p>
        </w:tc>
        <w:tc>
          <w:tcPr>
            <w:tcW w:w="2541" w:type="dxa"/>
          </w:tcPr>
          <w:p>
            <w:pPr>
              <w:pStyle w:val="Compact"/>
              <w:jc w:val="left"/>
            </w:pPr>
            <w:r>
              <w:t xml:space="preserve">Output</w:t>
            </w:r>
          </w:p>
        </w:tc>
      </w:tr>
      <w:tr>
        <w:tc>
          <w:tcPr>
            <w:tcW w:w="1035" w:type="dxa"/>
          </w:tcPr>
          <w:p>
            <w:pPr>
              <w:pStyle w:val="Compact"/>
              <w:jc w:val="left"/>
            </w:pPr>
            <w:r>
              <w:t xml:space="preserve">1</w:t>
            </w:r>
          </w:p>
        </w:tc>
        <w:tc>
          <w:tcPr>
            <w:tcW w:w="2200" w:type="dxa"/>
          </w:tcPr>
          <w:p>
            <w:pPr>
              <w:pStyle w:val="Compact"/>
              <w:jc w:val="left"/>
            </w:pPr>
            <w:r>
              <w:t xml:space="preserve">W1 Tue 10/20, 08:30</w:t>
            </w:r>
          </w:p>
        </w:tc>
        <w:tc>
          <w:tcPr>
            <w:tcW w:w="2548" w:type="dxa"/>
          </w:tcPr>
          <w:p>
            <w:pPr>
              <w:pStyle w:val="Compact"/>
              <w:jc w:val="left"/>
            </w:pPr>
            <w:r>
              <w:t xml:space="preserve">1 to 4: why it matters, roles, the three countries side by side, US imports</w:t>
            </w:r>
          </w:p>
        </w:tc>
        <w:tc>
          <w:tcPr>
            <w:tcW w:w="1035" w:type="dxa"/>
          </w:tcPr>
          <w:p>
            <w:pPr>
              <w:pStyle w:val="Compact"/>
              <w:jc w:val="left"/>
            </w:pPr>
            <w:r>
              <w:t xml:space="preserve">1.5 h</w:t>
            </w:r>
          </w:p>
        </w:tc>
        <w:tc>
          <w:tcPr>
            <w:tcW w:w="2541" w:type="dxa"/>
          </w:tcPr>
          <w:p>
            <w:pPr>
              <w:pStyle w:val="Compact"/>
              <w:jc w:val="left"/>
            </w:pPr>
            <w:r>
              <w:t xml:space="preserve">10+ new terms and 3+ questions in your question log</w:t>
            </w:r>
          </w:p>
        </w:tc>
      </w:tr>
      <w:tr>
        <w:tc>
          <w:tcPr>
            <w:tcW w:w="1035" w:type="dxa"/>
          </w:tcPr>
          <w:p>
            <w:pPr>
              <w:pStyle w:val="Compact"/>
              <w:jc w:val="left"/>
            </w:pPr>
            <w:r>
              <w:t xml:space="preserve">2</w:t>
            </w:r>
          </w:p>
        </w:tc>
        <w:tc>
          <w:tcPr>
            <w:tcW w:w="2200" w:type="dxa"/>
          </w:tcPr>
          <w:p>
            <w:pPr>
              <w:pStyle w:val="Compact"/>
              <w:jc w:val="left"/>
            </w:pPr>
            <w:r>
              <w:t xml:space="preserve">W1 Thu 10/22 (pre-read for the Senior's Friday session)</w:t>
            </w:r>
          </w:p>
        </w:tc>
        <w:tc>
          <w:tcPr>
            <w:tcW w:w="2548" w:type="dxa"/>
          </w:tcPr>
          <w:p>
            <w:pPr>
              <w:pStyle w:val="Compact"/>
              <w:jc w:val="left"/>
            </w:pPr>
            <w:r>
              <w:t xml:space="preserve">Skim 8, 9 and 10: classification, valuation, origin and marking</w:t>
            </w:r>
          </w:p>
        </w:tc>
        <w:tc>
          <w:tcPr>
            <w:tcW w:w="1035" w:type="dxa"/>
          </w:tcPr>
          <w:p>
            <w:pPr>
              <w:pStyle w:val="Compact"/>
              <w:jc w:val="left"/>
            </w:pPr>
            <w:r>
              <w:t xml:space="preserve">0.75 h</w:t>
            </w:r>
          </w:p>
        </w:tc>
        <w:tc>
          <w:tcPr>
            <w:tcW w:w="2541" w:type="dxa"/>
          </w:tcPr>
          <w:p>
            <w:pPr>
              <w:pStyle w:val="Compact"/>
              <w:jc w:val="left"/>
            </w:pPr>
            <w:r>
              <w:t xml:space="preserve">Questions for the session</w:t>
            </w:r>
          </w:p>
        </w:tc>
      </w:tr>
      <w:tr>
        <w:tc>
          <w:tcPr>
            <w:tcW w:w="1035" w:type="dxa"/>
          </w:tcPr>
          <w:p>
            <w:pPr>
              <w:pStyle w:val="Compact"/>
              <w:jc w:val="left"/>
            </w:pPr>
            <w:r>
              <w:t xml:space="preserve">3</w:t>
            </w:r>
          </w:p>
        </w:tc>
        <w:tc>
          <w:tcPr>
            <w:tcW w:w="2200" w:type="dxa"/>
          </w:tcPr>
          <w:p>
            <w:pPr>
              <w:pStyle w:val="Compact"/>
              <w:jc w:val="left"/>
            </w:pPr>
            <w:r>
              <w:t xml:space="preserve">W2 Mon 10/26, 08:30</w:t>
            </w:r>
          </w:p>
        </w:tc>
        <w:tc>
          <w:tcPr>
            <w:tcW w:w="2548" w:type="dxa"/>
          </w:tcPr>
          <w:p>
            <w:pPr>
              <w:pStyle w:val="Compact"/>
              <w:jc w:val="left"/>
            </w:pPr>
            <w:r>
              <w:t xml:space="preserve">5: Canada imports</w:t>
            </w:r>
          </w:p>
        </w:tc>
        <w:tc>
          <w:tcPr>
            <w:tcW w:w="1035" w:type="dxa"/>
          </w:tcPr>
          <w:p>
            <w:pPr>
              <w:pStyle w:val="Compact"/>
              <w:jc w:val="left"/>
            </w:pPr>
            <w:r>
              <w:t xml:space="preserve">0.75 h</w:t>
            </w:r>
          </w:p>
        </w:tc>
        <w:tc>
          <w:tcPr>
            <w:tcW w:w="2541" w:type="dxa"/>
          </w:tcPr>
          <w:p>
            <w:pPr>
              <w:pStyle w:val="Compact"/>
              <w:jc w:val="left"/>
            </w:pPr>
            <w:r>
              <w:t xml:space="preserve">Canada questions in the question log</w:t>
            </w:r>
          </w:p>
        </w:tc>
      </w:tr>
      <w:tr>
        <w:tc>
          <w:tcPr>
            <w:tcW w:w="1035" w:type="dxa"/>
          </w:tcPr>
          <w:p>
            <w:pPr>
              <w:pStyle w:val="Compact"/>
              <w:jc w:val="left"/>
            </w:pPr>
            <w:r>
              <w:t xml:space="preserve">4</w:t>
            </w:r>
          </w:p>
        </w:tc>
        <w:tc>
          <w:tcPr>
            <w:tcW w:w="2200" w:type="dxa"/>
          </w:tcPr>
          <w:p>
            <w:pPr>
              <w:pStyle w:val="Compact"/>
              <w:jc w:val="left"/>
            </w:pPr>
            <w:r>
              <w:t xml:space="preserve">W2 Mon 10/26, 13:00</w:t>
            </w:r>
          </w:p>
        </w:tc>
        <w:tc>
          <w:tcPr>
            <w:tcW w:w="2548" w:type="dxa"/>
          </w:tcPr>
          <w:p>
            <w:pPr>
              <w:pStyle w:val="Compact"/>
              <w:jc w:val="left"/>
            </w:pPr>
            <w:r>
              <w:t xml:space="preserve">6 and 11.1: Mexico imports and IMMEX</w:t>
            </w:r>
          </w:p>
        </w:tc>
        <w:tc>
          <w:tcPr>
            <w:tcW w:w="1035" w:type="dxa"/>
          </w:tcPr>
          <w:p>
            <w:pPr>
              <w:pStyle w:val="Compact"/>
              <w:jc w:val="left"/>
            </w:pPr>
            <w:r>
              <w:t xml:space="preserve">0.75 h</w:t>
            </w:r>
          </w:p>
        </w:tc>
        <w:tc>
          <w:tcPr>
            <w:tcW w:w="2541" w:type="dxa"/>
          </w:tcPr>
          <w:p>
            <w:pPr>
              <w:pStyle w:val="Compact"/>
              <w:jc w:val="left"/>
            </w:pPr>
            <w:r>
              <w:t xml:space="preserve">Mexico questions; start your own US/CA/MX comparison</w:t>
            </w:r>
          </w:p>
        </w:tc>
      </w:tr>
      <w:tr>
        <w:tc>
          <w:tcPr>
            <w:tcW w:w="1035" w:type="dxa"/>
          </w:tcPr>
          <w:p>
            <w:pPr>
              <w:pStyle w:val="Compact"/>
              <w:jc w:val="left"/>
            </w:pPr>
            <w:r>
              <w:t xml:space="preserve">5</w:t>
            </w:r>
          </w:p>
        </w:tc>
        <w:tc>
          <w:tcPr>
            <w:tcW w:w="2200" w:type="dxa"/>
          </w:tcPr>
          <w:p>
            <w:pPr>
              <w:pStyle w:val="Compact"/>
              <w:jc w:val="left"/>
            </w:pPr>
            <w:r>
              <w:t xml:space="preserve">W2 Wed 10/28, 08:30</w:t>
            </w:r>
          </w:p>
        </w:tc>
        <w:tc>
          <w:tcPr>
            <w:tcW w:w="2548" w:type="dxa"/>
          </w:tcPr>
          <w:p>
            <w:pPr>
              <w:pStyle w:val="Compact"/>
              <w:jc w:val="left"/>
            </w:pPr>
            <w:r>
              <w:t xml:space="preserve">8 in full, then Exercise 1</w:t>
            </w:r>
          </w:p>
        </w:tc>
        <w:tc>
          <w:tcPr>
            <w:tcW w:w="1035" w:type="dxa"/>
          </w:tcPr>
          <w:p>
            <w:pPr>
              <w:pStyle w:val="Compact"/>
              <w:jc w:val="left"/>
            </w:pPr>
            <w:r>
              <w:t xml:space="preserve">1.25 h</w:t>
            </w:r>
          </w:p>
        </w:tc>
        <w:tc>
          <w:tcPr>
            <w:tcW w:w="2541" w:type="dxa"/>
          </w:tcPr>
          <w:p>
            <w:pPr>
              <w:pStyle w:val="Compact"/>
              <w:jc w:val="left"/>
            </w:pPr>
            <w:r>
              <w:t xml:space="preserve">5-item classification worksheet</w:t>
            </w:r>
          </w:p>
        </w:tc>
      </w:tr>
      <w:tr>
        <w:tc>
          <w:tcPr>
            <w:tcW w:w="1035" w:type="dxa"/>
          </w:tcPr>
          <w:p>
            <w:pPr>
              <w:pStyle w:val="Compact"/>
              <w:jc w:val="left"/>
            </w:pPr>
            <w:r>
              <w:t xml:space="preserve">6</w:t>
            </w:r>
          </w:p>
        </w:tc>
        <w:tc>
          <w:tcPr>
            <w:tcW w:w="2200" w:type="dxa"/>
          </w:tcPr>
          <w:p>
            <w:pPr>
              <w:pStyle w:val="Compact"/>
              <w:jc w:val="left"/>
            </w:pPr>
            <w:r>
              <w:t xml:space="preserve">W3</w:t>
            </w:r>
          </w:p>
        </w:tc>
        <w:tc>
          <w:tcPr>
            <w:tcW w:w="2548" w:type="dxa"/>
          </w:tcPr>
          <w:p>
            <w:pPr>
              <w:pStyle w:val="Compact"/>
              <w:jc w:val="left"/>
            </w:pPr>
            <w:r>
              <w:t xml:space="preserve">9 and 10 in full, then Exercise 2 (BOM)</w:t>
            </w:r>
          </w:p>
        </w:tc>
        <w:tc>
          <w:tcPr>
            <w:tcW w:w="1035" w:type="dxa"/>
          </w:tcPr>
          <w:p>
            <w:pPr>
              <w:pStyle w:val="Compact"/>
              <w:jc w:val="left"/>
            </w:pPr>
            <w:r>
              <w:t xml:space="preserve">1.5 h</w:t>
            </w:r>
          </w:p>
        </w:tc>
        <w:tc>
          <w:tcPr>
            <w:tcW w:w="2541" w:type="dxa"/>
          </w:tcPr>
          <w:p>
            <w:pPr>
              <w:pStyle w:val="Compact"/>
              <w:jc w:val="left"/>
            </w:pPr>
            <w:r>
              <w:t xml:space="preserve">Valuation rebuild and BOM qualification worksheet</w:t>
            </w:r>
          </w:p>
        </w:tc>
      </w:tr>
      <w:tr>
        <w:tc>
          <w:tcPr>
            <w:tcW w:w="1035" w:type="dxa"/>
          </w:tcPr>
          <w:p>
            <w:pPr>
              <w:pStyle w:val="Compact"/>
              <w:jc w:val="left"/>
            </w:pPr>
            <w:r>
              <w:t xml:space="preserve">7</w:t>
            </w:r>
          </w:p>
        </w:tc>
        <w:tc>
          <w:tcPr>
            <w:tcW w:w="2200" w:type="dxa"/>
          </w:tcPr>
          <w:p>
            <w:pPr>
              <w:pStyle w:val="Compact"/>
              <w:jc w:val="left"/>
            </w:pPr>
            <w:r>
              <w:t xml:space="preserve">W4</w:t>
            </w:r>
          </w:p>
        </w:tc>
        <w:tc>
          <w:tcPr>
            <w:tcW w:w="2548" w:type="dxa"/>
          </w:tcPr>
          <w:p>
            <w:pPr>
              <w:pStyle w:val="Compact"/>
              <w:jc w:val="left"/>
            </w:pPr>
            <w:r>
              <w:t xml:space="preserve">7, 11.2 and 13: auditing broker filings, drawback, penalties and corrections</w:t>
            </w:r>
          </w:p>
        </w:tc>
        <w:tc>
          <w:tcPr>
            <w:tcW w:w="1035" w:type="dxa"/>
          </w:tcPr>
          <w:p>
            <w:pPr>
              <w:pStyle w:val="Compact"/>
              <w:jc w:val="left"/>
            </w:pPr>
            <w:r>
              <w:t xml:space="preserve">0.75 h</w:t>
            </w:r>
          </w:p>
        </w:tc>
        <w:tc>
          <w:tcPr>
            <w:tcW w:w="2541" w:type="dxa"/>
          </w:tcPr>
          <w:p>
            <w:pPr>
              <w:pStyle w:val="Compact"/>
              <w:jc w:val="left"/>
            </w:pPr>
            <w:r>
              <w:t xml:space="preserve">Broker-audit notes for the Senior's W5 hands-on session</w:t>
            </w:r>
          </w:p>
        </w:tc>
      </w:tr>
      <w:tr>
        <w:tc>
          <w:tcPr>
            <w:tcW w:w="1035" w:type="dxa"/>
          </w:tcPr>
          <w:p>
            <w:pPr>
              <w:pStyle w:val="Compact"/>
              <w:jc w:val="left"/>
            </w:pPr>
            <w:r>
              <w:t xml:space="preserve">8</w:t>
            </w:r>
          </w:p>
        </w:tc>
        <w:tc>
          <w:tcPr>
            <w:tcW w:w="2200" w:type="dxa"/>
          </w:tcPr>
          <w:p>
            <w:pPr>
              <w:pStyle w:val="Compact"/>
              <w:jc w:val="left"/>
            </w:pPr>
            <w:r>
              <w:t xml:space="preserve">W4, by Fri 11/13 (before the knowledge check on Mon 11/16)</w:t>
            </w:r>
          </w:p>
        </w:tc>
        <w:tc>
          <w:tcPr>
            <w:tcW w:w="2548" w:type="dxa"/>
          </w:tcPr>
          <w:p>
            <w:pPr>
              <w:pStyle w:val="Compact"/>
              <w:jc w:val="left"/>
            </w:pPr>
            <w:r>
              <w:t xml:space="preserve">12 (exports), 14 to 16 (what a BSA touches, self-check)</w:t>
            </w:r>
          </w:p>
        </w:tc>
        <w:tc>
          <w:tcPr>
            <w:tcW w:w="1035" w:type="dxa"/>
          </w:tcPr>
          <w:p>
            <w:pPr>
              <w:pStyle w:val="Compact"/>
              <w:jc w:val="left"/>
            </w:pPr>
            <w:r>
              <w:t xml:space="preserve">0.75 h</w:t>
            </w:r>
          </w:p>
        </w:tc>
        <w:tc>
          <w:tcPr>
            <w:tcW w:w="2541" w:type="dxa"/>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15-minute oral USMCA test-out with the Senior (Wed 10/28: self-check questions 14 to 18 in Section 16, without notes; 4 of 5 is a pass),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p>
      <w:pPr>
        <w:numPr>
          <w:ilvl w:val="0"/>
          <w:numId w:val="1003"/>
        </w:numPr>
        <w:pStyle w:val="Compact"/>
      </w:pPr>
      <w:r>
        <w:rPr>
          <w:bCs/>
          <w:b/>
        </w:rPr>
        <w:t xml:space="preserve">Broker and counsel questions go through the Senior.</w:t>
      </w:r>
      <w:r>
        <w:t xml:space="preserve"> </w:t>
      </w:r>
      <w:r>
        <w:t xml:space="preserve">Before the day-60 review you never contact a customs broker, agente aduanal or trade counsel directly; send the question to the Senior (or the Manager). After day 60, with the Senior's agreement, you may email the broker with the Senior copied. Wherever this primer says "confirm with [COMPANY: broker or counsel]", that is how.</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dxa" w:w="9360"/>
        <w:tblLook w:firstRow="1" w:lastRow="0" w:firstColumn="0" w:lastColumn="0" w:noHBand="0" w:noVBand="0" w:val="0020"/>
        <w:jc w:val="start"/>
        <w:tblLayout w:type="fixed"/>
      </w:tblPr>
      <w:tblGrid>
        <w:gridCol w:w="1035"/>
        <w:gridCol w:w="1725"/>
        <w:gridCol w:w="3673"/>
        <w:gridCol w:w="2926"/>
      </w:tblGrid>
      <w:tr>
        <w:trPr>
          <w:tblHeader w:val="true"/>
        </w:trPr>
        <w:tc>
          <w:tcPr>
            <w:tcW w:w="1035" w:type="dxa"/>
          </w:tcPr>
          <w:p>
            <w:pPr>
              <w:pStyle w:val="Compact"/>
              <w:jc w:val="left"/>
            </w:pPr>
            <w:r>
              <w:t xml:space="preserve">Country</w:t>
            </w:r>
          </w:p>
        </w:tc>
        <w:tc>
          <w:tcPr>
            <w:tcW w:w="1725" w:type="dxa"/>
          </w:tcPr>
          <w:p>
            <w:pPr>
              <w:pStyle w:val="Compact"/>
              <w:jc w:val="left"/>
            </w:pPr>
            <w:r>
              <w:t xml:space="preserve">Who files</w:t>
            </w:r>
          </w:p>
        </w:tc>
        <w:tc>
          <w:tcPr>
            <w:tcW w:w="3673" w:type="dxa"/>
          </w:tcPr>
          <w:p>
            <w:pPr>
              <w:pStyle w:val="Compact"/>
              <w:jc w:val="left"/>
            </w:pPr>
            <w:r>
              <w:t xml:space="preserve">Who is responsible</w:t>
            </w:r>
          </w:p>
        </w:tc>
        <w:tc>
          <w:tcPr>
            <w:tcW w:w="2926" w:type="dxa"/>
          </w:tcPr>
          <w:p>
            <w:pPr>
              <w:pStyle w:val="Compact"/>
              <w:jc w:val="left"/>
            </w:pPr>
            <w:r>
              <w:t xml:space="preserve">What it means for us</w:t>
            </w:r>
          </w:p>
        </w:tc>
      </w:tr>
      <w:tr>
        <w:tc>
          <w:tcPr>
            <w:tcW w:w="1035" w:type="dxa"/>
          </w:tcPr>
          <w:p>
            <w:pPr>
              <w:pStyle w:val="Compact"/>
              <w:jc w:val="left"/>
            </w:pPr>
            <w:r>
              <w:t xml:space="preserve">United States</w:t>
            </w:r>
          </w:p>
        </w:tc>
        <w:tc>
          <w:tcPr>
            <w:tcW w:w="1725" w:type="dxa"/>
          </w:tcPr>
          <w:p>
            <w:pPr>
              <w:pStyle w:val="Compact"/>
              <w:jc w:val="left"/>
            </w:pPr>
            <w:r>
              <w:t xml:space="preserve">A CBP-licensed customs broker, using our data</w:t>
            </w:r>
          </w:p>
        </w:tc>
        <w:tc>
          <w:tcPr>
            <w:tcW w:w="3673" w:type="dxa"/>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tcW w:w="2926" w:type="dxa"/>
          </w:tcPr>
          <w:p>
            <w:pPr>
              <w:pStyle w:val="Compact"/>
              <w:jc w:val="left"/>
            </w:pPr>
            <w:r>
              <w:t xml:space="preserve">Relying blindly on the broker is not reasonable care. We must be able to show how each classification, value and origin was decided</w:t>
            </w:r>
          </w:p>
        </w:tc>
      </w:tr>
      <w:tr>
        <w:tc>
          <w:tcPr>
            <w:tcW w:w="1035" w:type="dxa"/>
          </w:tcPr>
          <w:p>
            <w:pPr>
              <w:pStyle w:val="Compact"/>
              <w:jc w:val="left"/>
            </w:pPr>
            <w:r>
              <w:t xml:space="preserve">Canada</w:t>
            </w:r>
          </w:p>
        </w:tc>
        <w:tc>
          <w:tcPr>
            <w:tcW w:w="1725" w:type="dxa"/>
          </w:tcPr>
          <w:p>
            <w:pPr>
              <w:pStyle w:val="Compact"/>
              <w:jc w:val="left"/>
            </w:pPr>
            <w:r>
              <w:t xml:space="preserve">A CBSA-licensed customs broker, using our data</w:t>
            </w:r>
          </w:p>
        </w:tc>
        <w:tc>
          <w:tcPr>
            <w:tcW w:w="3673" w:type="dxa"/>
          </w:tcPr>
          <w:p>
            <w:pPr>
              <w:pStyle w:val="Compact"/>
              <w:jc w:val="left"/>
            </w:pPr>
            <w:r>
              <w:t xml:space="preserve">The importer. If it has "reason to believe" an origin, classification or value-for-duty declaration is wrong, it must correct it and pay any duties owed within 90 days (Customs Act s. 32.2)</w:t>
            </w:r>
          </w:p>
        </w:tc>
        <w:tc>
          <w:tcPr>
            <w:tcW w:w="2926" w:type="dxa"/>
          </w:tcPr>
          <w:p>
            <w:pPr>
              <w:pStyle w:val="Compact"/>
              <w:jc w:val="left"/>
            </w:pPr>
            <w:r>
              <w:t xml:space="preserve">Errors we find start a legal clock. Escalate the same day</w:t>
            </w:r>
          </w:p>
        </w:tc>
      </w:tr>
      <w:tr>
        <w:tc>
          <w:tcPr>
            <w:tcW w:w="1035" w:type="dxa"/>
          </w:tcPr>
          <w:p>
            <w:pPr>
              <w:pStyle w:val="Compact"/>
              <w:jc w:val="left"/>
            </w:pPr>
            <w:r>
              <w:t xml:space="preserve">Mexico</w:t>
            </w:r>
          </w:p>
        </w:tc>
        <w:tc>
          <w:tcPr>
            <w:tcW w:w="1725" w:type="dxa"/>
          </w:tcPr>
          <w:p>
            <w:pPr>
              <w:pStyle w:val="Compact"/>
              <w:jc w:val="left"/>
            </w:pPr>
            <w:r>
              <w:t xml:space="preserve">An agente aduanal (or agencia aduanal), using our data</w:t>
            </w:r>
          </w:p>
        </w:tc>
        <w:tc>
          <w:tcPr>
            <w:tcW w:w="3673" w:type="dxa"/>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tcW w:w="2926" w:type="dxa"/>
          </w:tcPr>
          <w:p>
            <w:pPr>
              <w:pStyle w:val="Compact"/>
              <w:jc w:val="left"/>
            </w:pPr>
            <w:r>
              <w:t xml:space="preserve">The broker's tighter checks are not a substitute for our controls. The Senior confirms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dxa" w:w="9360"/>
        <w:tblLook w:firstRow="1" w:lastRow="0" w:firstColumn="0" w:lastColumn="0" w:noHBand="0" w:noVBand="0" w:val="0020"/>
        <w:jc w:val="start"/>
        <w:tblLayout w:type="fixed"/>
      </w:tblPr>
      <w:tblGrid>
        <w:gridCol w:w="1840"/>
        <w:gridCol w:w="3912"/>
        <w:gridCol w:w="3607"/>
      </w:tblGrid>
      <w:tr>
        <w:trPr>
          <w:tblHeader w:val="true"/>
        </w:trPr>
        <w:tc>
          <w:tcPr>
            <w:tcW w:w="1840" w:type="dxa"/>
          </w:tcPr>
          <w:p>
            <w:pPr>
              <w:pStyle w:val="Compact"/>
              <w:jc w:val="left"/>
            </w:pPr>
            <w:r>
              <w:t xml:space="preserve">Wrong data</w:t>
            </w:r>
          </w:p>
        </w:tc>
        <w:tc>
          <w:tcPr>
            <w:tcW w:w="3912" w:type="dxa"/>
          </w:tcPr>
          <w:p>
            <w:pPr>
              <w:pStyle w:val="Compact"/>
              <w:jc w:val="left"/>
            </w:pPr>
            <w:r>
              <w:t xml:space="preserve">Immediate effect</w:t>
            </w:r>
          </w:p>
        </w:tc>
        <w:tc>
          <w:tcPr>
            <w:tcW w:w="3607" w:type="dxa"/>
          </w:tcPr>
          <w:p>
            <w:pPr>
              <w:pStyle w:val="Compact"/>
              <w:jc w:val="left"/>
            </w:pPr>
            <w:r>
              <w:t xml:space="preserve">Later effect</w:t>
            </w:r>
          </w:p>
        </w:tc>
      </w:tr>
      <w:tr>
        <w:tc>
          <w:tcPr>
            <w:tcW w:w="1840" w:type="dxa"/>
          </w:tcPr>
          <w:p>
            <w:pPr>
              <w:pStyle w:val="Compact"/>
              <w:jc w:val="left"/>
            </w:pPr>
            <w:r>
              <w:t xml:space="preserve">Classification</w:t>
            </w:r>
          </w:p>
        </w:tc>
        <w:tc>
          <w:tcPr>
            <w:tcW w:w="3912" w:type="dxa"/>
          </w:tcPr>
          <w:p>
            <w:pPr>
              <w:pStyle w:val="Compact"/>
              <w:jc w:val="left"/>
            </w:pPr>
            <w:r>
              <w:t xml:space="preserve">Wrong duty rate; other-agency data not filed; additional duties missed or wrongly applied</w:t>
            </w:r>
          </w:p>
        </w:tc>
        <w:tc>
          <w:tcPr>
            <w:tcW w:w="3607" w:type="dxa"/>
          </w:tcPr>
          <w:p>
            <w:pPr>
              <w:pStyle w:val="Compact"/>
              <w:jc w:val="left"/>
            </w:pPr>
            <w:r>
              <w:t xml:space="preserve">Duty bills, penalties, held shipments, wrong standard cost</w:t>
            </w:r>
          </w:p>
        </w:tc>
      </w:tr>
      <w:tr>
        <w:tc>
          <w:tcPr>
            <w:tcW w:w="1840" w:type="dxa"/>
          </w:tcPr>
          <w:p>
            <w:pPr>
              <w:pStyle w:val="Compact"/>
              <w:jc w:val="left"/>
            </w:pPr>
            <w:r>
              <w:t xml:space="preserve">Value</w:t>
            </w:r>
          </w:p>
        </w:tc>
        <w:tc>
          <w:tcPr>
            <w:tcW w:w="3912" w:type="dxa"/>
          </w:tcPr>
          <w:p>
            <w:pPr>
              <w:pStyle w:val="Compact"/>
              <w:jc w:val="left"/>
            </w:pPr>
            <w:r>
              <w:t xml:space="preserve">Duty and fees under- or overpaid</w:t>
            </w:r>
          </w:p>
        </w:tc>
        <w:tc>
          <w:tcPr>
            <w:tcW w:w="3607" w:type="dxa"/>
          </w:tcPr>
          <w:p>
            <w:pPr>
              <w:pStyle w:val="Compact"/>
              <w:jc w:val="left"/>
            </w:pPr>
            <w:r>
              <w:t xml:space="preserve">Penalty exposure (US 19 U.S.C. 1592, Canada AMPS, Mexico fines)</w:t>
            </w:r>
          </w:p>
        </w:tc>
      </w:tr>
      <w:tr>
        <w:tc>
          <w:tcPr>
            <w:tcW w:w="1840" w:type="dxa"/>
          </w:tcPr>
          <w:p>
            <w:pPr>
              <w:pStyle w:val="Compact"/>
              <w:jc w:val="left"/>
            </w:pPr>
            <w:r>
              <w:t xml:space="preserve">Origin or preference claim</w:t>
            </w:r>
          </w:p>
        </w:tc>
        <w:tc>
          <w:tcPr>
            <w:tcW w:w="3912" w:type="dxa"/>
          </w:tcPr>
          <w:p>
            <w:pPr>
              <w:pStyle w:val="Compact"/>
              <w:jc w:val="left"/>
            </w:pPr>
            <w:r>
              <w:t xml:space="preserve">Preference claimed without support, or savings missed</w:t>
            </w:r>
          </w:p>
        </w:tc>
        <w:tc>
          <w:tcPr>
            <w:tcW w:w="3607" w:type="dxa"/>
          </w:tcPr>
          <w:p>
            <w:pPr>
              <w:pStyle w:val="Compact"/>
              <w:jc w:val="left"/>
            </w:pPr>
            <w:r>
              <w:t xml:space="preserve">Claims denied in a verification; duties plus interest; penalties</w:t>
            </w:r>
          </w:p>
        </w:tc>
      </w:tr>
      <w:tr>
        <w:tc>
          <w:tcPr>
            <w:tcW w:w="1840" w:type="dxa"/>
          </w:tcPr>
          <w:p>
            <w:pPr>
              <w:pStyle w:val="Compact"/>
              <w:jc w:val="left"/>
            </w:pPr>
            <w:r>
              <w:t xml:space="preserve">Duty rate in cost data</w:t>
            </w:r>
          </w:p>
        </w:tc>
        <w:tc>
          <w:tcPr>
            <w:tcW w:w="3912" w:type="dxa"/>
          </w:tcPr>
          <w:p>
            <w:pPr>
              <w:pStyle w:val="Compact"/>
              <w:jc w:val="left"/>
            </w:pPr>
            <w:r>
              <w:t xml:space="preserve">Wrong standard cost and margin</w:t>
            </w:r>
          </w:p>
        </w:tc>
        <w:tc>
          <w:tcPr>
            <w:tcW w:w="3607" w:type="dxa"/>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dxa" w:w="9360"/>
        <w:tblLook w:firstRow="1" w:lastRow="0" w:firstColumn="0" w:lastColumn="0" w:noHBand="0" w:noVBand="0" w:val="0020"/>
        <w:jc w:val="start"/>
        <w:tblLayout w:type="fixed"/>
      </w:tblPr>
      <w:tblGrid>
        <w:gridCol w:w="1265"/>
        <w:gridCol w:w="1661"/>
        <w:gridCol w:w="1756"/>
        <w:gridCol w:w="2406"/>
        <w:gridCol w:w="2270"/>
      </w:tblGrid>
      <w:tr>
        <w:trPr>
          <w:tblHeader w:val="true"/>
        </w:trPr>
        <w:tc>
          <w:tcPr>
            <w:tcW w:w="1265" w:type="dxa"/>
          </w:tcPr>
          <w:p>
            <w:pPr>
              <w:pStyle w:val="Compact"/>
              <w:jc w:val="left"/>
            </w:pPr>
            <w:r>
              <w:t xml:space="preserve">Role</w:t>
            </w:r>
          </w:p>
        </w:tc>
        <w:tc>
          <w:tcPr>
            <w:tcW w:w="1661" w:type="dxa"/>
          </w:tcPr>
          <w:p>
            <w:pPr>
              <w:pStyle w:val="Compact"/>
              <w:jc w:val="left"/>
            </w:pPr>
            <w:r>
              <w:t xml:space="preserve">United States</w:t>
            </w:r>
          </w:p>
        </w:tc>
        <w:tc>
          <w:tcPr>
            <w:tcW w:w="1756" w:type="dxa"/>
          </w:tcPr>
          <w:p>
            <w:pPr>
              <w:pStyle w:val="Compact"/>
              <w:jc w:val="left"/>
            </w:pPr>
            <w:r>
              <w:t xml:space="preserve">Canada</w:t>
            </w:r>
          </w:p>
        </w:tc>
        <w:tc>
          <w:tcPr>
            <w:tcW w:w="2406" w:type="dxa"/>
          </w:tcPr>
          <w:p>
            <w:pPr>
              <w:pStyle w:val="Compact"/>
              <w:jc w:val="left"/>
            </w:pPr>
            <w:r>
              <w:t xml:space="preserve">Mexico</w:t>
            </w:r>
          </w:p>
        </w:tc>
        <w:tc>
          <w:tcPr>
            <w:tcW w:w="2270" w:type="dxa"/>
          </w:tcPr>
          <w:p>
            <w:pPr>
              <w:pStyle w:val="Compact"/>
              <w:jc w:val="left"/>
            </w:pPr>
            <w:r>
              <w:t xml:space="preserve">Responsible for</w:t>
            </w:r>
          </w:p>
        </w:tc>
      </w:tr>
      <w:tr>
        <w:tc>
          <w:tcPr>
            <w:tcW w:w="1265" w:type="dxa"/>
          </w:tcPr>
          <w:p>
            <w:pPr>
              <w:pStyle w:val="Compact"/>
              <w:jc w:val="left"/>
            </w:pPr>
            <w:r>
              <w:t xml:space="preserve">Customs authority</w:t>
            </w:r>
          </w:p>
        </w:tc>
        <w:tc>
          <w:tcPr>
            <w:tcW w:w="1661" w:type="dxa"/>
          </w:tcPr>
          <w:p>
            <w:pPr>
              <w:pStyle w:val="Compact"/>
              <w:jc w:val="left"/>
            </w:pPr>
            <w:r>
              <w:t xml:space="preserve">U.S. Customs and Border Protection (CBP), part of DHS</w:t>
            </w:r>
          </w:p>
        </w:tc>
        <w:tc>
          <w:tcPr>
            <w:tcW w:w="1756" w:type="dxa"/>
          </w:tcPr>
          <w:p>
            <w:pPr>
              <w:pStyle w:val="Compact"/>
              <w:jc w:val="left"/>
            </w:pPr>
            <w:r>
              <w:t xml:space="preserve">Canada Border Services Agency (CBSA)</w:t>
            </w:r>
          </w:p>
        </w:tc>
        <w:tc>
          <w:tcPr>
            <w:tcW w:w="2406" w:type="dxa"/>
          </w:tcPr>
          <w:p>
            <w:pPr>
              <w:pStyle w:val="Compact"/>
              <w:jc w:val="left"/>
            </w:pPr>
            <w:r>
              <w:t xml:space="preserve">Agencia Nacional de Aduanas de México (ANAM) since 2022 for customs; SAT stays the tax authority (RFC, the Registro Federal de Contribuyentes tax ID; e.firma; padrón de importadores)</w:t>
            </w:r>
          </w:p>
        </w:tc>
        <w:tc>
          <w:tcPr>
            <w:tcW w:w="2270" w:type="dxa"/>
          </w:tcPr>
          <w:p>
            <w:pPr>
              <w:pStyle w:val="Compact"/>
              <w:jc w:val="left"/>
            </w:pPr>
            <w:r>
              <w:t xml:space="preserve">Release goods, assess and collect duties and taxes, verify and audit, penalize</w:t>
            </w:r>
          </w:p>
        </w:tc>
      </w:tr>
      <w:tr>
        <w:tc>
          <w:tcPr>
            <w:tcW w:w="1265" w:type="dxa"/>
          </w:tcPr>
          <w:p>
            <w:pPr>
              <w:pStyle w:val="Compact"/>
              <w:jc w:val="left"/>
            </w:pPr>
            <w:r>
              <w:t xml:space="preserve">Importer</w:t>
            </w:r>
          </w:p>
        </w:tc>
        <w:tc>
          <w:tcPr>
            <w:tcW w:w="1661" w:type="dxa"/>
          </w:tcPr>
          <w:p>
            <w:pPr>
              <w:pStyle w:val="Compact"/>
              <w:jc w:val="left"/>
            </w:pPr>
            <w:r>
              <w:t xml:space="preserve">Importer of record (IOR)</w:t>
            </w:r>
          </w:p>
        </w:tc>
        <w:tc>
          <w:tcPr>
            <w:tcW w:w="1756" w:type="dxa"/>
          </w:tcPr>
          <w:p>
            <w:pPr>
              <w:pStyle w:val="Compact"/>
              <w:jc w:val="left"/>
            </w:pPr>
            <w:r>
              <w:t xml:space="preserve">Importer, identified by its Business Number and import-export (RM) account</w:t>
            </w:r>
          </w:p>
        </w:tc>
        <w:tc>
          <w:tcPr>
            <w:tcW w:w="2406" w:type="dxa"/>
          </w:tcPr>
          <w:p>
            <w:pPr>
              <w:pStyle w:val="Compact"/>
              <w:jc w:val="left"/>
            </w:pPr>
            <w:r>
              <w:t xml:space="preserve">Importer registered in the padrón de importadores with an active RFC</w:t>
            </w:r>
          </w:p>
        </w:tc>
        <w:tc>
          <w:tcPr>
            <w:tcW w:w="2270" w:type="dxa"/>
          </w:tcPr>
          <w:p>
            <w:pPr>
              <w:pStyle w:val="Compact"/>
              <w:jc w:val="left"/>
            </w:pPr>
            <w:r>
              <w:t xml:space="preserve">Accurate declarations, payment, records, corrections</w:t>
            </w:r>
          </w:p>
        </w:tc>
      </w:tr>
      <w:tr>
        <w:tc>
          <w:tcPr>
            <w:tcW w:w="1265" w:type="dxa"/>
          </w:tcPr>
          <w:p>
            <w:pPr>
              <w:pStyle w:val="Compact"/>
              <w:jc w:val="left"/>
            </w:pPr>
            <w:r>
              <w:t xml:space="preserve">Customs broker</w:t>
            </w:r>
          </w:p>
        </w:tc>
        <w:tc>
          <w:tcPr>
            <w:tcW w:w="1661" w:type="dxa"/>
          </w:tcPr>
          <w:p>
            <w:pPr>
              <w:pStyle w:val="Compact"/>
              <w:jc w:val="left"/>
            </w:pPr>
            <w:r>
              <w:t xml:space="preserve">Licensed customs broker (19 CFR Part 111)</w:t>
            </w:r>
          </w:p>
        </w:tc>
        <w:tc>
          <w:tcPr>
            <w:tcW w:w="1756" w:type="dxa"/>
          </w:tcPr>
          <w:p>
            <w:pPr>
              <w:pStyle w:val="Compact"/>
              <w:jc w:val="left"/>
            </w:pPr>
            <w:r>
              <w:t xml:space="preserve">Licensed customs broker</w:t>
            </w:r>
          </w:p>
        </w:tc>
        <w:tc>
          <w:tcPr>
            <w:tcW w:w="2406" w:type="dxa"/>
          </w:tcPr>
          <w:p>
            <w:pPr>
              <w:pStyle w:val="Compact"/>
              <w:jc w:val="left"/>
            </w:pPr>
            <w:r>
              <w:t xml:space="preserve">Agente aduanal holding a patente, or an agencia aduanal</w:t>
            </w:r>
          </w:p>
        </w:tc>
        <w:tc>
          <w:tcPr>
            <w:tcW w:w="2270" w:type="dxa"/>
          </w:tcPr>
          <w:p>
            <w:pPr>
              <w:pStyle w:val="Compact"/>
              <w:jc w:val="left"/>
            </w:pPr>
            <w:r>
              <w:t xml:space="preserve">Prepares and transmits declarations on our behalf, using our data</w:t>
            </w:r>
          </w:p>
        </w:tc>
      </w:tr>
      <w:tr>
        <w:tc>
          <w:tcPr>
            <w:tcW w:w="1265" w:type="dxa"/>
          </w:tcPr>
          <w:p>
            <w:pPr>
              <w:pStyle w:val="Compact"/>
              <w:jc w:val="left"/>
            </w:pPr>
            <w:r>
              <w:t xml:space="preserve">Other agencies</w:t>
            </w:r>
          </w:p>
        </w:tc>
        <w:tc>
          <w:tcPr>
            <w:tcW w:w="1661" w:type="dxa"/>
          </w:tcPr>
          <w:p>
            <w:pPr>
              <w:pStyle w:val="Compact"/>
              <w:jc w:val="left"/>
            </w:pPr>
            <w:r>
              <w:t xml:space="preserve">Partner Government Agencies (PGAs), for example FDA, USDA, EPA, CPSC</w:t>
            </w:r>
          </w:p>
        </w:tc>
        <w:tc>
          <w:tcPr>
            <w:tcW w:w="1756" w:type="dxa"/>
          </w:tcPr>
          <w:p>
            <w:pPr>
              <w:pStyle w:val="Compact"/>
              <w:jc w:val="left"/>
            </w:pPr>
            <w:r>
              <w:t xml:space="preserve">Other government departments, for example CFIA, Health Canada, Global Affairs Canada (permits)</w:t>
            </w:r>
          </w:p>
        </w:tc>
        <w:tc>
          <w:tcPr>
            <w:tcW w:w="2406" w:type="dxa"/>
          </w:tcPr>
          <w:p>
            <w:pPr>
              <w:pStyle w:val="Compact"/>
              <w:jc w:val="left"/>
            </w:pPr>
            <w:r>
              <w:t xml:space="preserve">Secretaría de Economía (permits, quotas), COFEPRIS, SENASICA; product labeling under NOMs (Normas Oficiales Mexicanas)</w:t>
            </w:r>
          </w:p>
        </w:tc>
        <w:tc>
          <w:tcPr>
            <w:tcW w:w="2270" w:type="dxa"/>
          </w:tcPr>
          <w:p>
            <w:pPr>
              <w:pStyle w:val="Compact"/>
              <w:jc w:val="left"/>
            </w:pPr>
            <w:r>
              <w:t xml:space="preserve">Product admissibility, permits, labeling</w:t>
            </w:r>
          </w:p>
        </w:tc>
      </w:tr>
      <w:tr>
        <w:tc>
          <w:tcPr>
            <w:tcW w:w="1265" w:type="dxa"/>
          </w:tcPr>
          <w:p>
            <w:pPr>
              <w:pStyle w:val="Compact"/>
              <w:jc w:val="left"/>
            </w:pPr>
            <w:r>
              <w:t xml:space="preserve">Carrier or forwarder</w:t>
            </w:r>
          </w:p>
        </w:tc>
        <w:tc>
          <w:tcPr>
            <w:tcW w:w="1661" w:type="dxa"/>
          </w:tcPr>
          <w:p>
            <w:pPr>
              <w:pStyle w:val="Compact"/>
              <w:jc w:val="left"/>
            </w:pPr>
            <w:r>
              <w:t xml:space="preserve">Manifest data; ocean carriers file part of the ISF</w:t>
            </w:r>
          </w:p>
        </w:tc>
        <w:tc>
          <w:tcPr>
            <w:tcW w:w="1756" w:type="dxa"/>
          </w:tcPr>
          <w:p>
            <w:pPr>
              <w:pStyle w:val="Compact"/>
              <w:jc w:val="left"/>
            </w:pPr>
            <w:r>
              <w:t xml:space="preserve">eManifest advance data</w:t>
            </w:r>
          </w:p>
        </w:tc>
        <w:tc>
          <w:tcPr>
            <w:tcW w:w="2406" w:type="dxa"/>
          </w:tcPr>
          <w:p>
            <w:pPr>
              <w:pStyle w:val="Compact"/>
              <w:jc w:val="left"/>
            </w:pPr>
            <w:r>
              <w:t xml:space="preserve">Transport documents and manifest data</w:t>
            </w:r>
          </w:p>
        </w:tc>
        <w:tc>
          <w:tcPr>
            <w:tcW w:w="2270" w:type="dxa"/>
          </w:tcPr>
          <w:p>
            <w:pPr>
              <w:pStyle w:val="Compact"/>
              <w:jc w:val="left"/>
            </w:pPr>
            <w:r>
              <w:t xml:space="preserve">Getting the goods and the advance data to the border</w:t>
            </w:r>
          </w:p>
        </w:tc>
      </w:tr>
      <w:tr>
        <w:tc>
          <w:tcPr>
            <w:tcW w:w="1265" w:type="dxa"/>
          </w:tcPr>
          <w:p>
            <w:pPr>
              <w:pStyle w:val="Compact"/>
              <w:jc w:val="left"/>
            </w:pPr>
            <w:r>
              <w:t xml:space="preserve">Supplier or producer</w:t>
            </w:r>
          </w:p>
        </w:tc>
        <w:tc>
          <w:tcPr>
            <w:tcW w:w="1661" w:type="dxa"/>
          </w:tcPr>
          <w:p>
            <w:pPr>
              <w:pStyle w:val="Compact"/>
              <w:jc w:val="left"/>
            </w:pPr>
            <w:r>
              <w:t xml:space="preserve">Commercial invoice, packing list</w:t>
            </w:r>
          </w:p>
        </w:tc>
        <w:tc>
          <w:tcPr>
            <w:tcW w:w="1756" w:type="dxa"/>
          </w:tcPr>
          <w:p>
            <w:pPr>
              <w:pStyle w:val="Compact"/>
              <w:jc w:val="left"/>
            </w:pPr>
            <w:r>
              <w:t xml:space="preserve">Commercial invoice</w:t>
            </w:r>
          </w:p>
        </w:tc>
        <w:tc>
          <w:tcPr>
            <w:tcW w:w="2406" w:type="dxa"/>
          </w:tcPr>
          <w:p>
            <w:pPr>
              <w:pStyle w:val="Compact"/>
              <w:jc w:val="left"/>
            </w:pPr>
            <w:r>
              <w:t xml:space="preserve">Commercial invoice, data for the value declaration</w:t>
            </w:r>
          </w:p>
        </w:tc>
        <w:tc>
          <w:tcPr>
            <w:tcW w:w="2270" w:type="dxa"/>
          </w:tcPr>
          <w:p>
            <w:pPr>
              <w:pStyle w:val="Compact"/>
              <w:jc w:val="left"/>
            </w:pPr>
            <w:r>
              <w:t xml:space="preserve">Price, description, origin information, USMCA certifications</w:t>
            </w:r>
          </w:p>
        </w:tc>
      </w:tr>
      <w:tr>
        <w:tc>
          <w:tcPr>
            <w:tcW w:w="1265" w:type="dxa"/>
          </w:tcPr>
          <w:p>
            <w:pPr>
              <w:pStyle w:val="Compact"/>
              <w:jc w:val="left"/>
            </w:pPr>
            <w:r>
              <w:t xml:space="preserve">Our team</w:t>
            </w:r>
          </w:p>
        </w:tc>
        <w:tc>
          <w:tcPr>
            <w:tcW w:w="1661" w:type="dxa"/>
          </w:tcPr>
          <w:p>
            <w:pPr>
              <w:pStyle w:val="Compact"/>
              <w:jc w:val="left"/>
            </w:pPr>
            <w:r>
              <w:t xml:space="preserve">Data owner and auditor [COMPANY: confirm scope]</w:t>
            </w:r>
          </w:p>
        </w:tc>
        <w:tc>
          <w:tcPr>
            <w:tcW w:w="1756" w:type="dxa"/>
          </w:tcPr>
          <w:p>
            <w:pPr>
              <w:pStyle w:val="Compact"/>
              <w:jc w:val="left"/>
            </w:pPr>
            <w:r>
              <w:t xml:space="preserve">Same</w:t>
            </w:r>
          </w:p>
        </w:tc>
        <w:tc>
          <w:tcPr>
            <w:tcW w:w="2406" w:type="dxa"/>
          </w:tcPr>
          <w:p>
            <w:pPr>
              <w:pStyle w:val="Compact"/>
              <w:jc w:val="left"/>
            </w:pPr>
            <w:r>
              <w:t xml:space="preserve">Same</w:t>
            </w:r>
          </w:p>
        </w:tc>
        <w:tc>
          <w:tcPr>
            <w:tcW w:w="2270" w:type="dxa"/>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dxa" w:w="9360"/>
        <w:tblLook w:firstRow="1" w:lastRow="0" w:firstColumn="0" w:lastColumn="0" w:noHBand="0" w:noVBand="0" w:val="0020"/>
        <w:jc w:val="start"/>
        <w:tblLayout w:type="fixed"/>
      </w:tblPr>
      <w:tblGrid>
        <w:gridCol w:w="1610"/>
        <w:gridCol w:w="2095"/>
        <w:gridCol w:w="2473"/>
        <w:gridCol w:w="3181"/>
      </w:tblGrid>
      <w:tr>
        <w:trPr>
          <w:tblHeader w:val="true"/>
        </w:trPr>
        <w:tc>
          <w:tcPr>
            <w:tcW w:w="1610" w:type="dxa"/>
          </w:tcPr>
          <w:p>
            <w:pPr>
              <w:pStyle w:val="Compact"/>
              <w:jc w:val="left"/>
            </w:pPr>
            <w:r>
              <w:t xml:space="preserve">Topic</w:t>
            </w:r>
          </w:p>
        </w:tc>
        <w:tc>
          <w:tcPr>
            <w:tcW w:w="2095" w:type="dxa"/>
          </w:tcPr>
          <w:p>
            <w:pPr>
              <w:pStyle w:val="Compact"/>
              <w:jc w:val="left"/>
            </w:pPr>
            <w:r>
              <w:t xml:space="preserve">United States</w:t>
            </w:r>
          </w:p>
        </w:tc>
        <w:tc>
          <w:tcPr>
            <w:tcW w:w="2473" w:type="dxa"/>
          </w:tcPr>
          <w:p>
            <w:pPr>
              <w:pStyle w:val="Compact"/>
              <w:jc w:val="left"/>
            </w:pPr>
            <w:r>
              <w:t xml:space="preserve">Canada</w:t>
            </w:r>
          </w:p>
        </w:tc>
        <w:tc>
          <w:tcPr>
            <w:tcW w:w="3181" w:type="dxa"/>
          </w:tcPr>
          <w:p>
            <w:pPr>
              <w:pStyle w:val="Compact"/>
              <w:jc w:val="left"/>
            </w:pPr>
            <w:r>
              <w:t xml:space="preserve">Mexico</w:t>
            </w:r>
          </w:p>
        </w:tc>
      </w:tr>
      <w:tr>
        <w:tc>
          <w:tcPr>
            <w:tcW w:w="1610" w:type="dxa"/>
          </w:tcPr>
          <w:p>
            <w:pPr>
              <w:pStyle w:val="Compact"/>
              <w:jc w:val="left"/>
            </w:pPr>
            <w:r>
              <w:t xml:space="preserve">Customs agency</w:t>
            </w:r>
          </w:p>
        </w:tc>
        <w:tc>
          <w:tcPr>
            <w:tcW w:w="2095" w:type="dxa"/>
          </w:tcPr>
          <w:p>
            <w:pPr>
              <w:pStyle w:val="Compact"/>
              <w:jc w:val="left"/>
            </w:pPr>
            <w:r>
              <w:t xml:space="preserve">CBP</w:t>
            </w:r>
          </w:p>
        </w:tc>
        <w:tc>
          <w:tcPr>
            <w:tcW w:w="2473" w:type="dxa"/>
          </w:tcPr>
          <w:p>
            <w:pPr>
              <w:pStyle w:val="Compact"/>
              <w:jc w:val="left"/>
            </w:pPr>
            <w:r>
              <w:t xml:space="preserve">CBSA</w:t>
            </w:r>
          </w:p>
        </w:tc>
        <w:tc>
          <w:tcPr>
            <w:tcW w:w="3181" w:type="dxa"/>
          </w:tcPr>
          <w:p>
            <w:pPr>
              <w:pStyle w:val="Compact"/>
              <w:jc w:val="left"/>
            </w:pPr>
            <w:r>
              <w:t xml:space="preserve">ANAM (customs operations) with SAT (tax administration)</w:t>
            </w:r>
          </w:p>
        </w:tc>
      </w:tr>
      <w:tr>
        <w:tc>
          <w:tcPr>
            <w:tcW w:w="1610" w:type="dxa"/>
          </w:tcPr>
          <w:p>
            <w:pPr>
              <w:pStyle w:val="Compact"/>
              <w:jc w:val="left"/>
            </w:pPr>
            <w:r>
              <w:t xml:space="preserve">Who files</w:t>
            </w:r>
          </w:p>
        </w:tc>
        <w:tc>
          <w:tcPr>
            <w:tcW w:w="2095" w:type="dxa"/>
          </w:tcPr>
          <w:p>
            <w:pPr>
              <w:pStyle w:val="Compact"/>
              <w:jc w:val="left"/>
            </w:pPr>
            <w:r>
              <w:t xml:space="preserve">Licensed broker through ABI, the Automated Broker Interface (or an importer that self-files)</w:t>
            </w:r>
          </w:p>
        </w:tc>
        <w:tc>
          <w:tcPr>
            <w:tcW w:w="2473" w:type="dxa"/>
          </w:tcPr>
          <w:p>
            <w:pPr>
              <w:pStyle w:val="Compact"/>
              <w:jc w:val="left"/>
            </w:pPr>
            <w:r>
              <w:t xml:space="preserve">Licensed broker (or the importer itself) through CBSA's electronic channels and CARM (CBSA Assessment and Revenue Management)</w:t>
            </w:r>
          </w:p>
        </w:tc>
        <w:tc>
          <w:tcPr>
            <w:tcW w:w="3181" w:type="dxa"/>
          </w:tcPr>
          <w:p>
            <w:pPr>
              <w:pStyle w:val="Compact"/>
              <w:jc w:val="left"/>
            </w:pPr>
            <w:r>
              <w:t xml:space="preserve">Generally an agente aduanal or agencia aduanal</w:t>
            </w:r>
          </w:p>
        </w:tc>
      </w:tr>
      <w:tr>
        <w:tc>
          <w:tcPr>
            <w:tcW w:w="1610" w:type="dxa"/>
          </w:tcPr>
          <w:p>
            <w:pPr>
              <w:pStyle w:val="Compact"/>
              <w:jc w:val="left"/>
            </w:pPr>
            <w:r>
              <w:t xml:space="preserve">Importer registration</w:t>
            </w:r>
          </w:p>
        </w:tc>
        <w:tc>
          <w:tcPr>
            <w:tcW w:w="2095" w:type="dxa"/>
          </w:tcPr>
          <w:p>
            <w:pPr>
              <w:pStyle w:val="Compact"/>
              <w:jc w:val="left"/>
            </w:pPr>
            <w:r>
              <w:t xml:space="preserve">IOR number (IRS EIN or CBP-assigned number, set up on CBP Form 5106)</w:t>
            </w:r>
          </w:p>
        </w:tc>
        <w:tc>
          <w:tcPr>
            <w:tcW w:w="2473" w:type="dxa"/>
          </w:tcPr>
          <w:p>
            <w:pPr>
              <w:pStyle w:val="Compact"/>
              <w:jc w:val="left"/>
            </w:pPr>
            <w:r>
              <w:t xml:space="preserve">9-digit Business Number plus an import-export (RM) program account (BN15), both issued by the Canada Revenue Agency (CRA); the importer then registers in the CARM Client Portal</w:t>
            </w:r>
          </w:p>
        </w:tc>
        <w:tc>
          <w:tcPr>
            <w:tcW w:w="3181" w:type="dxa"/>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tcW w:w="1610" w:type="dxa"/>
          </w:tcPr>
          <w:p>
            <w:pPr>
              <w:pStyle w:val="Compact"/>
              <w:jc w:val="left"/>
            </w:pPr>
            <w:r>
              <w:t xml:space="preserve">Financial guarantee</w:t>
            </w:r>
          </w:p>
        </w:tc>
        <w:tc>
          <w:tcPr>
            <w:tcW w:w="2095" w:type="dxa"/>
          </w:tcPr>
          <w:p>
            <w:pPr>
              <w:pStyle w:val="Compact"/>
              <w:jc w:val="left"/>
            </w:pPr>
            <w:r>
              <w:t xml:space="preserve">Customs bond: single transaction or continuous</w:t>
            </w:r>
          </w:p>
        </w:tc>
        <w:tc>
          <w:tcPr>
            <w:tcW w:w="2473" w:type="dxa"/>
          </w:tcPr>
          <w:p>
            <w:pPr>
              <w:pStyle w:val="Compact"/>
              <w:jc w:val="left"/>
            </w:pPr>
            <w:r>
              <w:t xml:space="preserve">Financial security the importer posts in CARM to use release prior to payment (RPP)</w:t>
            </w:r>
          </w:p>
        </w:tc>
        <w:tc>
          <w:tcPr>
            <w:tcW w:w="3181" w:type="dxa"/>
          </w:tcPr>
          <w:p>
            <w:pPr>
              <w:pStyle w:val="Compact"/>
              <w:jc w:val="left"/>
            </w:pPr>
            <w:r>
              <w:t xml:space="preserve">No general bond; guarantees apply in specific situations (the Senior confirms which apply to us with [COMPANY: Mexico broker])</w:t>
            </w:r>
          </w:p>
        </w:tc>
      </w:tr>
      <w:tr>
        <w:tc>
          <w:tcPr>
            <w:tcW w:w="1610" w:type="dxa"/>
          </w:tcPr>
          <w:p>
            <w:pPr>
              <w:pStyle w:val="Compact"/>
              <w:jc w:val="left"/>
            </w:pPr>
            <w:r>
              <w:t xml:space="preserve">Importer's portal</w:t>
            </w:r>
          </w:p>
        </w:tc>
        <w:tc>
          <w:tcPr>
            <w:tcW w:w="2095" w:type="dxa"/>
          </w:tcPr>
          <w:p>
            <w:pPr>
              <w:pStyle w:val="Compact"/>
              <w:jc w:val="left"/>
            </w:pPr>
            <w:r>
              <w:t xml:space="preserve">ACE (Automated Commercial Environment) Portal: account management, reports on our own entries</w:t>
            </w:r>
          </w:p>
        </w:tc>
        <w:tc>
          <w:tcPr>
            <w:tcW w:w="2473" w:type="dxa"/>
          </w:tcPr>
          <w:p>
            <w:pPr>
              <w:pStyle w:val="Compact"/>
              <w:jc w:val="left"/>
            </w:pPr>
            <w:r>
              <w:t xml:space="preserve">CARM Client Portal (account, broker delegation, statements, declarations)</w:t>
            </w:r>
          </w:p>
        </w:tc>
        <w:tc>
          <w:tcPr>
            <w:tcW w:w="3181" w:type="dxa"/>
          </w:tcPr>
          <w:p>
            <w:pPr>
              <w:pStyle w:val="Compact"/>
              <w:jc w:val="left"/>
            </w:pPr>
            <w:r>
              <w:t xml:space="preserve">The foreign-trade single window for permits and digitized documents: the Ventanilla Única de Trámites de Comercio Exterior (VUTCE), run by the ATDT under a decree of 4 May 2026. It replaced the SAT-run VUCEM (Ventanilla Única de Comercio Exterior Mexicana), a name the trade still uses. SAT portal for padrón matters</w:t>
            </w:r>
          </w:p>
        </w:tc>
      </w:tr>
      <w:tr>
        <w:tc>
          <w:tcPr>
            <w:tcW w:w="1610" w:type="dxa"/>
          </w:tcPr>
          <w:p>
            <w:pPr>
              <w:pStyle w:val="Compact"/>
              <w:jc w:val="left"/>
            </w:pPr>
            <w:r>
              <w:t xml:space="preserve">Where the rules live</w:t>
            </w:r>
          </w:p>
        </w:tc>
        <w:tc>
          <w:tcPr>
            <w:tcW w:w="2095" w:type="dxa"/>
          </w:tcPr>
          <w:p>
            <w:pPr>
              <w:pStyle w:val="Compact"/>
              <w:jc w:val="left"/>
            </w:pPr>
            <w:r>
              <w:t xml:space="preserve">19 CFR, CBP Informed Compliance Publications, CSMS messages</w:t>
            </w:r>
          </w:p>
        </w:tc>
        <w:tc>
          <w:tcPr>
            <w:tcW w:w="2473" w:type="dxa"/>
          </w:tcPr>
          <w:p>
            <w:pPr>
              <w:pStyle w:val="Compact"/>
              <w:jc w:val="left"/>
            </w:pPr>
            <w:r>
              <w:t xml:space="preserve">Customs Act, regulations, D-Memoranda, Customs Notices</w:t>
            </w:r>
          </w:p>
        </w:tc>
        <w:tc>
          <w:tcPr>
            <w:tcW w:w="3181" w:type="dxa"/>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dxa" w:w="9360"/>
        <w:tblLook w:firstRow="1" w:lastRow="0" w:firstColumn="0" w:lastColumn="0" w:noHBand="0" w:noVBand="0" w:val="0020"/>
        <w:jc w:val="start"/>
        <w:tblLayout w:type="fixed"/>
      </w:tblPr>
      <w:tblGrid>
        <w:gridCol w:w="1495"/>
        <w:gridCol w:w="2437"/>
        <w:gridCol w:w="2658"/>
        <w:gridCol w:w="2768"/>
      </w:tblGrid>
      <w:tr>
        <w:trPr>
          <w:tblHeader w:val="true"/>
        </w:trPr>
        <w:tc>
          <w:tcPr>
            <w:tcW w:w="1495" w:type="dxa"/>
          </w:tcPr>
          <w:p>
            <w:pPr>
              <w:pStyle w:val="Compact"/>
              <w:jc w:val="left"/>
            </w:pPr>
            <w:r>
              <w:t xml:space="preserve">Topic</w:t>
            </w:r>
          </w:p>
        </w:tc>
        <w:tc>
          <w:tcPr>
            <w:tcW w:w="2437" w:type="dxa"/>
          </w:tcPr>
          <w:p>
            <w:pPr>
              <w:pStyle w:val="Compact"/>
              <w:jc w:val="left"/>
            </w:pPr>
            <w:r>
              <w:t xml:space="preserve">United States</w:t>
            </w:r>
          </w:p>
        </w:tc>
        <w:tc>
          <w:tcPr>
            <w:tcW w:w="2658" w:type="dxa"/>
          </w:tcPr>
          <w:p>
            <w:pPr>
              <w:pStyle w:val="Compact"/>
              <w:jc w:val="left"/>
            </w:pPr>
            <w:r>
              <w:t xml:space="preserve">Canada</w:t>
            </w:r>
          </w:p>
        </w:tc>
        <w:tc>
          <w:tcPr>
            <w:tcW w:w="2768" w:type="dxa"/>
          </w:tcPr>
          <w:p>
            <w:pPr>
              <w:pStyle w:val="Compact"/>
              <w:jc w:val="left"/>
            </w:pPr>
            <w:r>
              <w:t xml:space="preserve">Mexico</w:t>
            </w:r>
          </w:p>
        </w:tc>
      </w:tr>
      <w:tr>
        <w:tc>
          <w:tcPr>
            <w:tcW w:w="1495" w:type="dxa"/>
          </w:tcPr>
          <w:p>
            <w:pPr>
              <w:pStyle w:val="Compact"/>
              <w:jc w:val="left"/>
            </w:pPr>
            <w:r>
              <w:t xml:space="preserve">Release filing</w:t>
            </w:r>
          </w:p>
        </w:tc>
        <w:tc>
          <w:tcPr>
            <w:tcW w:w="2437" w:type="dxa"/>
          </w:tcPr>
          <w:p>
            <w:pPr>
              <w:pStyle w:val="Compact"/>
              <w:jc w:val="left"/>
            </w:pPr>
            <w:r>
              <w:t xml:space="preserve">Entry (CBP Form 3461 data)</w:t>
            </w:r>
          </w:p>
        </w:tc>
        <w:tc>
          <w:tcPr>
            <w:tcW w:w="2658" w:type="dxa"/>
          </w:tcPr>
          <w:p>
            <w:pPr>
              <w:pStyle w:val="Compact"/>
              <w:jc w:val="left"/>
            </w:pPr>
            <w:r>
              <w:t xml:space="preserve">Release request on minimum documentation (for RPP importers), or a CAD paid at release</w:t>
            </w:r>
          </w:p>
        </w:tc>
        <w:tc>
          <w:tcPr>
            <w:tcW w:w="2768" w:type="dxa"/>
          </w:tcPr>
          <w:p>
            <w:pPr>
              <w:pStyle w:val="Compact"/>
              <w:jc w:val="left"/>
            </w:pPr>
            <w:r>
              <w:t xml:space="preserve">The pedimento, paid before release, then the automated selection ("semáforo")</w:t>
            </w:r>
          </w:p>
        </w:tc>
      </w:tr>
      <w:tr>
        <w:tc>
          <w:tcPr>
            <w:tcW w:w="1495" w:type="dxa"/>
          </w:tcPr>
          <w:p>
            <w:pPr>
              <w:pStyle w:val="Compact"/>
              <w:jc w:val="left"/>
            </w:pPr>
            <w:r>
              <w:t xml:space="preserve">Accounting declaration</w:t>
            </w:r>
          </w:p>
        </w:tc>
        <w:tc>
          <w:tcPr>
            <w:tcW w:w="2437" w:type="dxa"/>
          </w:tcPr>
          <w:p>
            <w:pPr>
              <w:pStyle w:val="Compact"/>
              <w:jc w:val="left"/>
            </w:pPr>
            <w:r>
              <w:t xml:space="preserve">Entry summary (CBP Form 7501 data), due within 10 working days of release</w:t>
            </w:r>
          </w:p>
        </w:tc>
        <w:tc>
          <w:tcPr>
            <w:tcW w:w="2658" w:type="dxa"/>
          </w:tcPr>
          <w:p>
            <w:pPr>
              <w:pStyle w:val="Compact"/>
              <w:jc w:val="left"/>
            </w:pPr>
            <w:r>
              <w:t xml:space="preserve">Commercial Accounting Declaration (CAD). For RPP releases, due within 5 business days of release</w:t>
            </w:r>
          </w:p>
        </w:tc>
        <w:tc>
          <w:tcPr>
            <w:tcW w:w="2768" w:type="dxa"/>
          </w:tcPr>
          <w:p>
            <w:pPr>
              <w:pStyle w:val="Compact"/>
              <w:jc w:val="left"/>
            </w:pPr>
            <w:r>
              <w:t xml:space="preserve">The pedimento itself: one declaration with classification, value, origin, regime and taxes</w:t>
            </w:r>
          </w:p>
        </w:tc>
      </w:tr>
      <w:tr>
        <w:tc>
          <w:tcPr>
            <w:tcW w:w="1495" w:type="dxa"/>
          </w:tcPr>
          <w:p>
            <w:pPr>
              <w:pStyle w:val="Compact"/>
              <w:jc w:val="left"/>
            </w:pPr>
            <w:r>
              <w:t xml:space="preserve">Tariff schedule</w:t>
            </w:r>
          </w:p>
        </w:tc>
        <w:tc>
          <w:tcPr>
            <w:tcW w:w="2437" w:type="dxa"/>
          </w:tcPr>
          <w:p>
            <w:pPr>
              <w:pStyle w:val="Compact"/>
              <w:jc w:val="left"/>
            </w:pPr>
            <w:r>
              <w:t xml:space="preserve">Harmonized Tariff Schedule of the United States (HTSUS), published by the USITC</w:t>
            </w:r>
          </w:p>
        </w:tc>
        <w:tc>
          <w:tcPr>
            <w:tcW w:w="2658" w:type="dxa"/>
          </w:tcPr>
          <w:p>
            <w:pPr>
              <w:pStyle w:val="Compact"/>
              <w:jc w:val="left"/>
            </w:pPr>
            <w:r>
              <w:t xml:space="preserve">Customs Tariff schedule; CBSA publishes a departmental consolidation, updated each 1 January and on amendments</w:t>
            </w:r>
          </w:p>
        </w:tc>
        <w:tc>
          <w:tcPr>
            <w:tcW w:w="2768" w:type="dxa"/>
          </w:tcPr>
          <w:p>
            <w:pPr>
              <w:pStyle w:val="Compact"/>
              <w:jc w:val="left"/>
            </w:pPr>
            <w:r>
              <w:t xml:space="preserve">TIGIE, the tariff inside the LIGIE (Ley de los Impuestos Generales de Importación y de Exportación); changes are published in the DOF (Diario Oficial de la Federación)</w:t>
            </w:r>
          </w:p>
        </w:tc>
      </w:tr>
      <w:tr>
        <w:tc>
          <w:tcPr>
            <w:tcW w:w="1495" w:type="dxa"/>
          </w:tcPr>
          <w:p>
            <w:pPr>
              <w:pStyle w:val="Compact"/>
              <w:jc w:val="left"/>
            </w:pPr>
            <w:r>
              <w:t xml:space="preserve">Code length</w:t>
            </w:r>
          </w:p>
        </w:tc>
        <w:tc>
          <w:tcPr>
            <w:tcW w:w="2437" w:type="dxa"/>
          </w:tcPr>
          <w:p>
            <w:pPr>
              <w:pStyle w:val="Compact"/>
              <w:jc w:val="left"/>
            </w:pPr>
            <w:r>
              <w:t xml:space="preserve">10 digits: 8-digit tariff line (sets the rate) + 2-digit statistical suffix</w:t>
            </w:r>
          </w:p>
        </w:tc>
        <w:tc>
          <w:tcPr>
            <w:tcW w:w="2658" w:type="dxa"/>
          </w:tcPr>
          <w:p>
            <w:pPr>
              <w:pStyle w:val="Compact"/>
              <w:jc w:val="left"/>
            </w:pPr>
            <w:r>
              <w:t xml:space="preserve">10 digits: 8-digit tariff item (sets the rate) + 2-digit statistical suffix</w:t>
            </w:r>
          </w:p>
        </w:tc>
        <w:tc>
          <w:tcPr>
            <w:tcW w:w="2768" w:type="dxa"/>
          </w:tcPr>
          <w:p>
            <w:pPr>
              <w:pStyle w:val="Compact"/>
              <w:jc w:val="left"/>
            </w:pPr>
            <w:r>
              <w:t xml:space="preserve">10 digits: 8-digit fracción arancelaria (sets the rate) + 2-digit NICO</w:t>
            </w:r>
          </w:p>
        </w:tc>
      </w:tr>
      <w:tr>
        <w:tc>
          <w:tcPr>
            <w:tcW w:w="1495" w:type="dxa"/>
          </w:tcPr>
          <w:p>
            <w:pPr>
              <w:pStyle w:val="Compact"/>
              <w:jc w:val="left"/>
            </w:pPr>
            <w:r>
              <w:t xml:space="preserve">Rates and preferences</w:t>
            </w:r>
          </w:p>
        </w:tc>
        <w:tc>
          <w:tcPr>
            <w:tcW w:w="2437" w:type="dxa"/>
          </w:tcPr>
          <w:p>
            <w:pPr>
              <w:pStyle w:val="Compact"/>
              <w:jc w:val="left"/>
            </w:pPr>
            <w:r>
              <w:t xml:space="preserve">Column 1 General (normal trade relations), Column 1 Special (program codes such as USMCA), Column 2</w:t>
            </w:r>
          </w:p>
        </w:tc>
        <w:tc>
          <w:tcPr>
            <w:tcW w:w="2658" w:type="dxa"/>
          </w:tcPr>
          <w:p>
            <w:pPr>
              <w:pStyle w:val="Compact"/>
              <w:jc w:val="left"/>
            </w:pPr>
            <w:r>
              <w:t xml:space="preserve">Tariff treatments, for example MFN (most-favoured-nation) and the CUSMA treatments</w:t>
            </w:r>
          </w:p>
        </w:tc>
        <w:tc>
          <w:tcPr>
            <w:tcW w:w="2768" w:type="dxa"/>
          </w:tcPr>
          <w:p>
            <w:pPr>
              <w:pStyle w:val="Compact"/>
              <w:jc w:val="left"/>
            </w:pPr>
            <w:r>
              <w:t xml:space="preserve">IGI (Impuesto General de Importación) rate per fracción; T-MEC preference where claimed</w:t>
            </w:r>
          </w:p>
        </w:tc>
      </w:tr>
      <w:tr>
        <w:tc>
          <w:tcPr>
            <w:tcW w:w="1495" w:type="dxa"/>
          </w:tcPr>
          <w:p>
            <w:pPr>
              <w:pStyle w:val="Compact"/>
              <w:jc w:val="left"/>
            </w:pPr>
            <w:r>
              <w:t xml:space="preserve">Additional duties</w:t>
            </w:r>
          </w:p>
        </w:tc>
        <w:tc>
          <w:tcPr>
            <w:tcW w:w="2437" w:type="dxa"/>
          </w:tcPr>
          <w:p>
            <w:pPr>
              <w:pStyle w:val="Compact"/>
              <w:jc w:val="left"/>
            </w:pPr>
            <w:r>
              <w:t xml:space="preserve">HTSUS Chapter 99 measures, antidumping and countervailing duties (AD/CVD)</w:t>
            </w:r>
          </w:p>
        </w:tc>
        <w:tc>
          <w:tcPr>
            <w:tcW w:w="2658" w:type="dxa"/>
          </w:tcPr>
          <w:p>
            <w:pPr>
              <w:pStyle w:val="Compact"/>
              <w:jc w:val="left"/>
            </w:pPr>
            <w:r>
              <w:t xml:space="preserve">Surtax orders; AD/CVD under the Special Import Measures Act (SIMA)</w:t>
            </w:r>
          </w:p>
        </w:tc>
        <w:tc>
          <w:tcPr>
            <w:tcW w:w="2768" w:type="dxa"/>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dxa" w:w="9360"/>
        <w:tblLook w:firstRow="1" w:lastRow="0" w:firstColumn="0" w:lastColumn="0" w:noHBand="0" w:noVBand="0" w:val="0020"/>
        <w:jc w:val="start"/>
        <w:tblLayout w:type="fixed"/>
      </w:tblPr>
      <w:tblGrid>
        <w:gridCol w:w="1380"/>
        <w:gridCol w:w="2652"/>
        <w:gridCol w:w="2628"/>
        <w:gridCol w:w="2698"/>
      </w:tblGrid>
      <w:tr>
        <w:trPr>
          <w:tblHeader w:val="true"/>
        </w:trPr>
        <w:tc>
          <w:tcPr>
            <w:tcW w:w="1380" w:type="dxa"/>
          </w:tcPr>
          <w:p>
            <w:pPr>
              <w:pStyle w:val="Compact"/>
              <w:jc w:val="left"/>
            </w:pPr>
            <w:r>
              <w:t xml:space="preserve">Topic</w:t>
            </w:r>
          </w:p>
        </w:tc>
        <w:tc>
          <w:tcPr>
            <w:tcW w:w="2652" w:type="dxa"/>
          </w:tcPr>
          <w:p>
            <w:pPr>
              <w:pStyle w:val="Compact"/>
              <w:jc w:val="left"/>
            </w:pPr>
            <w:r>
              <w:t xml:space="preserve">United States</w:t>
            </w:r>
          </w:p>
        </w:tc>
        <w:tc>
          <w:tcPr>
            <w:tcW w:w="2628" w:type="dxa"/>
          </w:tcPr>
          <w:p>
            <w:pPr>
              <w:pStyle w:val="Compact"/>
              <w:jc w:val="left"/>
            </w:pPr>
            <w:r>
              <w:t xml:space="preserve">Canada</w:t>
            </w:r>
          </w:p>
        </w:tc>
        <w:tc>
          <w:tcPr>
            <w:tcW w:w="2698" w:type="dxa"/>
          </w:tcPr>
          <w:p>
            <w:pPr>
              <w:pStyle w:val="Compact"/>
              <w:jc w:val="left"/>
            </w:pPr>
            <w:r>
              <w:t xml:space="preserve">Mexico</w:t>
            </w:r>
          </w:p>
        </w:tc>
      </w:tr>
      <w:tr>
        <w:tc>
          <w:tcPr>
            <w:tcW w:w="1380" w:type="dxa"/>
          </w:tcPr>
          <w:p>
            <w:pPr>
              <w:pStyle w:val="Compact"/>
              <w:jc w:val="left"/>
            </w:pPr>
            <w:r>
              <w:t xml:space="preserve">Duty base</w:t>
            </w:r>
          </w:p>
        </w:tc>
        <w:tc>
          <w:tcPr>
            <w:tcW w:w="2652" w:type="dxa"/>
          </w:tcPr>
          <w:p>
            <w:pPr>
              <w:pStyle w:val="Compact"/>
              <w:jc w:val="left"/>
            </w:pPr>
            <w:r>
              <w:t xml:space="preserve">Transaction value; international freight and insurance are excluded when identified separately (FOB-like)</w:t>
            </w:r>
          </w:p>
        </w:tc>
        <w:tc>
          <w:tcPr>
            <w:tcW w:w="2628" w:type="dxa"/>
          </w:tcPr>
          <w:p>
            <w:pPr>
              <w:pStyle w:val="Compact"/>
              <w:jc w:val="left"/>
            </w:pPr>
            <w:r>
              <w:t xml:space="preserve">Value for duty; transport and insurance after the place of direct shipment to Canada are excluded (FOB-like)</w:t>
            </w:r>
          </w:p>
        </w:tc>
        <w:tc>
          <w:tcPr>
            <w:tcW w:w="2698" w:type="dxa"/>
          </w:tcPr>
          <w:p>
            <w:pPr>
              <w:pStyle w:val="Compact"/>
              <w:jc w:val="left"/>
            </w:pPr>
            <w:r>
              <w:t xml:space="preserve">Valor en aduana; includes freight, insurance and related charges until the goods arrive in Mexico (CIF-like) (Ley Aduanera arts. 64, 65 and 56)</w:t>
            </w:r>
          </w:p>
        </w:tc>
      </w:tr>
      <w:tr>
        <w:tc>
          <w:tcPr>
            <w:tcW w:w="1380" w:type="dxa"/>
          </w:tcPr>
          <w:p>
            <w:pPr>
              <w:pStyle w:val="Compact"/>
              <w:jc w:val="left"/>
            </w:pPr>
            <w:r>
              <w:t xml:space="preserve">Import taxes</w:t>
            </w:r>
          </w:p>
        </w:tc>
        <w:tc>
          <w:tcPr>
            <w:tcW w:w="2652" w:type="dxa"/>
          </w:tcPr>
          <w:p>
            <w:pPr>
              <w:pStyle w:val="Compact"/>
              <w:jc w:val="left"/>
            </w:pPr>
            <w:r>
              <w:t xml:space="preserve">No federal VAT or GST on imports</w:t>
            </w:r>
          </w:p>
        </w:tc>
        <w:tc>
          <w:tcPr>
            <w:tcW w:w="2628" w:type="dxa"/>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tcW w:w="2698" w:type="dxa"/>
          </w:tcPr>
          <w:p>
            <w:pPr>
              <w:pStyle w:val="Compact"/>
              <w:jc w:val="left"/>
            </w:pPr>
            <w:r>
              <w:t xml:space="preserve">IVA (16% general rate at the time of writing) on valor en aduana plus IGI and other import charges (Ley del IVA art. 27); generally creditable. IEPS (Impuesto Especial sobre Producción y Servicios, an excise tax) on specific goods</w:t>
            </w:r>
          </w:p>
        </w:tc>
      </w:tr>
      <w:tr>
        <w:tc>
          <w:tcPr>
            <w:tcW w:w="1380" w:type="dxa"/>
          </w:tcPr>
          <w:p>
            <w:pPr>
              <w:pStyle w:val="Compact"/>
              <w:jc w:val="left"/>
            </w:pPr>
            <w:r>
              <w:t xml:space="preserve">Customs fees</w:t>
            </w:r>
          </w:p>
        </w:tc>
        <w:tc>
          <w:tcPr>
            <w:tcW w:w="2652" w:type="dxa"/>
          </w:tcPr>
          <w:p>
            <w:pPr>
              <w:pStyle w:val="Compact"/>
              <w:jc w:val="left"/>
            </w:pPr>
            <w:r>
              <w:t xml:space="preserve">Merchandise Processing Fee (MPF): ad valorem on formal entries, with a per-entry minimum and maximum; a small flat fee on informal entries. Harbor Maintenance Fee (HMF) on imported vessel cargo only. USMCA-originating goods properly claimed are exempt from MPF</w:t>
            </w:r>
          </w:p>
        </w:tc>
        <w:tc>
          <w:tcPr>
            <w:tcW w:w="2628" w:type="dxa"/>
          </w:tcPr>
          <w:p>
            <w:pPr>
              <w:pStyle w:val="Compact"/>
              <w:jc w:val="left"/>
            </w:pPr>
            <w:r>
              <w:t xml:space="preserve">No US-style merchandise processing fee (verify); excise duties, excise taxes or surtaxes are added only for goods subject to them</w:t>
            </w:r>
          </w:p>
        </w:tc>
        <w:tc>
          <w:tcPr>
            <w:tcW w:w="2698" w:type="dxa"/>
          </w:tcPr>
          <w:p>
            <w:pPr>
              <w:pStyle w:val="Compact"/>
              <w:jc w:val="left"/>
            </w:pPr>
            <w:r>
              <w:t xml:space="preserve">Derecho de Trámite Aduanero (DTA) and other charges on the pedimento</w:t>
            </w:r>
          </w:p>
        </w:tc>
      </w:tr>
      <w:tr>
        <w:tc>
          <w:tcPr>
            <w:tcW w:w="1380" w:type="dxa"/>
          </w:tcPr>
          <w:p>
            <w:pPr>
              <w:pStyle w:val="Compact"/>
              <w:jc w:val="left"/>
            </w:pPr>
            <w:r>
              <w:t xml:space="preserve">Currency conversion</w:t>
            </w:r>
          </w:p>
        </w:tc>
        <w:tc>
          <w:tcPr>
            <w:tcW w:w="2652" w:type="dxa"/>
          </w:tcPr>
          <w:p>
            <w:pPr>
              <w:pStyle w:val="Compact"/>
              <w:jc w:val="left"/>
            </w:pPr>
            <w:r>
              <w:t xml:space="preserve">Rate certified by the Federal Reserve Bank of New York (or CBP's quarterly rate) for the date of exportation (19 CFR 159.32 and 152.1(c))</w:t>
            </w:r>
          </w:p>
        </w:tc>
        <w:tc>
          <w:tcPr>
            <w:tcW w:w="2628" w:type="dxa"/>
          </w:tcPr>
          <w:p>
            <w:pPr>
              <w:pStyle w:val="Compact"/>
              <w:jc w:val="left"/>
            </w:pPr>
            <w:r>
              <w:t xml:space="preserve">Bank of Canada rate on the date of direct shipment to Canada (Memorandum D13-2-3)</w:t>
            </w:r>
          </w:p>
        </w:tc>
        <w:tc>
          <w:tcPr>
            <w:tcW w:w="2698" w:type="dxa"/>
          </w:tcPr>
          <w:p>
            <w:pPr>
              <w:pStyle w:val="Compact"/>
              <w:jc w:val="left"/>
            </w:pPr>
            <w:r>
              <w:t xml:space="preserve">Peso-dollar rate in force on the date of entry (art. 56) or the payment date in the cases of art. 83, declared on the pedimento (RGCE Anexo 22)</w:t>
            </w:r>
          </w:p>
        </w:tc>
      </w:tr>
      <w:tr>
        <w:tc>
          <w:tcPr>
            <w:tcW w:w="1380" w:type="dxa"/>
          </w:tcPr>
          <w:p>
            <w:pPr>
              <w:pStyle w:val="Compact"/>
              <w:jc w:val="left"/>
            </w:pPr>
            <w:r>
              <w:t xml:space="preserve">When duties are paid</w:t>
            </w:r>
          </w:p>
        </w:tc>
        <w:tc>
          <w:tcPr>
            <w:tcW w:w="2652" w:type="dxa"/>
          </w:tcPr>
          <w:p>
            <w:pPr>
              <w:pStyle w:val="Compact"/>
              <w:jc w:val="left"/>
            </w:pPr>
            <w:r>
              <w:t xml:space="preserve">With the entry summary, or monthly through the Periodic Monthly Statement (PMS)</w:t>
            </w:r>
          </w:p>
        </w:tc>
        <w:tc>
          <w:tcPr>
            <w:tcW w:w="2628" w:type="dxa"/>
          </w:tcPr>
          <w:p>
            <w:pPr>
              <w:pStyle w:val="Compact"/>
              <w:jc w:val="left"/>
            </w:pPr>
            <w:r>
              <w:t xml:space="preserve">Monthly statement of account in CARM for RPP importers; at release otherwise</w:t>
            </w:r>
          </w:p>
        </w:tc>
        <w:tc>
          <w:tcPr>
            <w:tcW w:w="2698" w:type="dxa"/>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dxa" w:w="9360"/>
        <w:tblLook w:firstRow="1" w:lastRow="0" w:firstColumn="0" w:lastColumn="0" w:noHBand="0" w:noVBand="0" w:val="0020"/>
        <w:jc w:val="start"/>
        <w:tblLayout w:type="fixed"/>
      </w:tblPr>
      <w:tblGrid>
        <w:gridCol w:w="1495"/>
        <w:gridCol w:w="2348"/>
        <w:gridCol w:w="2638"/>
        <w:gridCol w:w="2877"/>
      </w:tblGrid>
      <w:tr>
        <w:trPr>
          <w:tblHeader w:val="true"/>
        </w:trPr>
        <w:tc>
          <w:tcPr>
            <w:tcW w:w="1495" w:type="dxa"/>
          </w:tcPr>
          <w:p>
            <w:pPr>
              <w:pStyle w:val="Compact"/>
              <w:jc w:val="left"/>
            </w:pPr>
            <w:r>
              <w:t xml:space="preserve">Topic</w:t>
            </w:r>
          </w:p>
        </w:tc>
        <w:tc>
          <w:tcPr>
            <w:tcW w:w="2348" w:type="dxa"/>
          </w:tcPr>
          <w:p>
            <w:pPr>
              <w:pStyle w:val="Compact"/>
              <w:jc w:val="left"/>
            </w:pPr>
            <w:r>
              <w:t xml:space="preserve">United States</w:t>
            </w:r>
          </w:p>
        </w:tc>
        <w:tc>
          <w:tcPr>
            <w:tcW w:w="2638" w:type="dxa"/>
          </w:tcPr>
          <w:p>
            <w:pPr>
              <w:pStyle w:val="Compact"/>
              <w:jc w:val="left"/>
            </w:pPr>
            <w:r>
              <w:t xml:space="preserve">Canada</w:t>
            </w:r>
          </w:p>
        </w:tc>
        <w:tc>
          <w:tcPr>
            <w:tcW w:w="2877" w:type="dxa"/>
          </w:tcPr>
          <w:p>
            <w:pPr>
              <w:pStyle w:val="Compact"/>
              <w:jc w:val="left"/>
            </w:pPr>
            <w:r>
              <w:t xml:space="preserve">Mexico</w:t>
            </w:r>
          </w:p>
        </w:tc>
      </w:tr>
      <w:tr>
        <w:tc>
          <w:tcPr>
            <w:tcW w:w="1495" w:type="dxa"/>
          </w:tcPr>
          <w:p>
            <w:pPr>
              <w:pStyle w:val="Compact"/>
              <w:jc w:val="left"/>
            </w:pPr>
            <w:r>
              <w:t xml:space="preserve">Record retention</w:t>
            </w:r>
          </w:p>
        </w:tc>
        <w:tc>
          <w:tcPr>
            <w:tcW w:w="2348" w:type="dxa"/>
          </w:tcPr>
          <w:p>
            <w:pPr>
              <w:pStyle w:val="Compact"/>
              <w:jc w:val="left"/>
            </w:pPr>
            <w:r>
              <w:t xml:space="preserve">5 years from the date of entry (19 CFR 163.4); drawback records longer</w:t>
            </w:r>
          </w:p>
        </w:tc>
        <w:tc>
          <w:tcPr>
            <w:tcW w:w="2638" w:type="dxa"/>
          </w:tcPr>
          <w:p>
            <w:pPr>
              <w:pStyle w:val="Compact"/>
              <w:jc w:val="left"/>
            </w:pPr>
            <w:r>
              <w:t xml:space="preserve">6 years (Imported Goods Records Regulations; Memorandum D17-1-21)</w:t>
            </w:r>
          </w:p>
        </w:tc>
        <w:tc>
          <w:tcPr>
            <w:tcW w:w="2877" w:type="dxa"/>
          </w:tcPr>
          <w:p>
            <w:pPr>
              <w:pStyle w:val="Compact"/>
              <w:jc w:val="left"/>
            </w:pPr>
            <w:r>
              <w:t xml:space="preserve">5 years (Código Fiscal de la Federación art. 30) for the electronic file of each pedimento (Ley Aduanera art. 59); longer when tax effects continue</w:t>
            </w:r>
          </w:p>
        </w:tc>
      </w:tr>
      <w:tr>
        <w:tc>
          <w:tcPr>
            <w:tcW w:w="1495" w:type="dxa"/>
          </w:tcPr>
          <w:p>
            <w:pPr>
              <w:pStyle w:val="Compact"/>
              <w:jc w:val="left"/>
            </w:pPr>
            <w:r>
              <w:t xml:space="preserve">USMCA origin records</w:t>
            </w:r>
          </w:p>
        </w:tc>
        <w:tc>
          <w:tcPr>
            <w:tcW w:w="2348" w:type="dxa"/>
          </w:tcPr>
          <w:p>
            <w:pPr>
              <w:pStyle w:val="Compact"/>
              <w:jc w:val="left"/>
            </w:pPr>
            <w:r>
              <w:t xml:space="preserve">At least 5 years after importation (USMCA Art. 5.8); national law can require longer</w:t>
            </w:r>
          </w:p>
        </w:tc>
        <w:tc>
          <w:tcPr>
            <w:tcW w:w="2638" w:type="dxa"/>
          </w:tcPr>
          <w:p>
            <w:pPr>
              <w:pStyle w:val="Compact"/>
              <w:jc w:val="left"/>
            </w:pPr>
            <w:r>
              <w:t xml:space="preserve">Same, but Canada's 6-year rule is longer</w:t>
            </w:r>
          </w:p>
        </w:tc>
        <w:tc>
          <w:tcPr>
            <w:tcW w:w="2877" w:type="dxa"/>
          </w:tcPr>
          <w:p>
            <w:pPr>
              <w:pStyle w:val="Compact"/>
              <w:jc w:val="left"/>
            </w:pPr>
            <w:r>
              <w:t xml:space="preserve">Same</w:t>
            </w:r>
          </w:p>
        </w:tc>
      </w:tr>
      <w:tr>
        <w:tc>
          <w:tcPr>
            <w:tcW w:w="1495" w:type="dxa"/>
          </w:tcPr>
          <w:p>
            <w:pPr>
              <w:pStyle w:val="Compact"/>
              <w:jc w:val="left"/>
            </w:pPr>
            <w:r>
              <w:t xml:space="preserve">Binding advice</w:t>
            </w:r>
          </w:p>
        </w:tc>
        <w:tc>
          <w:tcPr>
            <w:tcW w:w="2348" w:type="dxa"/>
          </w:tcPr>
          <w:p>
            <w:pPr>
              <w:pStyle w:val="Compact"/>
              <w:jc w:val="left"/>
            </w:pPr>
            <w:r>
              <w:t xml:space="preserve">CBP rulings under 19 CFR Part 177, searchable in CROSS</w:t>
            </w:r>
          </w:p>
        </w:tc>
        <w:tc>
          <w:tcPr>
            <w:tcW w:w="2638" w:type="dxa"/>
          </w:tcPr>
          <w:p>
            <w:pPr>
              <w:pStyle w:val="Compact"/>
              <w:jc w:val="left"/>
            </w:pPr>
            <w:r>
              <w:t xml:space="preserve">Advance rulings on classification (D11-11-3); origin advance rulings under FTAs (D11-4-16); National Customs Rulings for non-preferential origin, value and marking (D11-11-1)</w:t>
            </w:r>
          </w:p>
        </w:tc>
        <w:tc>
          <w:tcPr>
            <w:tcW w:w="2877" w:type="dxa"/>
          </w:tcPr>
          <w:p>
            <w:pPr>
              <w:pStyle w:val="Compact"/>
              <w:jc w:val="left"/>
            </w:pPr>
            <w:r>
              <w:t xml:space="preserve">Classification consultation before the operation (Ley Aduanera art. 47); Consejo de Clasificación Arancelaria opinions published as criteria (RGCE Anexo 6); T-MEC origin rulings</w:t>
            </w:r>
          </w:p>
        </w:tc>
      </w:tr>
      <w:tr>
        <w:tc>
          <w:tcPr>
            <w:tcW w:w="1495" w:type="dxa"/>
          </w:tcPr>
          <w:p>
            <w:pPr>
              <w:pStyle w:val="Compact"/>
              <w:jc w:val="left"/>
            </w:pPr>
            <w:r>
              <w:t xml:space="preserve">Correcting before final</w:t>
            </w:r>
          </w:p>
        </w:tc>
        <w:tc>
          <w:tcPr>
            <w:tcW w:w="2348" w:type="dxa"/>
          </w:tcPr>
          <w:p>
            <w:pPr>
              <w:pStyle w:val="Compact"/>
              <w:jc w:val="left"/>
            </w:pPr>
            <w:r>
              <w:t xml:space="preserve">Post Summary Correction (PSC): within 300 days of entry and at least 15 days before scheduled liquidation</w:t>
            </w:r>
          </w:p>
        </w:tc>
        <w:tc>
          <w:tcPr>
            <w:tcW w:w="2638" w:type="dxa"/>
          </w:tcPr>
          <w:p>
            <w:pPr>
              <w:pStyle w:val="Compact"/>
              <w:jc w:val="left"/>
            </w:pPr>
            <w:r>
              <w:t xml:space="preserve">Correct within 90 days of "reason to believe" (s. 32.2); corrections and adjustments are new versions of the CAD</w:t>
            </w:r>
          </w:p>
        </w:tc>
        <w:tc>
          <w:tcPr>
            <w:tcW w:w="2877" w:type="dxa"/>
          </w:tcPr>
          <w:p>
            <w:pPr>
              <w:pStyle w:val="Compact"/>
              <w:jc w:val="left"/>
            </w:pPr>
            <w:r>
              <w:t xml:space="preserve">Rectificación of the pedimento (Ley Aduanera art. 89); some cases need prior authorization</w:t>
            </w:r>
          </w:p>
        </w:tc>
      </w:tr>
      <w:tr>
        <w:tc>
          <w:tcPr>
            <w:tcW w:w="1495" w:type="dxa"/>
          </w:tcPr>
          <w:p>
            <w:pPr>
              <w:pStyle w:val="Compact"/>
              <w:jc w:val="left"/>
            </w:pPr>
            <w:r>
              <w:t xml:space="preserve">Challenging a decision</w:t>
            </w:r>
          </w:p>
        </w:tc>
        <w:tc>
          <w:tcPr>
            <w:tcW w:w="2348" w:type="dxa"/>
          </w:tcPr>
          <w:p>
            <w:pPr>
              <w:pStyle w:val="Compact"/>
              <w:jc w:val="left"/>
            </w:pPr>
            <w:r>
              <w:t xml:space="preserve">Protest within 180 days of liquidation (19 U.S.C. 1514)</w:t>
            </w:r>
          </w:p>
        </w:tc>
        <w:tc>
          <w:tcPr>
            <w:tcW w:w="2638" w:type="dxa"/>
          </w:tcPr>
          <w:p>
            <w:pPr>
              <w:pStyle w:val="Compact"/>
              <w:jc w:val="left"/>
            </w:pPr>
            <w:r>
              <w:t xml:space="preserve">Request a re-determination with CBSA, then appeal to the Canadian International Trade Tribunal (verify current time limits)</w:t>
            </w:r>
          </w:p>
        </w:tc>
        <w:tc>
          <w:tcPr>
            <w:tcW w:w="2877" w:type="dxa"/>
          </w:tcPr>
          <w:p>
            <w:pPr>
              <w:pStyle w:val="Compact"/>
              <w:jc w:val="left"/>
            </w:pPr>
            <w:r>
              <w:t xml:space="preserve">Administrative appeal (recurso de revocación) or a lawsuit before the federal administrative court, the Tribunal Federal de Justicia Administrativa (TFJA)</w:t>
            </w:r>
          </w:p>
        </w:tc>
      </w:tr>
      <w:tr>
        <w:tc>
          <w:tcPr>
            <w:tcW w:w="1495" w:type="dxa"/>
          </w:tcPr>
          <w:p>
            <w:pPr>
              <w:pStyle w:val="Compact"/>
              <w:jc w:val="left"/>
            </w:pPr>
            <w:r>
              <w:t xml:space="preserve">Penalty regime</w:t>
            </w:r>
          </w:p>
        </w:tc>
        <w:tc>
          <w:tcPr>
            <w:tcW w:w="2348" w:type="dxa"/>
          </w:tcPr>
          <w:p>
            <w:pPr>
              <w:pStyle w:val="Compact"/>
              <w:jc w:val="left"/>
            </w:pPr>
            <w:r>
              <w:t xml:space="preserve">19 U.S.C. 1592 (negligence, gross negligence, fraud); prior disclosure reduces penalties</w:t>
            </w:r>
          </w:p>
        </w:tc>
        <w:tc>
          <w:tcPr>
            <w:tcW w:w="2638" w:type="dxa"/>
          </w:tcPr>
          <w:p>
            <w:pPr>
              <w:pStyle w:val="Compact"/>
              <w:jc w:val="left"/>
            </w:pPr>
            <w:r>
              <w:t xml:space="preserve">Administrative Monetary Penalty System (AMPS); seizures in serious cases</w:t>
            </w:r>
          </w:p>
        </w:tc>
        <w:tc>
          <w:tcPr>
            <w:tcW w:w="2877" w:type="dxa"/>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dxa" w:w="9360"/>
        <w:tblLook w:firstRow="1" w:lastRow="0" w:firstColumn="0" w:lastColumn="0" w:noHBand="0" w:noVBand="0" w:val="0020"/>
        <w:jc w:val="start"/>
        <w:tblLayout w:type="fixed"/>
      </w:tblPr>
      <w:tblGrid>
        <w:gridCol w:w="1495"/>
        <w:gridCol w:w="2688"/>
        <w:gridCol w:w="1380"/>
        <w:gridCol w:w="1955"/>
        <w:gridCol w:w="1841"/>
      </w:tblGrid>
      <w:tr>
        <w:trPr>
          <w:tblHeader w:val="true"/>
        </w:trPr>
        <w:tc>
          <w:tcPr>
            <w:tcW w:w="1495" w:type="dxa"/>
          </w:tcPr>
          <w:p>
            <w:pPr>
              <w:pStyle w:val="Compact"/>
              <w:jc w:val="left"/>
            </w:pPr>
            <w:r>
              <w:t xml:space="preserve">Stage</w:t>
            </w:r>
          </w:p>
        </w:tc>
        <w:tc>
          <w:tcPr>
            <w:tcW w:w="2688"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841" w:type="dxa"/>
          </w:tcPr>
          <w:p>
            <w:pPr>
              <w:pStyle w:val="Compact"/>
              <w:jc w:val="left"/>
            </w:pPr>
            <w:r>
              <w:t xml:space="preserve">Timing</w:t>
            </w:r>
          </w:p>
        </w:tc>
      </w:tr>
      <w:tr>
        <w:tc>
          <w:tcPr>
            <w:tcW w:w="1495" w:type="dxa"/>
          </w:tcPr>
          <w:p>
            <w:pPr>
              <w:pStyle w:val="Compact"/>
              <w:jc w:val="left"/>
            </w:pPr>
            <w:r>
              <w:t xml:space="preserve">1. Pre-arrival</w:t>
            </w:r>
          </w:p>
        </w:tc>
        <w:tc>
          <w:tcPr>
            <w:tcW w:w="2688" w:type="dxa"/>
          </w:tcPr>
          <w:p>
            <w:pPr>
              <w:pStyle w:val="Compact"/>
              <w:jc w:val="left"/>
            </w:pPr>
            <w:r>
              <w:t xml:space="preserve">Purchase order, commercial invoice and packing list are produced. For ocean cargo the Importer Security Filing (ISF, "10+2") is filed. Some PGAs need advance data</w:t>
            </w:r>
          </w:p>
        </w:tc>
        <w:tc>
          <w:tcPr>
            <w:tcW w:w="1380" w:type="dxa"/>
          </w:tcPr>
          <w:p>
            <w:pPr>
              <w:pStyle w:val="Compact"/>
              <w:jc w:val="left"/>
            </w:pPr>
            <w:r>
              <w:t xml:space="preserve">Supplier, forwarder, broker or ISF filer</w:t>
            </w:r>
          </w:p>
        </w:tc>
        <w:tc>
          <w:tcPr>
            <w:tcW w:w="1955" w:type="dxa"/>
          </w:tcPr>
          <w:p>
            <w:pPr>
              <w:pStyle w:val="Compact"/>
              <w:jc w:val="left"/>
            </w:pPr>
            <w:r>
              <w:t xml:space="preserve">Item data, HTS (6 digits on the ISF), manufacturer, country of origin</w:t>
            </w:r>
          </w:p>
        </w:tc>
        <w:tc>
          <w:tcPr>
            <w:tcW w:w="1841" w:type="dxa"/>
          </w:tcPr>
          <w:p>
            <w:pPr>
              <w:pStyle w:val="Compact"/>
              <w:jc w:val="left"/>
            </w:pPr>
            <w:r>
              <w:t xml:space="preserve">ISF at least 24 hours before loading at the foreign port</w:t>
            </w:r>
          </w:p>
        </w:tc>
      </w:tr>
      <w:tr>
        <w:tc>
          <w:tcPr>
            <w:tcW w:w="1495" w:type="dxa"/>
          </w:tcPr>
          <w:p>
            <w:pPr>
              <w:pStyle w:val="Compact"/>
              <w:jc w:val="left"/>
            </w:pPr>
            <w:r>
              <w:t xml:space="preserve">2. Entry (release)</w:t>
            </w:r>
          </w:p>
        </w:tc>
        <w:tc>
          <w:tcPr>
            <w:tcW w:w="2688" w:type="dxa"/>
          </w:tcPr>
          <w:p>
            <w:pPr>
              <w:pStyle w:val="Compact"/>
              <w:jc w:val="left"/>
            </w:pPr>
            <w:r>
              <w:t xml:space="preserve">Broker files entry data (CBP Form 3461) and PGA data in ACE. CBP may hold or examine, then releases</w:t>
            </w:r>
          </w:p>
        </w:tc>
        <w:tc>
          <w:tcPr>
            <w:tcW w:w="1380" w:type="dxa"/>
          </w:tcPr>
          <w:p>
            <w:pPr>
              <w:pStyle w:val="Compact"/>
              <w:jc w:val="left"/>
            </w:pPr>
            <w:r>
              <w:t xml:space="preserve">Broker, CBP, PGAs</w:t>
            </w:r>
          </w:p>
        </w:tc>
        <w:tc>
          <w:tcPr>
            <w:tcW w:w="1955" w:type="dxa"/>
          </w:tcPr>
          <w:p>
            <w:pPr>
              <w:pStyle w:val="Compact"/>
              <w:jc w:val="left"/>
            </w:pPr>
            <w:r>
              <w:t xml:space="preserve">Classification, value, origin, PGA data</w:t>
            </w:r>
          </w:p>
        </w:tc>
        <w:tc>
          <w:tcPr>
            <w:tcW w:w="1841" w:type="dxa"/>
          </w:tcPr>
          <w:p>
            <w:pPr>
              <w:pStyle w:val="Compact"/>
              <w:jc w:val="left"/>
            </w:pPr>
            <w:r>
              <w:t xml:space="preserve">Generally within 15 calendar days of arrival (19 CFR 142.2)</w:t>
            </w:r>
          </w:p>
        </w:tc>
      </w:tr>
      <w:tr>
        <w:tc>
          <w:tcPr>
            <w:tcW w:w="1495" w:type="dxa"/>
          </w:tcPr>
          <w:p>
            <w:pPr>
              <w:pStyle w:val="Compact"/>
              <w:jc w:val="left"/>
            </w:pPr>
            <w:r>
              <w:t xml:space="preserve">3. Entry summary</w:t>
            </w:r>
          </w:p>
        </w:tc>
        <w:tc>
          <w:tcPr>
            <w:tcW w:w="2688" w:type="dxa"/>
          </w:tcPr>
          <w:p>
            <w:pPr>
              <w:pStyle w:val="Compact"/>
              <w:jc w:val="left"/>
            </w:pPr>
            <w:r>
              <w:t xml:space="preserve">Broker files CBP Form 7501 data: HTS per line, value, origin, special program indicator (SPI), manufacturer ID (MID), duties and fees. Often filed together with the entry</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841" w:type="dxa"/>
          </w:tcPr>
          <w:p>
            <w:pPr>
              <w:pStyle w:val="Compact"/>
              <w:jc w:val="left"/>
            </w:pPr>
            <w:r>
              <w:t xml:space="preserve">Within 10 working days of release (19 CFR 142.12)</w:t>
            </w:r>
          </w:p>
        </w:tc>
      </w:tr>
      <w:tr>
        <w:tc>
          <w:tcPr>
            <w:tcW w:w="1495" w:type="dxa"/>
          </w:tcPr>
          <w:p>
            <w:pPr>
              <w:pStyle w:val="Compact"/>
              <w:jc w:val="left"/>
            </w:pPr>
            <w:r>
              <w:t xml:space="preserve">4. Payment</w:t>
            </w:r>
          </w:p>
        </w:tc>
        <w:tc>
          <w:tcPr>
            <w:tcW w:w="2688" w:type="dxa"/>
          </w:tcPr>
          <w:p>
            <w:pPr>
              <w:pStyle w:val="Compact"/>
              <w:jc w:val="left"/>
            </w:pPr>
            <w:r>
              <w:t xml:space="preserve">Estimated duties and fees are deposited, per entry or monthly through the PMS</w:t>
            </w:r>
          </w:p>
        </w:tc>
        <w:tc>
          <w:tcPr>
            <w:tcW w:w="1380" w:type="dxa"/>
          </w:tcPr>
          <w:p>
            <w:pPr>
              <w:pStyle w:val="Compact"/>
              <w:jc w:val="left"/>
            </w:pPr>
            <w:r>
              <w:t xml:space="preserve">Broker or importer</w:t>
            </w:r>
          </w:p>
        </w:tc>
        <w:tc>
          <w:tcPr>
            <w:tcW w:w="1955" w:type="dxa"/>
          </w:tcPr>
          <w:p>
            <w:pPr>
              <w:pStyle w:val="Compact"/>
              <w:jc w:val="left"/>
            </w:pPr>
            <w:r>
              <w:t xml:space="preserve">[COMPANY: who pays, and how broker invoices reach AP]</w:t>
            </w:r>
          </w:p>
        </w:tc>
        <w:tc>
          <w:tcPr>
            <w:tcW w:w="1841" w:type="dxa"/>
          </w:tcPr>
          <w:p>
            <w:pPr>
              <w:pStyle w:val="Compact"/>
              <w:jc w:val="left"/>
            </w:pPr>
            <w:r>
              <w:t xml:space="preserve">With the summary, or by the PMS due date</w:t>
            </w:r>
          </w:p>
        </w:tc>
      </w:tr>
      <w:tr>
        <w:tc>
          <w:tcPr>
            <w:tcW w:w="1495" w:type="dxa"/>
          </w:tcPr>
          <w:p>
            <w:pPr>
              <w:pStyle w:val="Compact"/>
              <w:jc w:val="left"/>
            </w:pPr>
            <w:r>
              <w:t xml:space="preserve">5. Before liquidation</w:t>
            </w:r>
          </w:p>
        </w:tc>
        <w:tc>
          <w:tcPr>
            <w:tcW w:w="2688" w:type="dxa"/>
          </w:tcPr>
          <w:p>
            <w:pPr>
              <w:pStyle w:val="Compact"/>
              <w:jc w:val="left"/>
            </w:pPr>
            <w:r>
              <w:t xml:space="preserve">Errors are fixed by Post Summary Correction. CBP may send a Request for Information (CBP Form 28) or a Notice of Action (CBP Form 29)</w:t>
            </w:r>
          </w:p>
        </w:tc>
        <w:tc>
          <w:tcPr>
            <w:tcW w:w="1380" w:type="dxa"/>
          </w:tcPr>
          <w:p>
            <w:pPr>
              <w:pStyle w:val="Compact"/>
              <w:jc w:val="left"/>
            </w:pPr>
            <w:r>
              <w:t xml:space="preserve">Broker, CBP, us</w:t>
            </w:r>
          </w:p>
        </w:tc>
        <w:tc>
          <w:tcPr>
            <w:tcW w:w="1955" w:type="dxa"/>
          </w:tcPr>
          <w:p>
            <w:pPr>
              <w:pStyle w:val="Compact"/>
              <w:jc w:val="left"/>
            </w:pPr>
            <w:r>
              <w:t xml:space="preserve">Pull the data and documents CBP asks for; the Senior leads the response</w:t>
            </w:r>
          </w:p>
        </w:tc>
        <w:tc>
          <w:tcPr>
            <w:tcW w:w="1841" w:type="dxa"/>
          </w:tcPr>
          <w:p>
            <w:pPr>
              <w:pStyle w:val="Compact"/>
              <w:jc w:val="left"/>
            </w:pPr>
            <w:r>
              <w:t xml:space="preserve">PSC: within 300 days of entry and 15+ days before scheduled liquidation</w:t>
            </w:r>
          </w:p>
        </w:tc>
      </w:tr>
      <w:tr>
        <w:tc>
          <w:tcPr>
            <w:tcW w:w="1495" w:type="dxa"/>
          </w:tcPr>
          <w:p>
            <w:pPr>
              <w:pStyle w:val="Compact"/>
              <w:jc w:val="left"/>
            </w:pPr>
            <w:r>
              <w:t xml:space="preserve">6. Liquidation</w:t>
            </w:r>
          </w:p>
        </w:tc>
        <w:tc>
          <w:tcPr>
            <w:tcW w:w="2688" w:type="dxa"/>
          </w:tcPr>
          <w:p>
            <w:pPr>
              <w:pStyle w:val="Compact"/>
              <w:jc w:val="left"/>
            </w:pPr>
            <w:r>
              <w:t xml:space="preserve">CBP's final computation of duties. It results in a bill, a refund or no change</w:t>
            </w:r>
          </w:p>
        </w:tc>
        <w:tc>
          <w:tcPr>
            <w:tcW w:w="1380" w:type="dxa"/>
          </w:tcPr>
          <w:p>
            <w:pPr>
              <w:pStyle w:val="Compact"/>
              <w:jc w:val="left"/>
            </w:pPr>
            <w:r>
              <w:t xml:space="preserve">CBP</w:t>
            </w:r>
          </w:p>
        </w:tc>
        <w:tc>
          <w:tcPr>
            <w:tcW w:w="1955" w:type="dxa"/>
          </w:tcPr>
          <w:p>
            <w:pPr>
              <w:pStyle w:val="Compact"/>
              <w:jc w:val="left"/>
            </w:pPr>
            <w:r>
              <w:t xml:space="preserve">Monitor liquidations; actual duty feeds PPV and drawback</w:t>
            </w:r>
          </w:p>
        </w:tc>
        <w:tc>
          <w:tcPr>
            <w:tcW w:w="1841" w:type="dxa"/>
          </w:tcPr>
          <w:p>
            <w:pPr>
              <w:pStyle w:val="Compact"/>
              <w:jc w:val="left"/>
            </w:pPr>
            <w:r>
              <w:t xml:space="preserve">ACE schedules it about 314 days after entry; statutory limit 1 year, extendable to 4 (19 U.S.C. 1504)</w:t>
            </w:r>
          </w:p>
        </w:tc>
      </w:tr>
      <w:tr>
        <w:tc>
          <w:tcPr>
            <w:tcW w:w="1495" w:type="dxa"/>
          </w:tcPr>
          <w:p>
            <w:pPr>
              <w:pStyle w:val="Compact"/>
              <w:jc w:val="left"/>
            </w:pPr>
            <w:r>
              <w:t xml:space="preserve">7. After liquidation</w:t>
            </w:r>
          </w:p>
        </w:tc>
        <w:tc>
          <w:tcPr>
            <w:tcW w:w="2688" w:type="dxa"/>
          </w:tcPr>
          <w:p>
            <w:pPr>
              <w:pStyle w:val="Compact"/>
              <w:jc w:val="left"/>
            </w:pPr>
            <w:r>
              <w:t xml:space="preserve">Protest to challenge a decision. Prior disclosure for a possible 1592 violation</w:t>
            </w:r>
          </w:p>
        </w:tc>
        <w:tc>
          <w:tcPr>
            <w:tcW w:w="1380" w:type="dxa"/>
          </w:tcPr>
          <w:p>
            <w:pPr>
              <w:pStyle w:val="Compact"/>
              <w:jc w:val="left"/>
            </w:pPr>
            <w:r>
              <w:t xml:space="preserve">Importer (Senior, counsel)</w:t>
            </w:r>
          </w:p>
        </w:tc>
        <w:tc>
          <w:tcPr>
            <w:tcW w:w="1955" w:type="dxa"/>
          </w:tcPr>
          <w:p>
            <w:pPr>
              <w:pStyle w:val="Compact"/>
              <w:jc w:val="left"/>
            </w:pPr>
            <w:r>
              <w:t xml:space="preserve">Evidence for the protest or disclosure</w:t>
            </w:r>
          </w:p>
        </w:tc>
        <w:tc>
          <w:tcPr>
            <w:tcW w:w="1841" w:type="dxa"/>
          </w:tcPr>
          <w:p>
            <w:pPr>
              <w:pStyle w:val="Compact"/>
              <w:jc w:val="left"/>
            </w:pPr>
            <w:r>
              <w:t xml:space="preserve">Protest: 180 days from liquidation</w:t>
            </w:r>
          </w:p>
        </w:tc>
      </w:tr>
      <w:tr>
        <w:tc>
          <w:tcPr>
            <w:tcW w:w="1495" w:type="dxa"/>
          </w:tcPr>
          <w:p>
            <w:pPr>
              <w:pStyle w:val="Compact"/>
              <w:jc w:val="left"/>
            </w:pPr>
            <w:r>
              <w:t xml:space="preserve">8. Audit and records</w:t>
            </w:r>
          </w:p>
        </w:tc>
        <w:tc>
          <w:tcPr>
            <w:tcW w:w="2688" w:type="dxa"/>
          </w:tcPr>
          <w:p>
            <w:pPr>
              <w:pStyle w:val="Compact"/>
              <w:jc w:val="left"/>
            </w:pPr>
            <w:r>
              <w:t xml:space="preserve">CBP can audit (for example a Focused Assessment) and must be able to get records on request</w:t>
            </w:r>
          </w:p>
        </w:tc>
        <w:tc>
          <w:tcPr>
            <w:tcW w:w="1380" w:type="dxa"/>
          </w:tcPr>
          <w:p>
            <w:pPr>
              <w:pStyle w:val="Compact"/>
              <w:jc w:val="left"/>
            </w:pPr>
            <w:r>
              <w:t xml:space="preserve">CBP, us</w:t>
            </w:r>
          </w:p>
        </w:tc>
        <w:tc>
          <w:tcPr>
            <w:tcW w:w="1955" w:type="dxa"/>
          </w:tcPr>
          <w:p>
            <w:pPr>
              <w:pStyle w:val="Compact"/>
              <w:jc w:val="left"/>
            </w:pPr>
            <w:r>
              <w:t xml:space="preserve">Records for 5 years from entry</w:t>
            </w:r>
          </w:p>
        </w:tc>
        <w:tc>
          <w:tcPr>
            <w:tcW w:w="1841" w:type="dxa"/>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for USMCA ("S+" is used only for certain agricultural goods and textile goods under tariff preference levels; see the CBP USMCA FAQs).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informal entries pay a small flat MPF instead (19 CFR 24.23). Originating goods properly claimed under USMCA are exempt. HMF applies to imported cargo unloaded from vessels at covered seaports, not to air, truck or rail, and not to exports (the Supreme Court struck it down for exports in United States v. United States Shoe Corp., 1998).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One exception matters for tariff modeling: articles valued over US$250 that are classified in HTSUS Chapter 99, Subchapters III and IV, where additional duties such as Sections 232 and 301 are reported, cannot use informal entry (19 CFR 143.21(a)). CBP confirmed in March 2025 that this covers goods reported under heading 9903, so most tariffed shipments over US$250 need a formal entry.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dxa" w:w="9360"/>
        <w:tblLook w:firstRow="1" w:lastRow="0" w:firstColumn="0" w:lastColumn="0" w:noHBand="0" w:noVBand="0" w:val="0020"/>
        <w:jc w:val="start"/>
        <w:tblLayout w:type="fixed"/>
      </w:tblPr>
      <w:tblGrid>
        <w:gridCol w:w="1678"/>
        <w:gridCol w:w="1840"/>
        <w:gridCol w:w="1507"/>
        <w:gridCol w:w="4334"/>
      </w:tblGrid>
      <w:tr>
        <w:trPr>
          <w:tblHeader w:val="true"/>
        </w:trPr>
        <w:tc>
          <w:tcPr>
            <w:tcW w:w="1678" w:type="dxa"/>
          </w:tcPr>
          <w:p>
            <w:pPr>
              <w:pStyle w:val="Compact"/>
              <w:jc w:val="left"/>
            </w:pPr>
            <w:r>
              <w:t xml:space="preserve">Item</w:t>
            </w:r>
          </w:p>
        </w:tc>
        <w:tc>
          <w:tcPr>
            <w:tcW w:w="1840" w:type="dxa"/>
          </w:tcPr>
          <w:p>
            <w:pPr>
              <w:pStyle w:val="Compact"/>
              <w:jc w:val="left"/>
            </w:pPr>
            <w:r>
              <w:t xml:space="preserve">Rate (hypothetical)</w:t>
            </w:r>
          </w:p>
        </w:tc>
        <w:tc>
          <w:tcPr>
            <w:tcW w:w="1507" w:type="dxa"/>
          </w:tcPr>
          <w:p>
            <w:pPr>
              <w:pStyle w:val="Compact"/>
              <w:jc w:val="left"/>
            </w:pPr>
            <w:r>
              <w:t xml:space="preserve">Amount (US$)</w:t>
            </w:r>
          </w:p>
        </w:tc>
        <w:tc>
          <w:tcPr>
            <w:tcW w:w="4334" w:type="dxa"/>
          </w:tcPr>
          <w:p>
            <w:pPr>
              <w:pStyle w:val="Compact"/>
              <w:jc w:val="left"/>
            </w:pPr>
            <w:r>
              <w:t xml:space="preserve">Note</w:t>
            </w:r>
          </w:p>
        </w:tc>
      </w:tr>
      <w:tr>
        <w:tc>
          <w:tcPr>
            <w:tcW w:w="1678" w:type="dxa"/>
          </w:tcPr>
          <w:p>
            <w:pPr>
              <w:pStyle w:val="Compact"/>
              <w:jc w:val="left"/>
            </w:pPr>
            <w:r>
              <w:t xml:space="preserve">Base duty (Column 1 General)</w:t>
            </w:r>
          </w:p>
        </w:tc>
        <w:tc>
          <w:tcPr>
            <w:tcW w:w="1840" w:type="dxa"/>
          </w:tcPr>
          <w:p>
            <w:pPr>
              <w:pStyle w:val="Compact"/>
              <w:jc w:val="left"/>
            </w:pPr>
            <w:r>
              <w:t xml:space="preserve">3.5%</w:t>
            </w:r>
          </w:p>
        </w:tc>
        <w:tc>
          <w:tcPr>
            <w:tcW w:w="1507" w:type="dxa"/>
          </w:tcPr>
          <w:p>
            <w:pPr>
              <w:pStyle w:val="Compact"/>
              <w:jc w:val="left"/>
            </w:pPr>
            <w:r>
              <w:t xml:space="preserve">350.00</w:t>
            </w:r>
          </w:p>
        </w:tc>
        <w:tc>
          <w:tcPr>
            <w:tcW w:w="4334" w:type="dxa"/>
          </w:tcPr>
          <w:p>
            <w:pPr>
              <w:pStyle w:val="Compact"/>
              <w:jc w:val="left"/>
            </w:pPr>
            <w:r>
              <w:t xml:space="preserve">10,000 x 3.5%</w:t>
            </w:r>
          </w:p>
        </w:tc>
      </w:tr>
      <w:tr>
        <w:tc>
          <w:tcPr>
            <w:tcW w:w="1678" w:type="dxa"/>
          </w:tcPr>
          <w:p>
            <w:pPr>
              <w:pStyle w:val="Compact"/>
              <w:jc w:val="left"/>
            </w:pPr>
            <w:r>
              <w:t xml:space="preserve">Additional duty (Chapter 99)</w:t>
            </w:r>
          </w:p>
        </w:tc>
        <w:tc>
          <w:tcPr>
            <w:tcW w:w="1840" w:type="dxa"/>
          </w:tcPr>
          <w:p>
            <w:pPr>
              <w:pStyle w:val="Compact"/>
              <w:jc w:val="left"/>
            </w:pPr>
            <w:r>
              <w:t xml:space="preserve">25%</w:t>
            </w:r>
          </w:p>
        </w:tc>
        <w:tc>
          <w:tcPr>
            <w:tcW w:w="1507" w:type="dxa"/>
          </w:tcPr>
          <w:p>
            <w:pPr>
              <w:pStyle w:val="Compact"/>
              <w:jc w:val="left"/>
            </w:pPr>
            <w:r>
              <w:t xml:space="preserve">2,500.00</w:t>
            </w:r>
          </w:p>
        </w:tc>
        <w:tc>
          <w:tcPr>
            <w:tcW w:w="4334" w:type="dxa"/>
          </w:tcPr>
          <w:p>
            <w:pPr>
              <w:pStyle w:val="Compact"/>
              <w:jc w:val="left"/>
            </w:pPr>
            <w:r>
              <w:t xml:space="preserve">Applies only if the Research brief says the action covers this item and stacks</w:t>
            </w:r>
          </w:p>
        </w:tc>
      </w:tr>
      <w:tr>
        <w:tc>
          <w:tcPr>
            <w:tcW w:w="1678" w:type="dxa"/>
          </w:tcPr>
          <w:p>
            <w:pPr>
              <w:pStyle w:val="Compact"/>
              <w:jc w:val="left"/>
            </w:pPr>
            <w:r>
              <w:t xml:space="preserve">Total duty</w:t>
            </w:r>
          </w:p>
        </w:tc>
        <w:tc>
          <w:tcPr>
            <w:tcW w:w="1840" w:type="dxa"/>
          </w:tcPr>
          <w:p>
            <w:pPr>
              <w:pStyle w:val="Compact"/>
            </w:pPr>
          </w:p>
        </w:tc>
        <w:tc>
          <w:tcPr>
            <w:tcW w:w="1507" w:type="dxa"/>
          </w:tcPr>
          <w:p>
            <w:pPr>
              <w:pStyle w:val="Compact"/>
              <w:jc w:val="left"/>
            </w:pPr>
            <w:r>
              <w:t xml:space="preserve">2,850.00</w:t>
            </w:r>
          </w:p>
        </w:tc>
        <w:tc>
          <w:tcPr>
            <w:tcW w:w="4334" w:type="dxa"/>
          </w:tcPr>
          <w:p>
            <w:pPr>
              <w:pStyle w:val="Compact"/>
              <w:jc w:val="left"/>
            </w:pPr>
            <w:r>
              <w:t xml:space="preserve">Effective duty rate 28.5%</w:t>
            </w:r>
          </w:p>
        </w:tc>
      </w:tr>
      <w:tr>
        <w:tc>
          <w:tcPr>
            <w:tcW w:w="1678" w:type="dxa"/>
          </w:tcPr>
          <w:p>
            <w:pPr>
              <w:pStyle w:val="Compact"/>
              <w:jc w:val="left"/>
            </w:pPr>
            <w:r>
              <w:t xml:space="preserve">MPF</w:t>
            </w:r>
          </w:p>
        </w:tc>
        <w:tc>
          <w:tcPr>
            <w:tcW w:w="1840" w:type="dxa"/>
          </w:tcPr>
          <w:p>
            <w:pPr>
              <w:pStyle w:val="Compact"/>
              <w:jc w:val="left"/>
            </w:pPr>
            <w:r>
              <w:t xml:space="preserve">Current rate, minimum and maximum</w:t>
            </w:r>
          </w:p>
        </w:tc>
        <w:tc>
          <w:tcPr>
            <w:tcW w:w="1507" w:type="dxa"/>
          </w:tcPr>
          <w:p>
            <w:pPr>
              <w:pStyle w:val="Compact"/>
              <w:jc w:val="left"/>
            </w:pPr>
            <w:r>
              <w:t xml:space="preserve">from the landscape doc</w:t>
            </w:r>
          </w:p>
        </w:tc>
        <w:tc>
          <w:tcPr>
            <w:tcW w:w="4334" w:type="dxa"/>
          </w:tcPr>
          <w:p>
            <w:pPr>
              <w:pStyle w:val="Compact"/>
              <w:jc w:val="left"/>
            </w:pPr>
            <w:r>
              <w:t xml:space="preserve">Not due if the line is a valid USMCA claim</w:t>
            </w:r>
          </w:p>
        </w:tc>
      </w:tr>
      <w:tr>
        <w:tc>
          <w:tcPr>
            <w:tcW w:w="1678" w:type="dxa"/>
          </w:tcPr>
          <w:p>
            <w:pPr>
              <w:pStyle w:val="Compact"/>
              <w:jc w:val="left"/>
            </w:pPr>
            <w:r>
              <w:t xml:space="preserve">HMF</w:t>
            </w:r>
          </w:p>
        </w:tc>
        <w:tc>
          <w:tcPr>
            <w:tcW w:w="1840" w:type="dxa"/>
          </w:tcPr>
          <w:p>
            <w:pPr>
              <w:pStyle w:val="Compact"/>
              <w:jc w:val="left"/>
            </w:pPr>
            <w:r>
              <w:t xml:space="preserve">Current rate</w:t>
            </w:r>
          </w:p>
        </w:tc>
        <w:tc>
          <w:tcPr>
            <w:tcW w:w="1507" w:type="dxa"/>
          </w:tcPr>
          <w:p>
            <w:pPr>
              <w:pStyle w:val="Compact"/>
              <w:jc w:val="left"/>
            </w:pPr>
            <w:r>
              <w:t xml:space="preserve">from the landscape doc</w:t>
            </w:r>
          </w:p>
        </w:tc>
        <w:tc>
          <w:tcPr>
            <w:tcW w:w="4334" w:type="dxa"/>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(the 9-digit Business Number plus the import-export (RM) program account, both issued by the Canada Revenue Agency), and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dxa" w:w="9360"/>
        <w:tblLook w:firstRow="1" w:lastRow="0" w:firstColumn="0" w:lastColumn="0" w:noHBand="0" w:noVBand="0" w:val="0020"/>
        <w:jc w:val="start"/>
        <w:tblLayout w:type="fixed"/>
      </w:tblPr>
      <w:tblGrid>
        <w:gridCol w:w="1610"/>
        <w:gridCol w:w="2916"/>
        <w:gridCol w:w="1380"/>
        <w:gridCol w:w="1955"/>
        <w:gridCol w:w="1498"/>
      </w:tblGrid>
      <w:tr>
        <w:trPr>
          <w:tblHeader w:val="true"/>
        </w:trPr>
        <w:tc>
          <w:tcPr>
            <w:tcW w:w="1610" w:type="dxa"/>
          </w:tcPr>
          <w:p>
            <w:pPr>
              <w:pStyle w:val="Compact"/>
              <w:jc w:val="left"/>
            </w:pPr>
            <w:r>
              <w:t xml:space="preserve">Stage</w:t>
            </w:r>
          </w:p>
        </w:tc>
        <w:tc>
          <w:tcPr>
            <w:tcW w:w="2916"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498" w:type="dxa"/>
          </w:tcPr>
          <w:p>
            <w:pPr>
              <w:pStyle w:val="Compact"/>
              <w:jc w:val="left"/>
            </w:pPr>
            <w:r>
              <w:t xml:space="preserve">Timing</w:t>
            </w:r>
          </w:p>
        </w:tc>
      </w:tr>
      <w:tr>
        <w:tc>
          <w:tcPr>
            <w:tcW w:w="1610" w:type="dxa"/>
          </w:tcPr>
          <w:p>
            <w:pPr>
              <w:pStyle w:val="Compact"/>
              <w:jc w:val="left"/>
            </w:pPr>
            <w:r>
              <w:t xml:space="preserve">1. Pre-arrival</w:t>
            </w:r>
          </w:p>
        </w:tc>
        <w:tc>
          <w:tcPr>
            <w:tcW w:w="2916" w:type="dxa"/>
          </w:tcPr>
          <w:p>
            <w:pPr>
              <w:pStyle w:val="Compact"/>
              <w:jc w:val="left"/>
            </w:pPr>
            <w:r>
              <w:t xml:space="preserve">Carriers and forwarders send advance commercial information (eManifest). Permits from other departments are obtained if needed</w:t>
            </w:r>
          </w:p>
        </w:tc>
        <w:tc>
          <w:tcPr>
            <w:tcW w:w="1380" w:type="dxa"/>
          </w:tcPr>
          <w:p>
            <w:pPr>
              <w:pStyle w:val="Compact"/>
              <w:jc w:val="left"/>
            </w:pPr>
            <w:r>
              <w:t xml:space="preserve">Carrier, forwarder, broker</w:t>
            </w:r>
          </w:p>
        </w:tc>
        <w:tc>
          <w:tcPr>
            <w:tcW w:w="1955" w:type="dxa"/>
          </w:tcPr>
          <w:p>
            <w:pPr>
              <w:pStyle w:val="Compact"/>
              <w:jc w:val="left"/>
            </w:pPr>
            <w:r>
              <w:t xml:space="preserve">Item data for the broker</w:t>
            </w:r>
          </w:p>
        </w:tc>
        <w:tc>
          <w:tcPr>
            <w:tcW w:w="1498" w:type="dxa"/>
          </w:tcPr>
          <w:p>
            <w:pPr>
              <w:pStyle w:val="Compact"/>
              <w:jc w:val="left"/>
            </w:pPr>
            <w:r>
              <w:t xml:space="preserve">Before arrival</w:t>
            </w:r>
          </w:p>
        </w:tc>
      </w:tr>
      <w:tr>
        <w:tc>
          <w:tcPr>
            <w:tcW w:w="1610" w:type="dxa"/>
          </w:tcPr>
          <w:p>
            <w:pPr>
              <w:pStyle w:val="Compact"/>
              <w:jc w:val="left"/>
            </w:pPr>
            <w:r>
              <w:t xml:space="preserve">2. Release</w:t>
            </w:r>
          </w:p>
        </w:tc>
        <w:tc>
          <w:tcPr>
            <w:tcW w:w="2916" w:type="dxa"/>
          </w:tcPr>
          <w:p>
            <w:pPr>
              <w:pStyle w:val="Compact"/>
              <w:jc w:val="left"/>
            </w:pPr>
            <w:r>
              <w:t xml:space="preserve">For RPP importers, the broker transmits a release request on minimum documentation. CBSA may examine, then releases</w:t>
            </w:r>
          </w:p>
        </w:tc>
        <w:tc>
          <w:tcPr>
            <w:tcW w:w="1380" w:type="dxa"/>
          </w:tcPr>
          <w:p>
            <w:pPr>
              <w:pStyle w:val="Compact"/>
              <w:jc w:val="left"/>
            </w:pPr>
            <w:r>
              <w:t xml:space="preserve">Broker, CBSA</w:t>
            </w:r>
          </w:p>
        </w:tc>
        <w:tc>
          <w:tcPr>
            <w:tcW w:w="1955" w:type="dxa"/>
          </w:tcPr>
          <w:p>
            <w:pPr>
              <w:pStyle w:val="Compact"/>
              <w:jc w:val="left"/>
            </w:pPr>
            <w:r>
              <w:t xml:space="preserve">Classification, value, origin</w:t>
            </w:r>
          </w:p>
        </w:tc>
        <w:tc>
          <w:tcPr>
            <w:tcW w:w="1498" w:type="dxa"/>
          </w:tcPr>
          <w:p>
            <w:pPr>
              <w:pStyle w:val="Compact"/>
              <w:jc w:val="left"/>
            </w:pPr>
            <w:r>
              <w:t xml:space="preserve">At the border</w:t>
            </w:r>
          </w:p>
        </w:tc>
      </w:tr>
      <w:tr>
        <w:tc>
          <w:tcPr>
            <w:tcW w:w="1610" w:type="dxa"/>
          </w:tcPr>
          <w:p>
            <w:pPr>
              <w:pStyle w:val="Compact"/>
              <w:jc w:val="left"/>
            </w:pPr>
            <w:r>
              <w:t xml:space="preserve">3. Accounting</w:t>
            </w:r>
          </w:p>
        </w:tc>
        <w:tc>
          <w:tcPr>
            <w:tcW w:w="2916" w:type="dxa"/>
          </w:tcPr>
          <w:p>
            <w:pPr>
              <w:pStyle w:val="Compact"/>
              <w:jc w:val="left"/>
            </w:pPr>
            <w:r>
              <w:t xml:space="preserve">The broker submits the CAD: classification, value for duty, origin, tariff treatment (for example a CUSMA treatment), duties and GST</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498" w:type="dxa"/>
          </w:tcPr>
          <w:p>
            <w:pPr>
              <w:pStyle w:val="Compact"/>
              <w:jc w:val="left"/>
            </w:pPr>
            <w:r>
              <w:t xml:space="preserve">RPP releases: CAD accepted within 5 business days of release (release day is day 0). Non-RPP: CAD and payment at release</w:t>
            </w:r>
          </w:p>
        </w:tc>
      </w:tr>
      <w:tr>
        <w:tc>
          <w:tcPr>
            <w:tcW w:w="1610" w:type="dxa"/>
          </w:tcPr>
          <w:p>
            <w:pPr>
              <w:pStyle w:val="Compact"/>
              <w:jc w:val="left"/>
            </w:pPr>
            <w:r>
              <w:t xml:space="preserve">4. Payment</w:t>
            </w:r>
          </w:p>
        </w:tc>
        <w:tc>
          <w:tcPr>
            <w:tcW w:w="2916" w:type="dxa"/>
          </w:tcPr>
          <w:p>
            <w:pPr>
              <w:pStyle w:val="Compact"/>
              <w:jc w:val="left"/>
            </w:pPr>
            <w:r>
              <w:t xml:space="preserve">Amounts post to the importer's monthly statement of account in CARM</w:t>
            </w:r>
          </w:p>
        </w:tc>
        <w:tc>
          <w:tcPr>
            <w:tcW w:w="1380" w:type="dxa"/>
          </w:tcPr>
          <w:p>
            <w:pPr>
              <w:pStyle w:val="Compact"/>
              <w:jc w:val="left"/>
            </w:pPr>
            <w:r>
              <w:t xml:space="preserve">Importer</w:t>
            </w:r>
          </w:p>
        </w:tc>
        <w:tc>
          <w:tcPr>
            <w:tcW w:w="1955" w:type="dxa"/>
          </w:tcPr>
          <w:p>
            <w:pPr>
              <w:pStyle w:val="Compact"/>
              <w:jc w:val="left"/>
            </w:pPr>
            <w:r>
              <w:t xml:space="preserve">[COMPANY: who pays and reconciles the statement]</w:t>
            </w:r>
          </w:p>
        </w:tc>
        <w:tc>
          <w:tcPr>
            <w:tcW w:w="1498" w:type="dxa"/>
          </w:tcPr>
          <w:p>
            <w:pPr>
              <w:pStyle w:val="Compact"/>
              <w:jc w:val="left"/>
            </w:pPr>
            <w:r>
              <w:t xml:space="preserve">By the payment due date on the CBSA calendar</w:t>
            </w:r>
          </w:p>
        </w:tc>
      </w:tr>
      <w:tr>
        <w:tc>
          <w:tcPr>
            <w:tcW w:w="1610" w:type="dxa"/>
          </w:tcPr>
          <w:p>
            <w:pPr>
              <w:pStyle w:val="Compact"/>
              <w:jc w:val="left"/>
            </w:pPr>
            <w:r>
              <w:t xml:space="preserve">5. Corrections</w:t>
            </w:r>
          </w:p>
        </w:tc>
        <w:tc>
          <w:tcPr>
            <w:tcW w:w="2916" w:type="dxa"/>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tcW w:w="1380" w:type="dxa"/>
          </w:tcPr>
          <w:p>
            <w:pPr>
              <w:pStyle w:val="Compact"/>
              <w:jc w:val="left"/>
            </w:pPr>
            <w:r>
              <w:t xml:space="preserve">Broker, importer</w:t>
            </w:r>
          </w:p>
        </w:tc>
        <w:tc>
          <w:tcPr>
            <w:tcW w:w="1955" w:type="dxa"/>
          </w:tcPr>
          <w:p>
            <w:pPr>
              <w:pStyle w:val="Compact"/>
              <w:jc w:val="left"/>
            </w:pPr>
            <w:r>
              <w:t xml:space="preserve">Find errors early; escalate the same day</w:t>
            </w:r>
          </w:p>
        </w:tc>
        <w:tc>
          <w:tcPr>
            <w:tcW w:w="1498" w:type="dxa"/>
          </w:tcPr>
          <w:p>
            <w:pPr>
              <w:pStyle w:val="Compact"/>
              <w:jc w:val="left"/>
            </w:pPr>
            <w:r>
              <w:t xml:space="preserve">90 days from reason to believe</w:t>
            </w:r>
          </w:p>
        </w:tc>
      </w:tr>
      <w:tr>
        <w:tc>
          <w:tcPr>
            <w:tcW w:w="1610" w:type="dxa"/>
          </w:tcPr>
          <w:p>
            <w:pPr>
              <w:pStyle w:val="Compact"/>
              <w:jc w:val="left"/>
            </w:pPr>
            <w:r>
              <w:t xml:space="preserve">6. Verification and audit</w:t>
            </w:r>
          </w:p>
        </w:tc>
        <w:tc>
          <w:tcPr>
            <w:tcW w:w="2916" w:type="dxa"/>
          </w:tcPr>
          <w:p>
            <w:pPr>
              <w:pStyle w:val="Compact"/>
              <w:jc w:val="left"/>
            </w:pPr>
            <w:r>
              <w:t xml:space="preserve">CBSA trade compliance verifications (classification, valuation, origin) and CUSMA origin verifications</w:t>
            </w:r>
          </w:p>
        </w:tc>
        <w:tc>
          <w:tcPr>
            <w:tcW w:w="1380" w:type="dxa"/>
          </w:tcPr>
          <w:p>
            <w:pPr>
              <w:pStyle w:val="Compact"/>
              <w:jc w:val="left"/>
            </w:pPr>
            <w:r>
              <w:t xml:space="preserve">CBSA, us</w:t>
            </w:r>
          </w:p>
        </w:tc>
        <w:tc>
          <w:tcPr>
            <w:tcW w:w="1955" w:type="dxa"/>
          </w:tcPr>
          <w:p>
            <w:pPr>
              <w:pStyle w:val="Compact"/>
              <w:jc w:val="left"/>
            </w:pPr>
            <w:r>
              <w:t xml:space="preserve">Records for 6 years</w:t>
            </w:r>
          </w:p>
        </w:tc>
        <w:tc>
          <w:tcPr>
            <w:tcW w:w="1498" w:type="dxa"/>
          </w:tcPr>
          <w:p>
            <w:pPr>
              <w:pStyle w:val="Compact"/>
              <w:jc w:val="left"/>
            </w:pPr>
            <w:r>
              <w:t xml:space="preserve">Ongoing</w:t>
            </w:r>
          </w:p>
        </w:tc>
      </w:tr>
      <w:tr>
        <w:tc>
          <w:tcPr>
            <w:tcW w:w="1610" w:type="dxa"/>
          </w:tcPr>
          <w:p>
            <w:pPr>
              <w:pStyle w:val="Compact"/>
              <w:jc w:val="left"/>
            </w:pPr>
            <w:r>
              <w:t xml:space="preserve">7. Review and appeal</w:t>
            </w:r>
          </w:p>
        </w:tc>
        <w:tc>
          <w:tcPr>
            <w:tcW w:w="2916" w:type="dxa"/>
          </w:tcPr>
          <w:p>
            <w:pPr>
              <w:pStyle w:val="Compact"/>
              <w:jc w:val="left"/>
            </w:pPr>
            <w:r>
              <w:t xml:space="preserve">The importer can request a re-determination of a CBSA decision, then appeal to the Canadian International Trade Tribunal (verify time limits in the Customs Act)</w:t>
            </w:r>
          </w:p>
        </w:tc>
        <w:tc>
          <w:tcPr>
            <w:tcW w:w="1380" w:type="dxa"/>
          </w:tcPr>
          <w:p>
            <w:pPr>
              <w:pStyle w:val="Compact"/>
              <w:jc w:val="left"/>
            </w:pPr>
            <w:r>
              <w:t xml:space="preserve">Importer (Senior, counsel)</w:t>
            </w:r>
          </w:p>
        </w:tc>
        <w:tc>
          <w:tcPr>
            <w:tcW w:w="1955" w:type="dxa"/>
          </w:tcPr>
          <w:p>
            <w:pPr>
              <w:pStyle w:val="Compact"/>
              <w:jc w:val="left"/>
            </w:pPr>
            <w:r>
              <w:t xml:space="preserve">Evidence</w:t>
            </w:r>
          </w:p>
        </w:tc>
        <w:tc>
          <w:tcPr>
            <w:tcW w:w="1498" w:type="dxa"/>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continuing Section 9.7. Value for duty US$11,000 equivalent; duty rate 6.5%. Amounts are kept in US$ to match Section 9.7; in real life everything is in CAD.</w:t>
      </w:r>
    </w:p>
    <w:tbl>
      <w:tblPr>
        <w:tblStyle w:val="Table"/>
        <w:tblW w:type="dxa" w:w="9360"/>
        <w:tblLook w:firstRow="1" w:lastRow="0" w:firstColumn="0" w:lastColumn="0" w:noHBand="0" w:noVBand="0" w:val="0020"/>
        <w:jc w:val="start"/>
        <w:tblLayout w:type="fixed"/>
      </w:tblPr>
      <w:tblGrid>
        <w:gridCol w:w="1422"/>
        <w:gridCol w:w="1841"/>
        <w:gridCol w:w="6095"/>
      </w:tblGrid>
      <w:tr>
        <w:trPr>
          <w:tblHeader w:val="true"/>
        </w:trPr>
        <w:tc>
          <w:tcPr>
            <w:tcW w:w="1422" w:type="dxa"/>
          </w:tcPr>
          <w:p>
            <w:pPr>
              <w:pStyle w:val="Compact"/>
              <w:jc w:val="left"/>
            </w:pPr>
            <w:r>
              <w:t xml:space="preserve">Item</w:t>
            </w:r>
          </w:p>
        </w:tc>
        <w:tc>
          <w:tcPr>
            <w:tcW w:w="1841" w:type="dxa"/>
          </w:tcPr>
          <w:p>
            <w:pPr>
              <w:pStyle w:val="Compact"/>
              <w:jc w:val="left"/>
            </w:pPr>
            <w:r>
              <w:t xml:space="preserve">Amount (US$ equivalent)</w:t>
            </w:r>
          </w:p>
        </w:tc>
        <w:tc>
          <w:tcPr>
            <w:tcW w:w="6095" w:type="dxa"/>
          </w:tcPr>
          <w:p>
            <w:pPr>
              <w:pStyle w:val="Compact"/>
              <w:jc w:val="left"/>
            </w:pPr>
            <w:r>
              <w:t xml:space="preserve">Note</w:t>
            </w:r>
          </w:p>
        </w:tc>
      </w:tr>
      <w:tr>
        <w:tc>
          <w:tcPr>
            <w:tcW w:w="1422" w:type="dxa"/>
          </w:tcPr>
          <w:p>
            <w:pPr>
              <w:pStyle w:val="Compact"/>
              <w:jc w:val="left"/>
            </w:pPr>
            <w:r>
              <w:t xml:space="preserve">Value for duty</w:t>
            </w:r>
          </w:p>
        </w:tc>
        <w:tc>
          <w:tcPr>
            <w:tcW w:w="1841" w:type="dxa"/>
          </w:tcPr>
          <w:p>
            <w:pPr>
              <w:pStyle w:val="Compact"/>
              <w:jc w:val="left"/>
            </w:pPr>
            <w:r>
              <w:t xml:space="preserve">11,000.00</w:t>
            </w:r>
          </w:p>
        </w:tc>
        <w:tc>
          <w:tcPr>
            <w:tcW w:w="6095" w:type="dxa"/>
          </w:tcPr>
          <w:p>
            <w:pPr>
              <w:pStyle w:val="Compact"/>
              <w:jc w:val="left"/>
            </w:pPr>
            <w:r>
              <w:t xml:space="preserve">From Section 9.7; the broker converts to CAD at the Bank of Canada rate for the date of direct shipment (D13-2-3)</w:t>
            </w:r>
          </w:p>
        </w:tc>
      </w:tr>
      <w:tr>
        <w:tc>
          <w:tcPr>
            <w:tcW w:w="1422" w:type="dxa"/>
          </w:tcPr>
          <w:p>
            <w:pPr>
              <w:pStyle w:val="Compact"/>
              <w:jc w:val="left"/>
            </w:pPr>
            <w:r>
              <w:t xml:space="preserve">Duty at 6.5%</w:t>
            </w:r>
          </w:p>
        </w:tc>
        <w:tc>
          <w:tcPr>
            <w:tcW w:w="1841" w:type="dxa"/>
          </w:tcPr>
          <w:p>
            <w:pPr>
              <w:pStyle w:val="Compact"/>
              <w:jc w:val="left"/>
            </w:pPr>
            <w:r>
              <w:t xml:space="preserve">715.00</w:t>
            </w:r>
          </w:p>
        </w:tc>
        <w:tc>
          <w:tcPr>
            <w:tcW w:w="6095" w:type="dxa"/>
          </w:tcPr>
          <w:p>
            <w:pPr>
              <w:pStyle w:val="Compact"/>
              <w:jc w:val="left"/>
            </w:pPr>
            <w:r>
              <w:t xml:space="preserve">11,000 x 6.5%</w:t>
            </w:r>
          </w:p>
        </w:tc>
      </w:tr>
      <w:tr>
        <w:tc>
          <w:tcPr>
            <w:tcW w:w="1422" w:type="dxa"/>
          </w:tcPr>
          <w:p>
            <w:pPr>
              <w:pStyle w:val="Compact"/>
              <w:jc w:val="left"/>
            </w:pPr>
            <w:r>
              <w:t xml:space="preserve">Value for GST</w:t>
            </w:r>
          </w:p>
        </w:tc>
        <w:tc>
          <w:tcPr>
            <w:tcW w:w="1841" w:type="dxa"/>
          </w:tcPr>
          <w:p>
            <w:pPr>
              <w:pStyle w:val="Compact"/>
              <w:jc w:val="left"/>
            </w:pPr>
            <w:r>
              <w:t xml:space="preserve">11,715.00</w:t>
            </w:r>
          </w:p>
        </w:tc>
        <w:tc>
          <w:tcPr>
            <w:tcW w:w="6095" w:type="dxa"/>
          </w:tcPr>
          <w:p>
            <w:pPr>
              <w:pStyle w:val="Compact"/>
              <w:jc w:val="left"/>
            </w:pPr>
            <w:r>
              <w:t xml:space="preserve">Value for duty + duty</w:t>
            </w:r>
          </w:p>
        </w:tc>
      </w:tr>
      <w:tr>
        <w:tc>
          <w:tcPr>
            <w:tcW w:w="1422" w:type="dxa"/>
          </w:tcPr>
          <w:p>
            <w:pPr>
              <w:pStyle w:val="Compact"/>
              <w:jc w:val="left"/>
            </w:pPr>
            <w:r>
              <w:t xml:space="preserve">GST at 5%</w:t>
            </w:r>
          </w:p>
        </w:tc>
        <w:tc>
          <w:tcPr>
            <w:tcW w:w="1841" w:type="dxa"/>
          </w:tcPr>
          <w:p>
            <w:pPr>
              <w:pStyle w:val="Compact"/>
              <w:jc w:val="left"/>
            </w:pPr>
            <w:r>
              <w:t xml:space="preserve">585.75</w:t>
            </w:r>
          </w:p>
        </w:tc>
        <w:tc>
          <w:tcPr>
            <w:tcW w:w="6095" w:type="dxa"/>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dxa" w:w="9360"/>
        <w:tblLook w:firstRow="1" w:lastRow="0" w:firstColumn="0" w:lastColumn="0" w:noHBand="0" w:noVBand="0" w:val="0020"/>
        <w:jc w:val="start"/>
        <w:tblLayout w:type="fixed"/>
      </w:tblPr>
      <w:tblGrid>
        <w:gridCol w:w="1840"/>
        <w:gridCol w:w="3495"/>
        <w:gridCol w:w="1265"/>
        <w:gridCol w:w="1380"/>
        <w:gridCol w:w="1380"/>
      </w:tblGrid>
      <w:tr>
        <w:trPr>
          <w:tblHeader w:val="true"/>
        </w:trPr>
        <w:tc>
          <w:tcPr>
            <w:tcW w:w="1840" w:type="dxa"/>
          </w:tcPr>
          <w:p>
            <w:pPr>
              <w:pStyle w:val="Compact"/>
              <w:jc w:val="left"/>
            </w:pPr>
            <w:r>
              <w:t xml:space="preserve">Stage</w:t>
            </w:r>
          </w:p>
        </w:tc>
        <w:tc>
          <w:tcPr>
            <w:tcW w:w="3495" w:type="dxa"/>
          </w:tcPr>
          <w:p>
            <w:pPr>
              <w:pStyle w:val="Compact"/>
              <w:jc w:val="left"/>
            </w:pPr>
            <w:r>
              <w:t xml:space="preserve">What happens</w:t>
            </w:r>
          </w:p>
        </w:tc>
        <w:tc>
          <w:tcPr>
            <w:tcW w:w="1265" w:type="dxa"/>
          </w:tcPr>
          <w:p>
            <w:pPr>
              <w:pStyle w:val="Compact"/>
              <w:jc w:val="left"/>
            </w:pPr>
            <w:r>
              <w:t xml:space="preserve">Who</w:t>
            </w:r>
          </w:p>
        </w:tc>
        <w:tc>
          <w:tcPr>
            <w:tcW w:w="1380" w:type="dxa"/>
          </w:tcPr>
          <w:p>
            <w:pPr>
              <w:pStyle w:val="Compact"/>
              <w:jc w:val="left"/>
            </w:pPr>
            <w:r>
              <w:t xml:space="preserve">Our data or action</w:t>
            </w:r>
          </w:p>
        </w:tc>
        <w:tc>
          <w:tcPr>
            <w:tcW w:w="1380" w:type="dxa"/>
          </w:tcPr>
          <w:p>
            <w:pPr>
              <w:pStyle w:val="Compact"/>
              <w:jc w:val="left"/>
            </w:pPr>
            <w:r>
              <w:t xml:space="preserve">Timing</w:t>
            </w:r>
          </w:p>
        </w:tc>
      </w:tr>
      <w:tr>
        <w:tc>
          <w:tcPr>
            <w:tcW w:w="1840" w:type="dxa"/>
          </w:tcPr>
          <w:p>
            <w:pPr>
              <w:pStyle w:val="Compact"/>
              <w:jc w:val="left"/>
            </w:pPr>
            <w:r>
              <w:t xml:space="preserve">1. Pre-arrival</w:t>
            </w:r>
          </w:p>
        </w:tc>
        <w:tc>
          <w:tcPr>
            <w:tcW w:w="3495" w:type="dxa"/>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tcW w:w="1265" w:type="dxa"/>
          </w:tcPr>
          <w:p>
            <w:pPr>
              <w:pStyle w:val="Compact"/>
              <w:jc w:val="left"/>
            </w:pPr>
            <w:r>
              <w:t xml:space="preserve">Supplier, broker, importer</w:t>
            </w:r>
          </w:p>
        </w:tc>
        <w:tc>
          <w:tcPr>
            <w:tcW w:w="1380" w:type="dxa"/>
          </w:tcPr>
          <w:p>
            <w:pPr>
              <w:pStyle w:val="Compact"/>
              <w:jc w:val="left"/>
            </w:pPr>
            <w:r>
              <w:t xml:space="preserve">Item data, fracción and NICO, value elements, origin</w:t>
            </w:r>
          </w:p>
        </w:tc>
        <w:tc>
          <w:tcPr>
            <w:tcW w:w="1380" w:type="dxa"/>
          </w:tcPr>
          <w:p>
            <w:pPr>
              <w:pStyle w:val="Compact"/>
              <w:jc w:val="left"/>
            </w:pPr>
            <w:r>
              <w:t xml:space="preserve">Before the goods reach customs</w:t>
            </w:r>
          </w:p>
        </w:tc>
      </w:tr>
      <w:tr>
        <w:tc>
          <w:tcPr>
            <w:tcW w:w="1840" w:type="dxa"/>
          </w:tcPr>
          <w:p>
            <w:pPr>
              <w:pStyle w:val="Compact"/>
              <w:jc w:val="left"/>
            </w:pPr>
            <w:r>
              <w:t xml:space="preserve">2. Pedimento and payment</w:t>
            </w:r>
          </w:p>
        </w:tc>
        <w:tc>
          <w:tcPr>
            <w:tcW w:w="3495" w:type="dxa"/>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tcW w:w="1265" w:type="dxa"/>
          </w:tcPr>
          <w:p>
            <w:pPr>
              <w:pStyle w:val="Compact"/>
              <w:jc w:val="left"/>
            </w:pPr>
            <w:r>
              <w:t xml:space="preserve">Broker</w:t>
            </w:r>
          </w:p>
        </w:tc>
        <w:tc>
          <w:tcPr>
            <w:tcW w:w="1380" w:type="dxa"/>
          </w:tcPr>
          <w:p>
            <w:pPr>
              <w:pStyle w:val="Compact"/>
              <w:jc w:val="left"/>
            </w:pPr>
            <w:r>
              <w:t xml:space="preserve">Everything in Section 7.1; IMMEX status</w:t>
            </w:r>
          </w:p>
        </w:tc>
        <w:tc>
          <w:tcPr>
            <w:tcW w:w="1380" w:type="dxa"/>
          </w:tcPr>
          <w:p>
            <w:pPr>
              <w:pStyle w:val="Compact"/>
              <w:jc w:val="left"/>
            </w:pPr>
            <w:r>
              <w:t xml:space="preserve">Before presenting the goods</w:t>
            </w:r>
          </w:p>
        </w:tc>
      </w:tr>
      <w:tr>
        <w:tc>
          <w:tcPr>
            <w:tcW w:w="1840" w:type="dxa"/>
          </w:tcPr>
          <w:p>
            <w:pPr>
              <w:pStyle w:val="Compact"/>
              <w:jc w:val="left"/>
            </w:pPr>
            <w:r>
              <w:t xml:space="preserve">3. Automated selection</w:t>
            </w:r>
          </w:p>
        </w:tc>
        <w:tc>
          <w:tcPr>
            <w:tcW w:w="3495" w:type="dxa"/>
          </w:tcPr>
          <w:p>
            <w:pPr>
              <w:pStyle w:val="Compact"/>
              <w:jc w:val="left"/>
            </w:pPr>
            <w:r>
              <w:t xml:space="preserve">The goods and pedimento are presented and the automated selection mechanism decides: release, or a physical inspection (reconocimiento aduanero)</w:t>
            </w:r>
          </w:p>
        </w:tc>
        <w:tc>
          <w:tcPr>
            <w:tcW w:w="1265" w:type="dxa"/>
          </w:tcPr>
          <w:p>
            <w:pPr>
              <w:pStyle w:val="Compact"/>
              <w:jc w:val="left"/>
            </w:pPr>
            <w:r>
              <w:t xml:space="preserve">ANAM</w:t>
            </w:r>
          </w:p>
        </w:tc>
        <w:tc>
          <w:tcPr>
            <w:tcW w:w="1380" w:type="dxa"/>
          </w:tcPr>
          <w:p>
            <w:pPr>
              <w:pStyle w:val="Compact"/>
              <w:jc w:val="left"/>
            </w:pPr>
            <w:r>
              <w:t xml:space="preserve">Make sure documents match the goods</w:t>
            </w:r>
          </w:p>
        </w:tc>
        <w:tc>
          <w:tcPr>
            <w:tcW w:w="1380" w:type="dxa"/>
          </w:tcPr>
          <w:p>
            <w:pPr>
              <w:pStyle w:val="Compact"/>
              <w:jc w:val="left"/>
            </w:pPr>
            <w:r>
              <w:t xml:space="preserve">At the customs office</w:t>
            </w:r>
          </w:p>
        </w:tc>
      </w:tr>
      <w:tr>
        <w:tc>
          <w:tcPr>
            <w:tcW w:w="1840" w:type="dxa"/>
          </w:tcPr>
          <w:p>
            <w:pPr>
              <w:pStyle w:val="Compact"/>
              <w:jc w:val="left"/>
            </w:pPr>
            <w:r>
              <w:t xml:space="preserve">4. Release</w:t>
            </w:r>
          </w:p>
        </w:tc>
        <w:tc>
          <w:tcPr>
            <w:tcW w:w="3495" w:type="dxa"/>
          </w:tcPr>
          <w:p>
            <w:pPr>
              <w:pStyle w:val="Compact"/>
              <w:jc w:val="left"/>
            </w:pPr>
            <w:r>
              <w:t xml:space="preserve">Goods are released. Irregularities found at inspection can start an administrative proceeding (PAMA, Procedimiento Administrativo en Materia Aduanera)</w:t>
            </w:r>
          </w:p>
        </w:tc>
        <w:tc>
          <w:tcPr>
            <w:tcW w:w="1265" w:type="dxa"/>
          </w:tcPr>
          <w:p>
            <w:pPr>
              <w:pStyle w:val="Compact"/>
              <w:jc w:val="left"/>
            </w:pPr>
            <w:r>
              <w:t xml:space="preserve">ANAM</w:t>
            </w:r>
          </w:p>
        </w:tc>
        <w:tc>
          <w:tcPr>
            <w:tcW w:w="1380" w:type="dxa"/>
          </w:tcPr>
          <w:p>
            <w:pPr>
              <w:pStyle w:val="Compact"/>
              <w:jc w:val="left"/>
            </w:pPr>
            <w:r>
              <w:t xml:space="preserve">[COMPANY: who is told when a shipment is held]</w:t>
            </w:r>
          </w:p>
        </w:tc>
        <w:tc>
          <w:tcPr>
            <w:tcW w:w="1380" w:type="dxa"/>
          </w:tcPr>
          <w:p>
            <w:pPr>
              <w:pStyle w:val="Compact"/>
              <w:jc w:val="left"/>
            </w:pPr>
            <w:r>
              <w:t xml:space="preserve">At the customs office</w:t>
            </w:r>
          </w:p>
        </w:tc>
      </w:tr>
      <w:tr>
        <w:tc>
          <w:tcPr>
            <w:tcW w:w="1840" w:type="dxa"/>
          </w:tcPr>
          <w:p>
            <w:pPr>
              <w:pStyle w:val="Compact"/>
              <w:jc w:val="left"/>
            </w:pPr>
            <w:r>
              <w:t xml:space="preserve">5. Corrections</w:t>
            </w:r>
          </w:p>
        </w:tc>
        <w:tc>
          <w:tcPr>
            <w:tcW w:w="3495" w:type="dxa"/>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tcW w:w="1265" w:type="dxa"/>
          </w:tcPr>
          <w:p>
            <w:pPr>
              <w:pStyle w:val="Compact"/>
              <w:jc w:val="left"/>
            </w:pPr>
            <w:r>
              <w:t xml:space="preserve">Broker, importer</w:t>
            </w:r>
          </w:p>
        </w:tc>
        <w:tc>
          <w:tcPr>
            <w:tcW w:w="1380" w:type="dxa"/>
          </w:tcPr>
          <w:p>
            <w:pPr>
              <w:pStyle w:val="Compact"/>
              <w:jc w:val="left"/>
            </w:pPr>
            <w:r>
              <w:t xml:space="preserve">Find errors early</w:t>
            </w:r>
          </w:p>
        </w:tc>
        <w:tc>
          <w:tcPr>
            <w:tcW w:w="1380" w:type="dxa"/>
          </w:tcPr>
          <w:p>
            <w:pPr>
              <w:pStyle w:val="Compact"/>
              <w:jc w:val="left"/>
            </w:pPr>
            <w:r>
              <w:t xml:space="preserve">Before the authority starts an audit, where possible</w:t>
            </w:r>
          </w:p>
        </w:tc>
      </w:tr>
      <w:tr>
        <w:tc>
          <w:tcPr>
            <w:tcW w:w="1840" w:type="dxa"/>
          </w:tcPr>
          <w:p>
            <w:pPr>
              <w:pStyle w:val="Compact"/>
              <w:jc w:val="left"/>
            </w:pPr>
            <w:r>
              <w:t xml:space="preserve">6. Post-clearance review and audit</w:t>
            </w:r>
          </w:p>
        </w:tc>
        <w:tc>
          <w:tcPr>
            <w:tcW w:w="3495" w:type="dxa"/>
          </w:tcPr>
          <w:p>
            <w:pPr>
              <w:pStyle w:val="Compact"/>
              <w:jc w:val="left"/>
            </w:pPr>
            <w:r>
              <w:t xml:space="preserve">Pedimentos are reviewed after clearance (glosa) and the authorities can audit the importer. IMMEX companies are also checked against their inventory control (Anexo 24)</w:t>
            </w:r>
          </w:p>
        </w:tc>
        <w:tc>
          <w:tcPr>
            <w:tcW w:w="1265" w:type="dxa"/>
          </w:tcPr>
          <w:p>
            <w:pPr>
              <w:pStyle w:val="Compact"/>
              <w:jc w:val="left"/>
            </w:pPr>
            <w:r>
              <w:t xml:space="preserve">ANAM, SAT</w:t>
            </w:r>
          </w:p>
        </w:tc>
        <w:tc>
          <w:tcPr>
            <w:tcW w:w="1380" w:type="dxa"/>
          </w:tcPr>
          <w:p>
            <w:pPr>
              <w:pStyle w:val="Compact"/>
              <w:jc w:val="left"/>
            </w:pPr>
            <w:r>
              <w:t xml:space="preserve">Electronic file per pedimento; IMMEX records</w:t>
            </w:r>
          </w:p>
        </w:tc>
        <w:tc>
          <w:tcPr>
            <w:tcW w:w="1380" w:type="dxa"/>
          </w:tcPr>
          <w:p>
            <w:pPr>
              <w:pStyle w:val="Compact"/>
              <w:jc w:val="left"/>
            </w:pPr>
            <w:r>
              <w:t xml:space="preserve">Ongoing</w:t>
            </w:r>
          </w:p>
        </w:tc>
      </w:tr>
      <w:tr>
        <w:tc>
          <w:tcPr>
            <w:tcW w:w="1840" w:type="dxa"/>
          </w:tcPr>
          <w:p>
            <w:pPr>
              <w:pStyle w:val="Compact"/>
              <w:jc w:val="left"/>
            </w:pPr>
            <w:r>
              <w:t xml:space="preserve">7. Records</w:t>
            </w:r>
          </w:p>
        </w:tc>
        <w:tc>
          <w:tcPr>
            <w:tcW w:w="3495" w:type="dxa"/>
          </w:tcPr>
          <w:p>
            <w:pPr>
              <w:pStyle w:val="Compact"/>
              <w:jc w:val="left"/>
            </w:pPr>
            <w:r>
              <w:t xml:space="preserve">The importer keeps an electronic file for each pedimento with its annexes and acknowledgments (art. 59)</w:t>
            </w:r>
          </w:p>
        </w:tc>
        <w:tc>
          <w:tcPr>
            <w:tcW w:w="1265" w:type="dxa"/>
          </w:tcPr>
          <w:p>
            <w:pPr>
              <w:pStyle w:val="Compact"/>
              <w:jc w:val="left"/>
            </w:pPr>
            <w:r>
              <w:t xml:space="preserve">Importer</w:t>
            </w:r>
          </w:p>
        </w:tc>
        <w:tc>
          <w:tcPr>
            <w:tcW w:w="1380" w:type="dxa"/>
          </w:tcPr>
          <w:p>
            <w:pPr>
              <w:pStyle w:val="Compact"/>
              <w:jc w:val="left"/>
            </w:pPr>
            <w:r>
              <w:t xml:space="preserve">[COMPANY: where pedimento files are stored]</w:t>
            </w:r>
          </w:p>
        </w:tc>
        <w:tc>
          <w:tcPr>
            <w:tcW w:w="1380" w:type="dxa"/>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dxa" w:w="9360"/>
        <w:tblLook w:firstRow="1" w:lastRow="0" w:firstColumn="0" w:lastColumn="0" w:noHBand="0" w:noVBand="0" w:val="0020"/>
        <w:jc w:val="start"/>
        <w:tblLayout w:type="fixed"/>
      </w:tblPr>
      <w:tblGrid>
        <w:gridCol w:w="1216"/>
        <w:gridCol w:w="1712"/>
        <w:gridCol w:w="6431"/>
      </w:tblGrid>
      <w:tr>
        <w:trPr>
          <w:tblHeader w:val="true"/>
        </w:trPr>
        <w:tc>
          <w:tcPr>
            <w:tcW w:w="1216" w:type="dxa"/>
          </w:tcPr>
          <w:p>
            <w:pPr>
              <w:pStyle w:val="Compact"/>
              <w:jc w:val="left"/>
            </w:pPr>
            <w:r>
              <w:t xml:space="preserve">Item</w:t>
            </w:r>
          </w:p>
        </w:tc>
        <w:tc>
          <w:tcPr>
            <w:tcW w:w="1712" w:type="dxa"/>
          </w:tcPr>
          <w:p>
            <w:pPr>
              <w:pStyle w:val="Compact"/>
              <w:jc w:val="left"/>
            </w:pPr>
            <w:r>
              <w:t xml:space="preserve">Amount (US$ equivalent)</w:t>
            </w:r>
          </w:p>
        </w:tc>
        <w:tc>
          <w:tcPr>
            <w:tcW w:w="6431" w:type="dxa"/>
          </w:tcPr>
          <w:p>
            <w:pPr>
              <w:pStyle w:val="Compact"/>
              <w:jc w:val="left"/>
            </w:pPr>
            <w:r>
              <w:t xml:space="preserve">Note</w:t>
            </w:r>
          </w:p>
        </w:tc>
      </w:tr>
      <w:tr>
        <w:tc>
          <w:tcPr>
            <w:tcW w:w="1216" w:type="dxa"/>
          </w:tcPr>
          <w:p>
            <w:pPr>
              <w:pStyle w:val="Compact"/>
              <w:jc w:val="left"/>
            </w:pPr>
            <w:r>
              <w:t xml:space="preserve">Valor en aduana</w:t>
            </w:r>
          </w:p>
        </w:tc>
        <w:tc>
          <w:tcPr>
            <w:tcW w:w="1712" w:type="dxa"/>
          </w:tcPr>
          <w:p>
            <w:pPr>
              <w:pStyle w:val="Compact"/>
              <w:jc w:val="left"/>
            </w:pPr>
            <w:r>
              <w:t xml:space="preserve">11,850.00</w:t>
            </w:r>
          </w:p>
        </w:tc>
        <w:tc>
          <w:tcPr>
            <w:tcW w:w="6431" w:type="dxa"/>
          </w:tcPr>
          <w:p>
            <w:pPr>
              <w:pStyle w:val="Compact"/>
              <w:jc w:val="left"/>
            </w:pPr>
            <w:r>
              <w:t xml:space="preserve">Includes freight and insurance to arrival (Section 9.7)</w:t>
            </w:r>
          </w:p>
        </w:tc>
      </w:tr>
      <w:tr>
        <w:tc>
          <w:tcPr>
            <w:tcW w:w="1216" w:type="dxa"/>
          </w:tcPr>
          <w:p>
            <w:pPr>
              <w:pStyle w:val="Compact"/>
              <w:jc w:val="left"/>
            </w:pPr>
            <w:r>
              <w:t xml:space="preserve">IGI at 5%</w:t>
            </w:r>
          </w:p>
        </w:tc>
        <w:tc>
          <w:tcPr>
            <w:tcW w:w="1712" w:type="dxa"/>
          </w:tcPr>
          <w:p>
            <w:pPr>
              <w:pStyle w:val="Compact"/>
              <w:jc w:val="left"/>
            </w:pPr>
            <w:r>
              <w:t xml:space="preserve">592.50</w:t>
            </w:r>
          </w:p>
        </w:tc>
        <w:tc>
          <w:tcPr>
            <w:tcW w:w="6431" w:type="dxa"/>
          </w:tcPr>
          <w:p>
            <w:pPr>
              <w:pStyle w:val="Compact"/>
              <w:jc w:val="left"/>
            </w:pPr>
            <w:r>
              <w:t xml:space="preserve">11,850 x 5%. No T-MEC preference here: these goods come from Taiwan and are not USMCA-originating. A USMCA-originating good with a valid claim would pay the T-MEC rate instead</w:t>
            </w:r>
          </w:p>
        </w:tc>
      </w:tr>
      <w:tr>
        <w:tc>
          <w:tcPr>
            <w:tcW w:w="1216" w:type="dxa"/>
          </w:tcPr>
          <w:p>
            <w:pPr>
              <w:pStyle w:val="Compact"/>
              <w:jc w:val="left"/>
            </w:pPr>
            <w:r>
              <w:t xml:space="preserve">IVA base</w:t>
            </w:r>
          </w:p>
        </w:tc>
        <w:tc>
          <w:tcPr>
            <w:tcW w:w="1712" w:type="dxa"/>
          </w:tcPr>
          <w:p>
            <w:pPr>
              <w:pStyle w:val="Compact"/>
              <w:jc w:val="left"/>
            </w:pPr>
            <w:r>
              <w:t xml:space="preserve">12,442.50</w:t>
            </w:r>
          </w:p>
        </w:tc>
        <w:tc>
          <w:tcPr>
            <w:tcW w:w="6431" w:type="dxa"/>
          </w:tcPr>
          <w:p>
            <w:pPr>
              <w:pStyle w:val="Compact"/>
              <w:jc w:val="left"/>
            </w:pPr>
            <w:r>
              <w:t xml:space="preserve">Valor en aduana + IGI (+ DTA and other contributions in real life)</w:t>
            </w:r>
          </w:p>
        </w:tc>
      </w:tr>
      <w:tr>
        <w:tc>
          <w:tcPr>
            <w:tcW w:w="1216" w:type="dxa"/>
          </w:tcPr>
          <w:p>
            <w:pPr>
              <w:pStyle w:val="Compact"/>
              <w:jc w:val="left"/>
            </w:pPr>
            <w:r>
              <w:t xml:space="preserve">IVA at 16%</w:t>
            </w:r>
          </w:p>
        </w:tc>
        <w:tc>
          <w:tcPr>
            <w:tcW w:w="1712" w:type="dxa"/>
          </w:tcPr>
          <w:p>
            <w:pPr>
              <w:pStyle w:val="Compact"/>
              <w:jc w:val="left"/>
            </w:pPr>
            <w:r>
              <w:t xml:space="preserve">1,990.80</w:t>
            </w:r>
          </w:p>
        </w:tc>
        <w:tc>
          <w:tcPr>
            <w:tcW w:w="6431" w:type="dxa"/>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the Senior to confirm with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in the DOF on 4 May 2026 enabled the Ventanilla Única de Trámites de Comercio Exterior (VUTCE), run by the Agencia de Transformación Digital y Telecomunicaciones (ATDT) instead of SAT, as the single channel for foreign-trade procedures with the Secretaría de Economía, SAT, ANAM and other agencies. It replaced the SAT-run VUCEM; the trade still often says "VUCEM". The e.firma is still used to sign. Check the transition rules for pending procedures before mapping this data.</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dxa" w:w="9360"/>
        <w:tblLook w:firstRow="1" w:lastRow="0" w:firstColumn="0" w:lastColumn="0" w:noHBand="0" w:noVBand="0" w:val="0020"/>
        <w:jc w:val="start"/>
        <w:tblLayout w:type="fixed"/>
      </w:tblPr>
      <w:tblGrid>
        <w:gridCol w:w="2736"/>
        <w:gridCol w:w="3428"/>
        <w:gridCol w:w="3195"/>
      </w:tblGrid>
      <w:tr>
        <w:trPr>
          <w:tblHeader w:val="true"/>
        </w:trPr>
        <w:tc>
          <w:tcPr>
            <w:tcW w:w="2736" w:type="dxa"/>
          </w:tcPr>
          <w:p>
            <w:pPr>
              <w:pStyle w:val="Compact"/>
              <w:jc w:val="left"/>
            </w:pPr>
            <w:r>
              <w:t xml:space="preserve">Data element</w:t>
            </w:r>
          </w:p>
        </w:tc>
        <w:tc>
          <w:tcPr>
            <w:tcW w:w="3428" w:type="dxa"/>
          </w:tcPr>
          <w:p>
            <w:pPr>
              <w:pStyle w:val="Compact"/>
              <w:jc w:val="left"/>
            </w:pPr>
            <w:r>
              <w:t xml:space="preserve">Why the broker needs it</w:t>
            </w:r>
          </w:p>
        </w:tc>
        <w:tc>
          <w:tcPr>
            <w:tcW w:w="3195" w:type="dxa"/>
          </w:tcPr>
          <w:p>
            <w:pPr>
              <w:pStyle w:val="Compact"/>
              <w:jc w:val="left"/>
            </w:pPr>
            <w:r>
              <w:t xml:space="preserve">Country notes</w:t>
            </w:r>
          </w:p>
        </w:tc>
      </w:tr>
      <w:tr>
        <w:tc>
          <w:tcPr>
            <w:tcW w:w="2736" w:type="dxa"/>
          </w:tcPr>
          <w:p>
            <w:pPr>
              <w:pStyle w:val="Compact"/>
              <w:jc w:val="left"/>
            </w:pPr>
            <w:r>
              <w:t xml:space="preserve">Item number and a plain-language description (what it is, what it is made of, what it does)</w:t>
            </w:r>
          </w:p>
        </w:tc>
        <w:tc>
          <w:tcPr>
            <w:tcW w:w="3428" w:type="dxa"/>
          </w:tcPr>
          <w:p>
            <w:pPr>
              <w:pStyle w:val="Compact"/>
              <w:jc w:val="left"/>
            </w:pPr>
            <w:r>
              <w:t xml:space="preserve">To classify, and to describe the goods on the declaration</w:t>
            </w:r>
          </w:p>
        </w:tc>
        <w:tc>
          <w:tcPr>
            <w:tcW w:w="3195" w:type="dxa"/>
          </w:tcPr>
          <w:p>
            <w:pPr>
              <w:pStyle w:val="Compact"/>
              <w:jc w:val="left"/>
            </w:pPr>
            <w:r>
              <w:t xml:space="preserve">Vague descriptions trigger questions (CBP Form 28) and inspections</w:t>
            </w:r>
          </w:p>
        </w:tc>
      </w:tr>
      <w:tr>
        <w:tc>
          <w:tcPr>
            <w:tcW w:w="2736" w:type="dxa"/>
          </w:tcPr>
          <w:p>
            <w:pPr>
              <w:pStyle w:val="Compact"/>
              <w:jc w:val="left"/>
            </w:pPr>
            <w:r>
              <w:t xml:space="preserve">Classification per country</w:t>
            </w:r>
          </w:p>
        </w:tc>
        <w:tc>
          <w:tcPr>
            <w:tcW w:w="3428" w:type="dxa"/>
          </w:tcPr>
          <w:p>
            <w:pPr>
              <w:pStyle w:val="Compact"/>
              <w:jc w:val="left"/>
            </w:pPr>
            <w:r>
              <w:t xml:space="preserve">Sets the duty rate, other-agency requirements and statistics</w:t>
            </w:r>
          </w:p>
        </w:tc>
        <w:tc>
          <w:tcPr>
            <w:tcW w:w="3195" w:type="dxa"/>
          </w:tcPr>
          <w:p>
            <w:pPr>
              <w:pStyle w:val="Compact"/>
              <w:jc w:val="left"/>
            </w:pPr>
            <w:r>
              <w:t xml:space="preserve">US HTSUS 10 digits; Canada 10 digits; Mexico fracción + NICO. The first 6 digits should normally match across countries</w:t>
            </w:r>
          </w:p>
        </w:tc>
      </w:tr>
      <w:tr>
        <w:tc>
          <w:tcPr>
            <w:tcW w:w="2736" w:type="dxa"/>
          </w:tcPr>
          <w:p>
            <w:pPr>
              <w:pStyle w:val="Compact"/>
              <w:jc w:val="left"/>
            </w:pPr>
            <w:r>
              <w:t xml:space="preserve">Country of origin (non-preferential)</w:t>
            </w:r>
          </w:p>
        </w:tc>
        <w:tc>
          <w:tcPr>
            <w:tcW w:w="3428" w:type="dxa"/>
          </w:tcPr>
          <w:p>
            <w:pPr>
              <w:pStyle w:val="Compact"/>
              <w:jc w:val="left"/>
            </w:pPr>
            <w:r>
              <w:t xml:space="preserve">Rate column, additional duties by country, marking</w:t>
            </w:r>
          </w:p>
        </w:tc>
        <w:tc>
          <w:tcPr>
            <w:tcW w:w="3195" w:type="dxa"/>
          </w:tcPr>
          <w:p>
            <w:pPr>
              <w:pStyle w:val="Compact"/>
              <w:jc w:val="left"/>
            </w:pPr>
            <w:r>
              <w:t xml:space="preserve">Not the same as "shipped from"</w:t>
            </w:r>
          </w:p>
        </w:tc>
      </w:tr>
      <w:tr>
        <w:tc>
          <w:tcPr>
            <w:tcW w:w="2736" w:type="dxa"/>
          </w:tcPr>
          <w:p>
            <w:pPr>
              <w:pStyle w:val="Compact"/>
              <w:jc w:val="left"/>
            </w:pPr>
            <w:r>
              <w:t xml:space="preserve">Preference claim and support</w:t>
            </w:r>
          </w:p>
        </w:tc>
        <w:tc>
          <w:tcPr>
            <w:tcW w:w="3428" w:type="dxa"/>
          </w:tcPr>
          <w:p>
            <w:pPr>
              <w:pStyle w:val="Compact"/>
              <w:jc w:val="left"/>
            </w:pPr>
            <w:r>
              <w:t xml:space="preserve">To claim USMCA / CUSMA / T-MEC</w:t>
            </w:r>
          </w:p>
        </w:tc>
        <w:tc>
          <w:tcPr>
            <w:tcW w:w="3195" w:type="dxa"/>
          </w:tcPr>
          <w:p>
            <w:pPr>
              <w:pStyle w:val="Compact"/>
              <w:jc w:val="left"/>
            </w:pPr>
            <w:r>
              <w:t xml:space="preserve">Certification reference, origin criterion, blanket period</w:t>
            </w:r>
          </w:p>
        </w:tc>
      </w:tr>
      <w:tr>
        <w:tc>
          <w:tcPr>
            <w:tcW w:w="2736" w:type="dxa"/>
          </w:tcPr>
          <w:p>
            <w:pPr>
              <w:pStyle w:val="Compact"/>
              <w:jc w:val="left"/>
            </w:pPr>
            <w:r>
              <w:t xml:space="preserve">Manufacturer or producer</w:t>
            </w:r>
          </w:p>
        </w:tc>
        <w:tc>
          <w:tcPr>
            <w:tcW w:w="3428" w:type="dxa"/>
          </w:tcPr>
          <w:p>
            <w:pPr>
              <w:pStyle w:val="Compact"/>
              <w:jc w:val="left"/>
            </w:pPr>
            <w:r>
              <w:t xml:space="preserve">US entry summary needs the manufacturer ID (MID); AD/CVD rates can be manufacturer-specific; USMCA certifications name the producer</w:t>
            </w:r>
          </w:p>
        </w:tc>
        <w:tc>
          <w:tcPr>
            <w:tcW w:w="3195" w:type="dxa"/>
          </w:tcPr>
          <w:p>
            <w:pPr>
              <w:pStyle w:val="Compact"/>
              <w:jc w:val="left"/>
            </w:pPr>
            <w:r>
              <w:t xml:space="preserve">Supplier is not always the manufacturer</w:t>
            </w:r>
          </w:p>
        </w:tc>
      </w:tr>
      <w:tr>
        <w:tc>
          <w:tcPr>
            <w:tcW w:w="2736" w:type="dxa"/>
          </w:tcPr>
          <w:p>
            <w:pPr>
              <w:pStyle w:val="Compact"/>
              <w:jc w:val="left"/>
            </w:pPr>
            <w:r>
              <w:t xml:space="preserve">Price, currency and Incoterm</w:t>
            </w:r>
          </w:p>
        </w:tc>
        <w:tc>
          <w:tcPr>
            <w:tcW w:w="3428" w:type="dxa"/>
          </w:tcPr>
          <w:p>
            <w:pPr>
              <w:pStyle w:val="Compact"/>
              <w:jc w:val="left"/>
            </w:pPr>
            <w:r>
              <w:t xml:space="preserve">Transaction value</w:t>
            </w:r>
          </w:p>
        </w:tc>
        <w:tc>
          <w:tcPr>
            <w:tcW w:w="3195" w:type="dxa"/>
          </w:tcPr>
          <w:p>
            <w:pPr>
              <w:pStyle w:val="Compact"/>
              <w:jc w:val="left"/>
            </w:pPr>
            <w:r>
              <w:t xml:space="preserve">[COMPANY: from Oracle POs or invoices]</w:t>
            </w:r>
          </w:p>
        </w:tc>
      </w:tr>
      <w:tr>
        <w:tc>
          <w:tcPr>
            <w:tcW w:w="2736" w:type="dxa"/>
          </w:tcPr>
          <w:p>
            <w:pPr>
              <w:pStyle w:val="Compact"/>
              <w:jc w:val="left"/>
            </w:pPr>
            <w:r>
              <w:t xml:space="preserve">Additions to value (assists, royalties, selling commissions, buyer-paid packing)</w:t>
            </w:r>
          </w:p>
        </w:tc>
        <w:tc>
          <w:tcPr>
            <w:tcW w:w="3428" w:type="dxa"/>
          </w:tcPr>
          <w:p>
            <w:pPr>
              <w:pStyle w:val="Compact"/>
              <w:jc w:val="left"/>
            </w:pPr>
            <w:r>
              <w:t xml:space="preserve">They must be added to the declared value</w:t>
            </w:r>
          </w:p>
        </w:tc>
        <w:tc>
          <w:tcPr>
            <w:tcW w:w="3195" w:type="dxa"/>
          </w:tcPr>
          <w:p>
            <w:pPr>
              <w:pStyle w:val="Compact"/>
              <w:jc w:val="left"/>
            </w:pPr>
            <w:r>
              <w:t xml:space="preserve">Rarely on the invoice; see Section 9</w:t>
            </w:r>
          </w:p>
        </w:tc>
      </w:tr>
      <w:tr>
        <w:tc>
          <w:tcPr>
            <w:tcW w:w="2736" w:type="dxa"/>
          </w:tcPr>
          <w:p>
            <w:pPr>
              <w:pStyle w:val="Compact"/>
              <w:jc w:val="left"/>
            </w:pPr>
            <w:r>
              <w:t xml:space="preserve">Related-party indicator</w:t>
            </w:r>
          </w:p>
        </w:tc>
        <w:tc>
          <w:tcPr>
            <w:tcW w:w="3428" w:type="dxa"/>
          </w:tcPr>
          <w:p>
            <w:pPr>
              <w:pStyle w:val="Compact"/>
              <w:jc w:val="left"/>
            </w:pPr>
            <w:r>
              <w:t xml:space="preserve">Related-party transactions must be flagged and the price defended</w:t>
            </w:r>
          </w:p>
        </w:tc>
        <w:tc>
          <w:tcPr>
            <w:tcW w:w="3195" w:type="dxa"/>
          </w:tcPr>
          <w:p>
            <w:pPr>
              <w:pStyle w:val="Compact"/>
              <w:jc w:val="left"/>
            </w:pPr>
            <w:r>
              <w:t xml:space="preserve">[COMPANY: supplier master field]</w:t>
            </w:r>
          </w:p>
        </w:tc>
      </w:tr>
      <w:tr>
        <w:tc>
          <w:tcPr>
            <w:tcW w:w="2736" w:type="dxa"/>
          </w:tcPr>
          <w:p>
            <w:pPr>
              <w:pStyle w:val="Compact"/>
              <w:jc w:val="left"/>
            </w:pPr>
            <w:r>
              <w:t xml:space="preserve">Quantity, customs unit of measure, net weight</w:t>
            </w:r>
          </w:p>
        </w:tc>
        <w:tc>
          <w:tcPr>
            <w:tcW w:w="3428" w:type="dxa"/>
          </w:tcPr>
          <w:p>
            <w:pPr>
              <w:pStyle w:val="Compact"/>
              <w:jc w:val="left"/>
            </w:pPr>
            <w:r>
              <w:t xml:space="preserve">Specific duties and statistics are per customs unit</w:t>
            </w:r>
          </w:p>
        </w:tc>
        <w:tc>
          <w:tcPr>
            <w:tcW w:w="3195" w:type="dxa"/>
          </w:tcPr>
          <w:p>
            <w:pPr>
              <w:pStyle w:val="Compact"/>
              <w:jc w:val="left"/>
            </w:pPr>
            <w:r>
              <w:t xml:space="preserve">Stocking unit is often different from the customs unit</w:t>
            </w:r>
          </w:p>
        </w:tc>
      </w:tr>
      <w:tr>
        <w:tc>
          <w:tcPr>
            <w:tcW w:w="2736" w:type="dxa"/>
          </w:tcPr>
          <w:p>
            <w:pPr>
              <w:pStyle w:val="Compact"/>
              <w:jc w:val="left"/>
            </w:pPr>
            <w:r>
              <w:t xml:space="preserve">Other-agency data</w:t>
            </w:r>
          </w:p>
        </w:tc>
        <w:tc>
          <w:tcPr>
            <w:tcW w:w="3428" w:type="dxa"/>
          </w:tcPr>
          <w:p>
            <w:pPr>
              <w:pStyle w:val="Compact"/>
              <w:jc w:val="left"/>
            </w:pPr>
            <w:r>
              <w:t xml:space="preserve">PGA (US), OGD permits (Canada), permits and NOMs (Mexico)</w:t>
            </w:r>
          </w:p>
        </w:tc>
        <w:tc>
          <w:tcPr>
            <w:tcW w:w="3195" w:type="dxa"/>
          </w:tcPr>
          <w:p>
            <w:pPr>
              <w:pStyle w:val="Compact"/>
              <w:jc w:val="left"/>
            </w:pPr>
            <w:r>
              <w:t xml:space="preserve">Triggered by the classification</w:t>
            </w:r>
          </w:p>
        </w:tc>
      </w:tr>
      <w:tr>
        <w:tc>
          <w:tcPr>
            <w:tcW w:w="2736" w:type="dxa"/>
          </w:tcPr>
          <w:p>
            <w:pPr>
              <w:pStyle w:val="Compact"/>
              <w:jc w:val="left"/>
            </w:pPr>
            <w:r>
              <w:t xml:space="preserve">Additional duty flags</w:t>
            </w:r>
          </w:p>
        </w:tc>
        <w:tc>
          <w:tcPr>
            <w:tcW w:w="3428" w:type="dxa"/>
          </w:tcPr>
          <w:p>
            <w:pPr>
              <w:pStyle w:val="Compact"/>
              <w:jc w:val="left"/>
            </w:pPr>
            <w:r>
              <w:t xml:space="preserve">Chapter 99 numbers, AD/CVD case numbers, surtax indicators</w:t>
            </w:r>
          </w:p>
        </w:tc>
        <w:tc>
          <w:tcPr>
            <w:tcW w:w="3195" w:type="dxa"/>
          </w:tcPr>
          <w:p>
            <w:pPr>
              <w:pStyle w:val="Compact"/>
              <w:jc w:val="left"/>
            </w:pPr>
            <w:r>
              <w:t xml:space="preserve">Research decides scope; see</w:t>
            </w:r>
            <w:r>
              <w:t xml:space="preserve"> </w:t>
            </w:r>
            <w:r>
              <w:rPr>
                <w:rStyle w:val="VerbatimChar"/>
              </w:rPr>
              <w:t xml:space="preserve">docs/templates/domain/tariff-impact-brief.md</w:t>
            </w:r>
          </w:p>
        </w:tc>
      </w:tr>
      <w:tr>
        <w:tc>
          <w:tcPr>
            <w:tcW w:w="2736" w:type="dxa"/>
          </w:tcPr>
          <w:p>
            <w:pPr>
              <w:pStyle w:val="Compact"/>
              <w:jc w:val="left"/>
            </w:pPr>
            <w:r>
              <w:t xml:space="preserve">IMMEX status (Mexico)</w:t>
            </w:r>
          </w:p>
        </w:tc>
        <w:tc>
          <w:tcPr>
            <w:tcW w:w="3428" w:type="dxa"/>
          </w:tcPr>
          <w:p>
            <w:pPr>
              <w:pStyle w:val="Compact"/>
              <w:jc w:val="left"/>
            </w:pPr>
            <w:r>
              <w:t xml:space="preserve">Temporary versus definitive import; pedimento key</w:t>
            </w:r>
          </w:p>
        </w:tc>
        <w:tc>
          <w:tcPr>
            <w:tcW w:w="3195" w:type="dxa"/>
          </w:tcPr>
          <w:p>
            <w:pPr>
              <w:pStyle w:val="Compact"/>
              <w:jc w:val="left"/>
            </w:pPr>
            <w:r>
              <w:t xml:space="preserve">[COMPANY: confirm]</w:t>
            </w:r>
          </w:p>
        </w:tc>
      </w:tr>
      <w:tr>
        <w:tc>
          <w:tcPr>
            <w:tcW w:w="2736" w:type="dxa"/>
          </w:tcPr>
          <w:p>
            <w:pPr>
              <w:pStyle w:val="Compact"/>
              <w:jc w:val="left"/>
            </w:pPr>
            <w:r>
              <w:t xml:space="preserve">Importer identifiers</w:t>
            </w:r>
          </w:p>
        </w:tc>
        <w:tc>
          <w:tcPr>
            <w:tcW w:w="3428" w:type="dxa"/>
          </w:tcPr>
          <w:p>
            <w:pPr>
              <w:pStyle w:val="Compact"/>
              <w:jc w:val="left"/>
            </w:pPr>
            <w:r>
              <w:t xml:space="preserve">IOR number and bond (US), BN15 (Canada), RFC (Mexico)</w:t>
            </w:r>
          </w:p>
        </w:tc>
        <w:tc>
          <w:tcPr>
            <w:tcW w:w="3195" w:type="dxa"/>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dxa" w:w="9360"/>
        <w:tblLook w:firstRow="1" w:lastRow="0" w:firstColumn="0" w:lastColumn="0" w:noHBand="0" w:noVBand="0" w:val="0020"/>
        <w:jc w:val="start"/>
        <w:tblLayout w:type="fixed"/>
      </w:tblPr>
      <w:tblGrid>
        <w:gridCol w:w="1840"/>
        <w:gridCol w:w="2224"/>
        <w:gridCol w:w="2706"/>
        <w:gridCol w:w="2588"/>
      </w:tblGrid>
      <w:tr>
        <w:trPr>
          <w:tblHeader w:val="true"/>
        </w:trPr>
        <w:tc>
          <w:tcPr>
            <w:tcW w:w="1840" w:type="dxa"/>
          </w:tcPr>
          <w:p>
            <w:pPr>
              <w:pStyle w:val="Compact"/>
              <w:jc w:val="left"/>
            </w:pPr>
            <w:r>
              <w:t xml:space="preserve">Field</w:t>
            </w:r>
          </w:p>
        </w:tc>
        <w:tc>
          <w:tcPr>
            <w:tcW w:w="2224" w:type="dxa"/>
          </w:tcPr>
          <w:p>
            <w:pPr>
              <w:pStyle w:val="Compact"/>
              <w:jc w:val="left"/>
            </w:pPr>
            <w:r>
              <w:t xml:space="preserve">Compare the filed value to</w:t>
            </w:r>
          </w:p>
        </w:tc>
        <w:tc>
          <w:tcPr>
            <w:tcW w:w="2706" w:type="dxa"/>
          </w:tcPr>
          <w:p>
            <w:pPr>
              <w:pStyle w:val="Compact"/>
              <w:jc w:val="left"/>
            </w:pPr>
            <w:r>
              <w:t xml:space="preserve">Typical mismatch</w:t>
            </w:r>
          </w:p>
        </w:tc>
        <w:tc>
          <w:tcPr>
            <w:tcW w:w="2588" w:type="dxa"/>
          </w:tcPr>
          <w:p>
            <w:pPr>
              <w:pStyle w:val="Compact"/>
              <w:jc w:val="left"/>
            </w:pPr>
            <w:r>
              <w:t xml:space="preserve">Who owns the fix</w:t>
            </w:r>
          </w:p>
        </w:tc>
      </w:tr>
      <w:tr>
        <w:tc>
          <w:tcPr>
            <w:tcW w:w="1840" w:type="dxa"/>
          </w:tcPr>
          <w:p>
            <w:pPr>
              <w:pStyle w:val="Compact"/>
              <w:jc w:val="left"/>
            </w:pPr>
            <w:r>
              <w:t xml:space="preserve">Classification</w:t>
            </w:r>
          </w:p>
        </w:tc>
        <w:tc>
          <w:tcPr>
            <w:tcW w:w="2224" w:type="dxa"/>
          </w:tcPr>
          <w:p>
            <w:pPr>
              <w:pStyle w:val="Compact"/>
              <w:jc w:val="left"/>
            </w:pPr>
            <w:r>
              <w:t xml:space="preserve">Our classification for that item, country and date</w:t>
            </w:r>
          </w:p>
        </w:tc>
        <w:tc>
          <w:tcPr>
            <w:tcW w:w="2706" w:type="dxa"/>
          </w:tcPr>
          <w:p>
            <w:pPr>
              <w:pStyle w:val="Compact"/>
              <w:jc w:val="left"/>
            </w:pPr>
            <w:r>
              <w:t xml:space="preserve">Broker used an old code, its own code, or a code for a similar item</w:t>
            </w:r>
          </w:p>
        </w:tc>
        <w:tc>
          <w:tcPr>
            <w:tcW w:w="2588" w:type="dxa"/>
          </w:tcPr>
          <w:p>
            <w:pPr>
              <w:pStyle w:val="Compact"/>
              <w:jc w:val="left"/>
            </w:pPr>
            <w:r>
              <w:t xml:space="preserve">If our master is wrong: the team (maker-checker). If the broker deviated: the broker, through the Senior</w:t>
            </w:r>
          </w:p>
        </w:tc>
      </w:tr>
      <w:tr>
        <w:tc>
          <w:tcPr>
            <w:tcW w:w="1840" w:type="dxa"/>
          </w:tcPr>
          <w:p>
            <w:pPr>
              <w:pStyle w:val="Compact"/>
              <w:jc w:val="left"/>
            </w:pPr>
            <w:r>
              <w:t xml:space="preserve">Value</w:t>
            </w:r>
          </w:p>
        </w:tc>
        <w:tc>
          <w:tcPr>
            <w:tcW w:w="2224" w:type="dxa"/>
          </w:tcPr>
          <w:p>
            <w:pPr>
              <w:pStyle w:val="Compact"/>
              <w:jc w:val="left"/>
            </w:pPr>
            <w:r>
              <w:t xml:space="preserve">Invoice and PO price, plus additions</w:t>
            </w:r>
          </w:p>
        </w:tc>
        <w:tc>
          <w:tcPr>
            <w:tcW w:w="2706" w:type="dxa"/>
          </w:tcPr>
          <w:p>
            <w:pPr>
              <w:pStyle w:val="Compact"/>
              <w:jc w:val="left"/>
            </w:pPr>
            <w:r>
              <w:t xml:space="preserve">Missing assist; wrong currency or conversion; freight treated wrongly</w:t>
            </w:r>
          </w:p>
        </w:tc>
        <w:tc>
          <w:tcPr>
            <w:tcW w:w="2588" w:type="dxa"/>
          </w:tcPr>
          <w:p>
            <w:pPr>
              <w:pStyle w:val="Compact"/>
              <w:jc w:val="left"/>
            </w:pPr>
            <w:r>
              <w:t xml:space="preserve">Depends on the cause; the Senior decides the correction route</w:t>
            </w:r>
          </w:p>
        </w:tc>
      </w:tr>
      <w:tr>
        <w:tc>
          <w:tcPr>
            <w:tcW w:w="1840" w:type="dxa"/>
          </w:tcPr>
          <w:p>
            <w:pPr>
              <w:pStyle w:val="Compact"/>
              <w:jc w:val="left"/>
            </w:pPr>
            <w:r>
              <w:t xml:space="preserve">Origin and preference claim</w:t>
            </w:r>
          </w:p>
        </w:tc>
        <w:tc>
          <w:tcPr>
            <w:tcW w:w="2224" w:type="dxa"/>
          </w:tcPr>
          <w:p>
            <w:pPr>
              <w:pStyle w:val="Compact"/>
              <w:jc w:val="left"/>
            </w:pPr>
            <w:r>
              <w:t xml:space="preserve">Our origin and USMCA qualification data, and the certification on file</w:t>
            </w:r>
          </w:p>
        </w:tc>
        <w:tc>
          <w:tcPr>
            <w:tcW w:w="2706" w:type="dxa"/>
          </w:tcPr>
          <w:p>
            <w:pPr>
              <w:pStyle w:val="Compact"/>
              <w:jc w:val="left"/>
            </w:pPr>
            <w:r>
              <w:t xml:space="preserve">Preference claimed with no certification; preference missed on a qualifying item; wrong origin</w:t>
            </w:r>
          </w:p>
        </w:tc>
        <w:tc>
          <w:tcPr>
            <w:tcW w:w="2588" w:type="dxa"/>
          </w:tcPr>
          <w:p>
            <w:pPr>
              <w:pStyle w:val="Compact"/>
              <w:jc w:val="left"/>
            </w:pPr>
            <w:r>
              <w:t xml:space="preserve">Team for master data; Senior for claims and corrections</w:t>
            </w:r>
          </w:p>
        </w:tc>
      </w:tr>
      <w:tr>
        <w:tc>
          <w:tcPr>
            <w:tcW w:w="1840" w:type="dxa"/>
          </w:tcPr>
          <w:p>
            <w:pPr>
              <w:pStyle w:val="Compact"/>
              <w:jc w:val="left"/>
            </w:pPr>
            <w:r>
              <w:t xml:space="preserve">Duty rate and amount</w:t>
            </w:r>
          </w:p>
        </w:tc>
        <w:tc>
          <w:tcPr>
            <w:tcW w:w="2224" w:type="dxa"/>
          </w:tcPr>
          <w:p>
            <w:pPr>
              <w:pStyle w:val="Compact"/>
              <w:jc w:val="left"/>
            </w:pPr>
            <w:r>
              <w:t xml:space="preserve">The rate for that code, origin and date, including Chapter 99 or surtaxes</w:t>
            </w:r>
          </w:p>
        </w:tc>
        <w:tc>
          <w:tcPr>
            <w:tcW w:w="2706" w:type="dxa"/>
          </w:tcPr>
          <w:p>
            <w:pPr>
              <w:pStyle w:val="Compact"/>
              <w:jc w:val="left"/>
            </w:pPr>
            <w:r>
              <w:t xml:space="preserve">Additional duty missed or wrongly applied; wrong rate column</w:t>
            </w:r>
          </w:p>
        </w:tc>
        <w:tc>
          <w:tcPr>
            <w:tcW w:w="2588" w:type="dxa"/>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never contact customs about a correction. Before the day-60 review you do not contact the broker either: the Senior (or the Manager) does. After day 60, you may email the broker only with the Senior's agreement and the Senior copied (rule 5 in "How to use this primer").</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dxa" w:w="9360"/>
        <w:tblLook w:firstRow="1" w:lastRow="0" w:firstColumn="0" w:lastColumn="0" w:noHBand="0" w:noVBand="0" w:val="0020"/>
        <w:jc w:val="start"/>
        <w:tblLayout w:type="fixed"/>
      </w:tblPr>
      <w:tblGrid>
        <w:gridCol w:w="1833"/>
        <w:gridCol w:w="1035"/>
        <w:gridCol w:w="5341"/>
        <w:gridCol w:w="1150"/>
      </w:tblGrid>
      <w:tr>
        <w:trPr>
          <w:tblHeader w:val="true"/>
        </w:trPr>
        <w:tc>
          <w:tcPr>
            <w:tcW w:w="1833" w:type="dxa"/>
          </w:tcPr>
          <w:p>
            <w:pPr>
              <w:pStyle w:val="Compact"/>
              <w:jc w:val="left"/>
            </w:pPr>
            <w:r>
              <w:t xml:space="preserve">Level</w:t>
            </w:r>
          </w:p>
        </w:tc>
        <w:tc>
          <w:tcPr>
            <w:tcW w:w="1035" w:type="dxa"/>
          </w:tcPr>
          <w:p>
            <w:pPr>
              <w:pStyle w:val="Compact"/>
              <w:jc w:val="left"/>
            </w:pPr>
            <w:r>
              <w:t xml:space="preserve">Digits</w:t>
            </w:r>
          </w:p>
        </w:tc>
        <w:tc>
          <w:tcPr>
            <w:tcW w:w="5341" w:type="dxa"/>
          </w:tcPr>
          <w:p>
            <w:pPr>
              <w:pStyle w:val="Compact"/>
              <w:jc w:val="left"/>
            </w:pPr>
            <w:r>
              <w:t xml:space="preserve">Example</w:t>
            </w:r>
          </w:p>
        </w:tc>
        <w:tc>
          <w:tcPr>
            <w:tcW w:w="1150" w:type="dxa"/>
          </w:tcPr>
          <w:p>
            <w:pPr>
              <w:pStyle w:val="Compact"/>
              <w:jc w:val="left"/>
            </w:pPr>
            <w:r>
              <w:t xml:space="preserve">Who controls it</w:t>
            </w:r>
          </w:p>
        </w:tc>
      </w:tr>
      <w:tr>
        <w:tc>
          <w:tcPr>
            <w:tcW w:w="1833" w:type="dxa"/>
          </w:tcPr>
          <w:p>
            <w:pPr>
              <w:pStyle w:val="Compact"/>
              <w:jc w:val="left"/>
            </w:pPr>
            <w:r>
              <w:t xml:space="preserve">Section</w:t>
            </w:r>
          </w:p>
        </w:tc>
        <w:tc>
          <w:tcPr>
            <w:tcW w:w="1035" w:type="dxa"/>
          </w:tcPr>
          <w:p>
            <w:pPr>
              <w:pStyle w:val="Compact"/>
              <w:jc w:val="left"/>
            </w:pPr>
            <w:r>
              <w:t xml:space="preserve">Roman numeral</w:t>
            </w:r>
          </w:p>
        </w:tc>
        <w:tc>
          <w:tcPr>
            <w:tcW w:w="5341" w:type="dxa"/>
          </w:tcPr>
          <w:p>
            <w:pPr>
              <w:pStyle w:val="Compact"/>
              <w:jc w:val="left"/>
            </w:pPr>
            <w:r>
              <w:t xml:space="preserve">Section XI: textiles and textile articles</w:t>
            </w:r>
          </w:p>
        </w:tc>
        <w:tc>
          <w:tcPr>
            <w:tcW w:w="1150" w:type="dxa"/>
          </w:tcPr>
          <w:p>
            <w:pPr>
              <w:pStyle w:val="Compact"/>
              <w:jc w:val="left"/>
            </w:pPr>
            <w:r>
              <w:t xml:space="preserve">WCO</w:t>
            </w:r>
          </w:p>
        </w:tc>
      </w:tr>
      <w:tr>
        <w:tc>
          <w:tcPr>
            <w:tcW w:w="1833" w:type="dxa"/>
          </w:tcPr>
          <w:p>
            <w:pPr>
              <w:pStyle w:val="Compact"/>
              <w:jc w:val="left"/>
            </w:pPr>
            <w:r>
              <w:t xml:space="preserve">Chapter</w:t>
            </w:r>
          </w:p>
        </w:tc>
        <w:tc>
          <w:tcPr>
            <w:tcW w:w="1035" w:type="dxa"/>
          </w:tcPr>
          <w:p>
            <w:pPr>
              <w:pStyle w:val="Compact"/>
              <w:jc w:val="left"/>
            </w:pPr>
            <w:r>
              <w:t xml:space="preserve">2</w:t>
            </w:r>
          </w:p>
        </w:tc>
        <w:tc>
          <w:tcPr>
            <w:tcW w:w="5341" w:type="dxa"/>
          </w:tcPr>
          <w:p>
            <w:pPr>
              <w:pStyle w:val="Compact"/>
              <w:jc w:val="left"/>
            </w:pPr>
            <w:r>
              <w:t xml:space="preserve">61: apparel, knitted or crocheted</w:t>
            </w:r>
          </w:p>
        </w:tc>
        <w:tc>
          <w:tcPr>
            <w:tcW w:w="1150" w:type="dxa"/>
          </w:tcPr>
          <w:p>
            <w:pPr>
              <w:pStyle w:val="Compact"/>
              <w:jc w:val="left"/>
            </w:pPr>
            <w:r>
              <w:t xml:space="preserve">WCO</w:t>
            </w:r>
          </w:p>
        </w:tc>
      </w:tr>
      <w:tr>
        <w:tc>
          <w:tcPr>
            <w:tcW w:w="1833" w:type="dxa"/>
          </w:tcPr>
          <w:p>
            <w:pPr>
              <w:pStyle w:val="Compact"/>
              <w:jc w:val="left"/>
            </w:pPr>
            <w:r>
              <w:t xml:space="preserve">Heading</w:t>
            </w:r>
          </w:p>
        </w:tc>
        <w:tc>
          <w:tcPr>
            <w:tcW w:w="1035" w:type="dxa"/>
          </w:tcPr>
          <w:p>
            <w:pPr>
              <w:pStyle w:val="Compact"/>
              <w:jc w:val="left"/>
            </w:pPr>
            <w:r>
              <w:t xml:space="preserve">4</w:t>
            </w:r>
          </w:p>
        </w:tc>
        <w:tc>
          <w:tcPr>
            <w:tcW w:w="5341" w:type="dxa"/>
          </w:tcPr>
          <w:p>
            <w:pPr>
              <w:pStyle w:val="Compact"/>
              <w:jc w:val="left"/>
            </w:pPr>
            <w:r>
              <w:t xml:space="preserve">6109: T-shirts, singlets and other vests, knitted or crocheted</w:t>
            </w:r>
          </w:p>
        </w:tc>
        <w:tc>
          <w:tcPr>
            <w:tcW w:w="1150" w:type="dxa"/>
          </w:tcPr>
          <w:p>
            <w:pPr>
              <w:pStyle w:val="Compact"/>
              <w:jc w:val="left"/>
            </w:pPr>
            <w:r>
              <w:t xml:space="preserve">WCO</w:t>
            </w:r>
          </w:p>
        </w:tc>
      </w:tr>
      <w:tr>
        <w:tc>
          <w:tcPr>
            <w:tcW w:w="1833" w:type="dxa"/>
          </w:tcPr>
          <w:p>
            <w:pPr>
              <w:pStyle w:val="Compact"/>
              <w:jc w:val="left"/>
            </w:pPr>
            <w:r>
              <w:t xml:space="preserve">Subheading</w:t>
            </w:r>
          </w:p>
        </w:tc>
        <w:tc>
          <w:tcPr>
            <w:tcW w:w="1035" w:type="dxa"/>
          </w:tcPr>
          <w:p>
            <w:pPr>
              <w:pStyle w:val="Compact"/>
              <w:jc w:val="left"/>
            </w:pPr>
            <w:r>
              <w:t xml:space="preserve">6</w:t>
            </w:r>
          </w:p>
        </w:tc>
        <w:tc>
          <w:tcPr>
            <w:tcW w:w="5341" w:type="dxa"/>
          </w:tcPr>
          <w:p>
            <w:pPr>
              <w:pStyle w:val="Compact"/>
              <w:jc w:val="left"/>
            </w:pPr>
            <w:r>
              <w:t xml:space="preserve">6109.10: of cotton</w:t>
            </w:r>
          </w:p>
        </w:tc>
        <w:tc>
          <w:tcPr>
            <w:tcW w:w="1150" w:type="dxa"/>
          </w:tcPr>
          <w:p>
            <w:pPr>
              <w:pStyle w:val="Compact"/>
              <w:jc w:val="left"/>
            </w:pPr>
            <w:r>
              <w:t xml:space="preserve">WCO</w:t>
            </w:r>
          </w:p>
        </w:tc>
      </w:tr>
      <w:tr>
        <w:tc>
          <w:tcPr>
            <w:tcW w:w="1833" w:type="dxa"/>
          </w:tcPr>
          <w:p>
            <w:pPr>
              <w:pStyle w:val="Compact"/>
              <w:jc w:val="left"/>
            </w:pPr>
            <w:r>
              <w:t xml:space="preserve">National tariff line</w:t>
            </w:r>
          </w:p>
        </w:tc>
        <w:tc>
          <w:tcPr>
            <w:tcW w:w="1035" w:type="dxa"/>
          </w:tcPr>
          <w:p>
            <w:pPr>
              <w:pStyle w:val="Compact"/>
              <w:jc w:val="left"/>
            </w:pPr>
            <w:r>
              <w:t xml:space="preserve">8</w:t>
            </w:r>
          </w:p>
        </w:tc>
        <w:tc>
          <w:tcPr>
            <w:tcW w:w="5341" w:type="dxa"/>
          </w:tcPr>
          <w:p>
            <w:pPr>
              <w:pStyle w:val="Compact"/>
              <w:jc w:val="left"/>
            </w:pPr>
            <w:r>
              <w:t xml:space="preserve">Sets the duty rate in the US, Canada and Mexico</w:t>
            </w:r>
          </w:p>
        </w:tc>
        <w:tc>
          <w:tcPr>
            <w:tcW w:w="1150" w:type="dxa"/>
          </w:tcPr>
          <w:p>
            <w:pPr>
              <w:pStyle w:val="Compact"/>
              <w:jc w:val="left"/>
            </w:pPr>
            <w:r>
              <w:t xml:space="preserve">Each country</w:t>
            </w:r>
          </w:p>
        </w:tc>
      </w:tr>
      <w:tr>
        <w:tc>
          <w:tcPr>
            <w:tcW w:w="1833" w:type="dxa"/>
          </w:tcPr>
          <w:p>
            <w:pPr>
              <w:pStyle w:val="Compact"/>
              <w:jc w:val="left"/>
            </w:pPr>
            <w:r>
              <w:t xml:space="preserve">Statistical suffix or NICO</w:t>
            </w:r>
          </w:p>
        </w:tc>
        <w:tc>
          <w:tcPr>
            <w:tcW w:w="1035" w:type="dxa"/>
          </w:tcPr>
          <w:p>
            <w:pPr>
              <w:pStyle w:val="Compact"/>
              <w:jc w:val="left"/>
            </w:pPr>
            <w:r>
              <w:t xml:space="preserve">10</w:t>
            </w:r>
          </w:p>
        </w:tc>
        <w:tc>
          <w:tcPr>
            <w:tcW w:w="5341" w:type="dxa"/>
          </w:tcPr>
          <w:p>
            <w:pPr>
              <w:pStyle w:val="Compact"/>
              <w:jc w:val="left"/>
            </w:pPr>
            <w:r>
              <w:t xml:space="preserve">Statistics (US, Canada) or commercial identification (Mexico NICO)</w:t>
            </w:r>
          </w:p>
        </w:tc>
        <w:tc>
          <w:tcPr>
            <w:tcW w:w="1150" w:type="dxa"/>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Every item's classification in every country must be checked against the HS 2022 to HS 2028 correlation tables, and items in amended subheadings must be remapped; most headings do not change.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dxa" w:w="9360"/>
        <w:tblLook w:firstRow="1" w:lastRow="0" w:firstColumn="0" w:lastColumn="0" w:noHBand="0" w:noVBand="0" w:val="0020"/>
        <w:jc w:val="start"/>
        <w:tblLayout w:type="fixed"/>
      </w:tblPr>
      <w:tblGrid>
        <w:gridCol w:w="900"/>
        <w:gridCol w:w="4609"/>
        <w:gridCol w:w="3850"/>
      </w:tblGrid>
      <w:tr>
        <w:trPr>
          <w:tblHeader w:val="true"/>
        </w:trPr>
        <w:tc>
          <w:tcPr>
            <w:tcW w:w="900" w:type="dxa"/>
          </w:tcPr>
          <w:p>
            <w:pPr>
              <w:pStyle w:val="Compact"/>
              <w:jc w:val="left"/>
            </w:pPr>
            <w:r>
              <w:t xml:space="preserve">Rule</w:t>
            </w:r>
          </w:p>
        </w:tc>
        <w:tc>
          <w:tcPr>
            <w:tcW w:w="4609" w:type="dxa"/>
          </w:tcPr>
          <w:p>
            <w:pPr>
              <w:pStyle w:val="Compact"/>
              <w:jc w:val="left"/>
            </w:pPr>
            <w:r>
              <w:t xml:space="preserve">What it says</w:t>
            </w:r>
          </w:p>
        </w:tc>
        <w:tc>
          <w:tcPr>
            <w:tcW w:w="3850" w:type="dxa"/>
          </w:tcPr>
          <w:p>
            <w:pPr>
              <w:pStyle w:val="Compact"/>
              <w:jc w:val="left"/>
            </w:pPr>
            <w:r>
              <w:t xml:space="preserve">Mini-example</w:t>
            </w:r>
          </w:p>
        </w:tc>
      </w:tr>
      <w:tr>
        <w:tc>
          <w:tcPr>
            <w:tcW w:w="900" w:type="dxa"/>
          </w:tcPr>
          <w:p>
            <w:pPr>
              <w:pStyle w:val="Compact"/>
              <w:jc w:val="left"/>
            </w:pPr>
            <w:r>
              <w:t xml:space="preserve">GRI 1</w:t>
            </w:r>
          </w:p>
        </w:tc>
        <w:tc>
          <w:tcPr>
            <w:tcW w:w="4609" w:type="dxa"/>
          </w:tcPr>
          <w:p>
            <w:pPr>
              <w:pStyle w:val="Compact"/>
              <w:jc w:val="left"/>
            </w:pPr>
            <w:r>
              <w:t xml:space="preserve">Classify by the terms of the headings and any relevant section or chapter notes. Titles are for reference only</w:t>
            </w:r>
          </w:p>
        </w:tc>
        <w:tc>
          <w:tcPr>
            <w:tcW w:w="3850" w:type="dxa"/>
          </w:tcPr>
          <w:p>
            <w:pPr>
              <w:pStyle w:val="Compact"/>
              <w:jc w:val="left"/>
            </w:pPr>
            <w:r>
              <w:t xml:space="preserve">A knitted cotton T-shirt is named by heading 6109. Done at GRI 1, as most goods are</w:t>
            </w:r>
          </w:p>
        </w:tc>
      </w:tr>
      <w:tr>
        <w:tc>
          <w:tcPr>
            <w:tcW w:w="900" w:type="dxa"/>
          </w:tcPr>
          <w:p>
            <w:pPr>
              <w:pStyle w:val="Compact"/>
              <w:jc w:val="left"/>
            </w:pPr>
            <w:r>
              <w:t xml:space="preserve">GRI 2(a)</w:t>
            </w:r>
          </w:p>
        </w:tc>
        <w:tc>
          <w:tcPr>
            <w:tcW w:w="4609" w:type="dxa"/>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tcW w:w="3850" w:type="dxa"/>
          </w:tcPr>
          <w:p>
            <w:pPr>
              <w:pStyle w:val="Compact"/>
              <w:jc w:val="left"/>
            </w:pPr>
            <w:r>
              <w:t xml:space="preserve">A bicycle shipped in a box, unassembled, is classified as a bicycle. A bicycle frame alone is not; it is a part</w:t>
            </w:r>
          </w:p>
        </w:tc>
      </w:tr>
      <w:tr>
        <w:tc>
          <w:tcPr>
            <w:tcW w:w="900" w:type="dxa"/>
          </w:tcPr>
          <w:p>
            <w:pPr>
              <w:pStyle w:val="Compact"/>
              <w:jc w:val="left"/>
            </w:pPr>
            <w:r>
              <w:t xml:space="preserve">GRI 2(b)</w:t>
            </w:r>
          </w:p>
        </w:tc>
        <w:tc>
          <w:tcPr>
            <w:tcW w:w="4609" w:type="dxa"/>
          </w:tcPr>
          <w:p>
            <w:pPr>
              <w:pStyle w:val="Compact"/>
              <w:jc w:val="left"/>
            </w:pPr>
            <w:r>
              <w:t xml:space="preserve">A reference to a material includes mixtures and combinations of it with other materials. Goods of more than one material go to GRI 3</w:t>
            </w:r>
          </w:p>
        </w:tc>
        <w:tc>
          <w:tcPr>
            <w:tcW w:w="3850" w:type="dxa"/>
          </w:tcPr>
          <w:p>
            <w:pPr>
              <w:pStyle w:val="Compact"/>
              <w:jc w:val="left"/>
            </w:pPr>
            <w:r>
              <w:t xml:space="preserve">A rubber glove with a textile lining is still "of rubber" for a rubber heading, but it could also fall in a textile heading; with two candidates, GRI 3 decides</w:t>
            </w:r>
          </w:p>
        </w:tc>
      </w:tr>
      <w:tr>
        <w:tc>
          <w:tcPr>
            <w:tcW w:w="900" w:type="dxa"/>
          </w:tcPr>
          <w:p>
            <w:pPr>
              <w:pStyle w:val="Compact"/>
              <w:jc w:val="left"/>
            </w:pPr>
            <w:r>
              <w:t xml:space="preserve">GRI 3(a)</w:t>
            </w:r>
          </w:p>
        </w:tc>
        <w:tc>
          <w:tcPr>
            <w:tcW w:w="4609" w:type="dxa"/>
          </w:tcPr>
          <w:p>
            <w:pPr>
              <w:pStyle w:val="Compact"/>
              <w:jc w:val="left"/>
            </w:pPr>
            <w:r>
              <w:t xml:space="preserve">When two or more headings apply, the most specific description wins</w:t>
            </w:r>
          </w:p>
        </w:tc>
        <w:tc>
          <w:tcPr>
            <w:tcW w:w="3850" w:type="dxa"/>
          </w:tcPr>
          <w:p>
            <w:pPr>
              <w:pStyle w:val="Compact"/>
              <w:jc w:val="left"/>
            </w:pPr>
            <w:r>
              <w:t xml:space="preserve">Tufted textile carpets made for cars: the carpet heading (5703) is more specific than "parts of motor vehicles" (8708)</w:t>
            </w:r>
          </w:p>
        </w:tc>
      </w:tr>
      <w:tr>
        <w:tc>
          <w:tcPr>
            <w:tcW w:w="900" w:type="dxa"/>
          </w:tcPr>
          <w:p>
            <w:pPr>
              <w:pStyle w:val="Compact"/>
              <w:jc w:val="left"/>
            </w:pPr>
            <w:r>
              <w:t xml:space="preserve">GRI 3(b)</w:t>
            </w:r>
          </w:p>
        </w:tc>
        <w:tc>
          <w:tcPr>
            <w:tcW w:w="4609" w:type="dxa"/>
          </w:tcPr>
          <w:p>
            <w:pPr>
              <w:pStyle w:val="Compact"/>
              <w:jc w:val="left"/>
            </w:pPr>
            <w:r>
              <w:t xml:space="preserve">Mixtures, composite goods and retail sets that 3(a) cannot settle are classified by the material or component that gives them their essential character</w:t>
            </w:r>
          </w:p>
        </w:tc>
        <w:tc>
          <w:tcPr>
            <w:tcW w:w="3850" w:type="dxa"/>
          </w:tcPr>
          <w:p>
            <w:pPr>
              <w:pStyle w:val="Compact"/>
              <w:jc w:val="left"/>
            </w:pPr>
            <w:r>
              <w:t xml:space="preserve">A hairdressing set (electric hair clipper, comb, scissors, brush and towel in a case) is classified as the hair clipper</w:t>
            </w:r>
          </w:p>
        </w:tc>
      </w:tr>
      <w:tr>
        <w:tc>
          <w:tcPr>
            <w:tcW w:w="900" w:type="dxa"/>
          </w:tcPr>
          <w:p>
            <w:pPr>
              <w:pStyle w:val="Compact"/>
              <w:jc w:val="left"/>
            </w:pPr>
            <w:r>
              <w:t xml:space="preserve">GRI 3(c)</w:t>
            </w:r>
          </w:p>
        </w:tc>
        <w:tc>
          <w:tcPr>
            <w:tcW w:w="4609" w:type="dxa"/>
          </w:tcPr>
          <w:p>
            <w:pPr>
              <w:pStyle w:val="Compact"/>
              <w:jc w:val="left"/>
            </w:pPr>
            <w:r>
              <w:t xml:space="preserve">If 3(a) and 3(b) cannot decide, use the heading that occurs last in numerical order among those that equally merit consideration</w:t>
            </w:r>
          </w:p>
        </w:tc>
        <w:tc>
          <w:tcPr>
            <w:tcW w:w="3850" w:type="dxa"/>
          </w:tcPr>
          <w:p>
            <w:pPr>
              <w:pStyle w:val="Compact"/>
              <w:jc w:val="left"/>
            </w:pPr>
            <w:r>
              <w:t xml:space="preserve">Rare; a last resort, and a sign you should look for a ruling</w:t>
            </w:r>
          </w:p>
        </w:tc>
      </w:tr>
      <w:tr>
        <w:tc>
          <w:tcPr>
            <w:tcW w:w="900" w:type="dxa"/>
          </w:tcPr>
          <w:p>
            <w:pPr>
              <w:pStyle w:val="Compact"/>
              <w:jc w:val="left"/>
            </w:pPr>
            <w:r>
              <w:t xml:space="preserve">GRI 4</w:t>
            </w:r>
          </w:p>
        </w:tc>
        <w:tc>
          <w:tcPr>
            <w:tcW w:w="4609" w:type="dxa"/>
          </w:tcPr>
          <w:p>
            <w:pPr>
              <w:pStyle w:val="Compact"/>
              <w:jc w:val="left"/>
            </w:pPr>
            <w:r>
              <w:t xml:space="preserve">Goods that cannot be classified by GRIs 1 to 3 go in the heading for the goods they are most akin to</w:t>
            </w:r>
          </w:p>
        </w:tc>
        <w:tc>
          <w:tcPr>
            <w:tcW w:w="3850" w:type="dxa"/>
          </w:tcPr>
          <w:p>
            <w:pPr>
              <w:pStyle w:val="Compact"/>
              <w:jc w:val="left"/>
            </w:pPr>
            <w:r>
              <w:t xml:space="preserve">Very rare</w:t>
            </w:r>
          </w:p>
        </w:tc>
      </w:tr>
      <w:tr>
        <w:tc>
          <w:tcPr>
            <w:tcW w:w="900" w:type="dxa"/>
          </w:tcPr>
          <w:p>
            <w:pPr>
              <w:pStyle w:val="Compact"/>
              <w:jc w:val="left"/>
            </w:pPr>
            <w:r>
              <w:t xml:space="preserve">GRI 5</w:t>
            </w:r>
          </w:p>
        </w:tc>
        <w:tc>
          <w:tcPr>
            <w:tcW w:w="4609" w:type="dxa"/>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tcW w:w="3850" w:type="dxa"/>
          </w:tcPr>
          <w:p>
            <w:pPr>
              <w:pStyle w:val="Compact"/>
              <w:jc w:val="left"/>
            </w:pPr>
            <w:r>
              <w:t xml:space="preserve">A fitted camera case shipped with the camera goes with the camera; a cardboard carton goes with its contents</w:t>
            </w:r>
          </w:p>
        </w:tc>
      </w:tr>
      <w:tr>
        <w:tc>
          <w:tcPr>
            <w:tcW w:w="900" w:type="dxa"/>
          </w:tcPr>
          <w:p>
            <w:pPr>
              <w:pStyle w:val="Compact"/>
              <w:jc w:val="left"/>
            </w:pPr>
            <w:r>
              <w:t xml:space="preserve">GRI 6</w:t>
            </w:r>
          </w:p>
        </w:tc>
        <w:tc>
          <w:tcPr>
            <w:tcW w:w="4609" w:type="dxa"/>
          </w:tcPr>
          <w:p>
            <w:pPr>
              <w:pStyle w:val="Compact"/>
              <w:jc w:val="left"/>
            </w:pPr>
            <w:r>
              <w:t xml:space="preserve">Subheadings are chosen by their terms and subheading notes, applying GRIs 1 to 5 at that level, comparing only subheadings at the same level (one-dash with one-dash)</w:t>
            </w:r>
          </w:p>
        </w:tc>
        <w:tc>
          <w:tcPr>
            <w:tcW w:w="3850" w:type="dxa"/>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dxa" w:w="9360"/>
        <w:tblLook w:firstRow="1" w:lastRow="0" w:firstColumn="0" w:lastColumn="0" w:noHBand="0" w:noVBand="0" w:val="0020"/>
        <w:jc w:val="start"/>
        <w:tblLayout w:type="fixed"/>
      </w:tblPr>
      <w:tblGrid>
        <w:gridCol w:w="1035"/>
        <w:gridCol w:w="3120"/>
        <w:gridCol w:w="2514"/>
        <w:gridCol w:w="2689"/>
      </w:tblGrid>
      <w:tr>
        <w:trPr>
          <w:tblHeader w:val="true"/>
        </w:trPr>
        <w:tc>
          <w:tcPr>
            <w:tcW w:w="1035" w:type="dxa"/>
          </w:tcPr>
          <w:p>
            <w:pPr>
              <w:pStyle w:val="Compact"/>
              <w:jc w:val="left"/>
            </w:pPr>
            <w:r>
              <w:t xml:space="preserve">Country</w:t>
            </w:r>
          </w:p>
        </w:tc>
        <w:tc>
          <w:tcPr>
            <w:tcW w:w="3120" w:type="dxa"/>
          </w:tcPr>
          <w:p>
            <w:pPr>
              <w:pStyle w:val="Compact"/>
              <w:jc w:val="left"/>
            </w:pPr>
            <w:r>
              <w:t xml:space="preserve">Instrument</w:t>
            </w:r>
          </w:p>
        </w:tc>
        <w:tc>
          <w:tcPr>
            <w:tcW w:w="2514" w:type="dxa"/>
          </w:tcPr>
          <w:p>
            <w:pPr>
              <w:pStyle w:val="Compact"/>
              <w:jc w:val="left"/>
            </w:pPr>
            <w:r>
              <w:t xml:space="preserve">How much it binds</w:t>
            </w:r>
          </w:p>
        </w:tc>
        <w:tc>
          <w:tcPr>
            <w:tcW w:w="2689" w:type="dxa"/>
          </w:tcPr>
          <w:p>
            <w:pPr>
              <w:pStyle w:val="Compact"/>
              <w:jc w:val="left"/>
            </w:pPr>
            <w:r>
              <w:t xml:space="preserve">How we use it</w:t>
            </w:r>
          </w:p>
        </w:tc>
      </w:tr>
      <w:tr>
        <w:tc>
          <w:tcPr>
            <w:tcW w:w="1035" w:type="dxa"/>
          </w:tcPr>
          <w:p>
            <w:pPr>
              <w:pStyle w:val="Compact"/>
              <w:jc w:val="left"/>
            </w:pPr>
            <w:r>
              <w:t xml:space="preserve">United States</w:t>
            </w:r>
          </w:p>
        </w:tc>
        <w:tc>
          <w:tcPr>
            <w:tcW w:w="3120" w:type="dxa"/>
          </w:tcPr>
          <w:p>
            <w:pPr>
              <w:pStyle w:val="Compact"/>
              <w:jc w:val="left"/>
            </w:pPr>
            <w:r>
              <w:t xml:space="preserve">CBP rulings (19 CFR Part 177), searchable in CROSS at rulings.cbp.gov</w:t>
            </w:r>
          </w:p>
        </w:tc>
        <w:tc>
          <w:tcPr>
            <w:tcW w:w="2514" w:type="dxa"/>
          </w:tcPr>
          <w:p>
            <w:pPr>
              <w:pStyle w:val="Compact"/>
              <w:jc w:val="left"/>
            </w:pPr>
            <w:r>
              <w:t xml:space="preserve">A ruling binds CBP for the transaction it describes, while the facts stay the same. A ruling issued to another importer is guidance only (19 CFR 177.9)</w:t>
            </w:r>
          </w:p>
        </w:tc>
        <w:tc>
          <w:tcPr>
            <w:tcW w:w="2689" w:type="dxa"/>
          </w:tcPr>
          <w:p>
            <w:pPr>
              <w:pStyle w:val="Compact"/>
              <w:jc w:val="left"/>
            </w:pPr>
            <w:r>
              <w:t xml:space="preserve">Search CROSS for the same or similar goods and cite rulings in the rationale. For high-value or uncertain items, ask the Senior about requesting our own ruling</w:t>
            </w:r>
          </w:p>
        </w:tc>
      </w:tr>
      <w:tr>
        <w:tc>
          <w:tcPr>
            <w:tcW w:w="1035" w:type="dxa"/>
          </w:tcPr>
          <w:p>
            <w:pPr>
              <w:pStyle w:val="Compact"/>
              <w:jc w:val="left"/>
            </w:pPr>
            <w:r>
              <w:t xml:space="preserve">Canada</w:t>
            </w:r>
          </w:p>
        </w:tc>
        <w:tc>
          <w:tcPr>
            <w:tcW w:w="3120" w:type="dxa"/>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tcW w:w="2514" w:type="dxa"/>
          </w:tcPr>
          <w:p>
            <w:pPr>
              <w:pStyle w:val="Compact"/>
              <w:jc w:val="left"/>
            </w:pPr>
            <w:r>
              <w:t xml:space="preserve">An advance ruling applies to the same goods while the facts and law stay the same</w:t>
            </w:r>
          </w:p>
        </w:tc>
        <w:tc>
          <w:tcPr>
            <w:tcW w:w="2689" w:type="dxa"/>
          </w:tcPr>
          <w:p>
            <w:pPr>
              <w:pStyle w:val="Compact"/>
              <w:jc w:val="left"/>
            </w:pPr>
            <w:r>
              <w:t xml:space="preserve">Apply well before importing. A ruling does not replace a CUSMA certification of origin</w:t>
            </w:r>
          </w:p>
        </w:tc>
      </w:tr>
      <w:tr>
        <w:tc>
          <w:tcPr>
            <w:tcW w:w="1035" w:type="dxa"/>
          </w:tcPr>
          <w:p>
            <w:pPr>
              <w:pStyle w:val="Compact"/>
              <w:jc w:val="left"/>
            </w:pPr>
            <w:r>
              <w:t xml:space="preserve">Mexico</w:t>
            </w:r>
          </w:p>
        </w:tc>
        <w:tc>
          <w:tcPr>
            <w:tcW w:w="3120" w:type="dxa"/>
          </w:tcPr>
          <w:p>
            <w:pPr>
              <w:pStyle w:val="Compact"/>
              <w:jc w:val="left"/>
            </w:pPr>
            <w:r>
              <w:t xml:space="preserve">Classification consultation before the operation (Ley Aduanera art. 47), with opinions from the Consejo de Clasificación Arancelaria published as classification criteria (RGCE Anexo 6)</w:t>
            </w:r>
          </w:p>
        </w:tc>
        <w:tc>
          <w:tcPr>
            <w:tcW w:w="2514" w:type="dxa"/>
          </w:tcPr>
          <w:p>
            <w:pPr>
              <w:pStyle w:val="Compact"/>
              <w:jc w:val="left"/>
            </w:pPr>
            <w:r>
              <w:t xml:space="preserve">The resolution applies to operations after it is notified</w:t>
            </w:r>
          </w:p>
        </w:tc>
        <w:tc>
          <w:tcPr>
            <w:tcW w:w="2689" w:type="dxa"/>
          </w:tcPr>
          <w:p>
            <w:pPr>
              <w:pStyle w:val="Compact"/>
              <w:jc w:val="left"/>
            </w:pPr>
            <w:r>
              <w:t xml:space="preserve">Ask the Senior to check with the agente aduanal whether a published criterion covers the item</w:t>
            </w:r>
          </w:p>
        </w:tc>
      </w:tr>
      <w:tr>
        <w:tc>
          <w:tcPr>
            <w:tcW w:w="1035" w:type="dxa"/>
          </w:tcPr>
          <w:p>
            <w:pPr>
              <w:pStyle w:val="Compact"/>
              <w:jc w:val="left"/>
            </w:pPr>
            <w:r>
              <w:t xml:space="preserve">USMCA origin</w:t>
            </w:r>
          </w:p>
        </w:tc>
        <w:tc>
          <w:tcPr>
            <w:tcW w:w="3120" w:type="dxa"/>
          </w:tcPr>
          <w:p>
            <w:pPr>
              <w:pStyle w:val="Compact"/>
              <w:jc w:val="left"/>
            </w:pPr>
            <w:r>
              <w:t xml:space="preserve">Each USMCA country issues advance rulings on origin (USMCA Chapter 5)</w:t>
            </w:r>
          </w:p>
        </w:tc>
        <w:tc>
          <w:tcPr>
            <w:tcW w:w="2514" w:type="dxa"/>
          </w:tcPr>
          <w:p>
            <w:pPr>
              <w:pStyle w:val="Compact"/>
              <w:jc w:val="left"/>
            </w:pPr>
            <w:r>
              <w:t xml:space="preserve">A ruling by one country does not bind the others</w:t>
            </w:r>
          </w:p>
        </w:tc>
        <w:tc>
          <w:tcPr>
            <w:tcW w:w="2689" w:type="dxa"/>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dxa" w:w="9360"/>
        <w:tblLook w:firstRow="1" w:lastRow="0" w:firstColumn="0" w:lastColumn="0" w:noHBand="0" w:noVBand="0" w:val="0020"/>
        <w:jc w:val="start"/>
        <w:tblLayout w:type="fixed"/>
      </w:tblPr>
      <w:tblGrid>
        <w:gridCol w:w="1610"/>
        <w:gridCol w:w="5080"/>
        <w:gridCol w:w="2669"/>
      </w:tblGrid>
      <w:tr>
        <w:trPr>
          <w:tblHeader w:val="true"/>
        </w:trPr>
        <w:tc>
          <w:tcPr>
            <w:tcW w:w="1610" w:type="dxa"/>
          </w:tcPr>
          <w:p>
            <w:pPr>
              <w:pStyle w:val="Compact"/>
              <w:jc w:val="left"/>
            </w:pPr>
            <w:r>
              <w:t xml:space="preserve">Error</w:t>
            </w:r>
          </w:p>
        </w:tc>
        <w:tc>
          <w:tcPr>
            <w:tcW w:w="5080" w:type="dxa"/>
          </w:tcPr>
          <w:p>
            <w:pPr>
              <w:pStyle w:val="Compact"/>
              <w:jc w:val="left"/>
            </w:pPr>
            <w:r>
              <w:t xml:space="preserve">What breaks</w:t>
            </w:r>
          </w:p>
        </w:tc>
        <w:tc>
          <w:tcPr>
            <w:tcW w:w="2669" w:type="dxa"/>
          </w:tcPr>
          <w:p>
            <w:pPr>
              <w:pStyle w:val="Compact"/>
              <w:jc w:val="left"/>
            </w:pPr>
            <w:r>
              <w:t xml:space="preserve">Who usually notices</w:t>
            </w:r>
          </w:p>
        </w:tc>
      </w:tr>
      <w:tr>
        <w:tc>
          <w:tcPr>
            <w:tcW w:w="1610" w:type="dxa"/>
          </w:tcPr>
          <w:p>
            <w:pPr>
              <w:pStyle w:val="Compact"/>
              <w:jc w:val="left"/>
            </w:pPr>
            <w:r>
              <w:t xml:space="preserve">Wrong heading or subheading</w:t>
            </w:r>
          </w:p>
        </w:tc>
        <w:tc>
          <w:tcPr>
            <w:tcW w:w="5080" w:type="dxa"/>
          </w:tcPr>
          <w:p>
            <w:pPr>
              <w:pStyle w:val="Compact"/>
              <w:jc w:val="left"/>
            </w:pPr>
            <w:r>
              <w:t xml:space="preserve">Duty over- or underpaid; wrong landed cost</w:t>
            </w:r>
          </w:p>
        </w:tc>
        <w:tc>
          <w:tcPr>
            <w:tcW w:w="2669" w:type="dxa"/>
          </w:tcPr>
          <w:p>
            <w:pPr>
              <w:pStyle w:val="Compact"/>
              <w:jc w:val="left"/>
            </w:pPr>
            <w:r>
              <w:t xml:space="preserve">A CBP Form 29, a CBSA verification, a Mexican glosa, or our own audit</w:t>
            </w:r>
          </w:p>
        </w:tc>
      </w:tr>
      <w:tr>
        <w:tc>
          <w:tcPr>
            <w:tcW w:w="1610" w:type="dxa"/>
          </w:tcPr>
          <w:p>
            <w:pPr>
              <w:pStyle w:val="Compact"/>
              <w:jc w:val="left"/>
            </w:pPr>
            <w:r>
              <w:t xml:space="preserve">Wrong code for the USMCA analysis</w:t>
            </w:r>
          </w:p>
        </w:tc>
        <w:tc>
          <w:tcPr>
            <w:tcW w:w="5080" w:type="dxa"/>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tcW w:w="2669" w:type="dxa"/>
          </w:tcPr>
          <w:p>
            <w:pPr>
              <w:pStyle w:val="Compact"/>
              <w:jc w:val="left"/>
            </w:pPr>
            <w:r>
              <w:t xml:space="preserve">Origin verification; our BOM review</w:t>
            </w:r>
          </w:p>
        </w:tc>
      </w:tr>
      <w:tr>
        <w:tc>
          <w:tcPr>
            <w:tcW w:w="1610" w:type="dxa"/>
          </w:tcPr>
          <w:p>
            <w:pPr>
              <w:pStyle w:val="Compact"/>
              <w:jc w:val="left"/>
            </w:pPr>
            <w:r>
              <w:t xml:space="preserve">Missed other-agency requirement</w:t>
            </w:r>
          </w:p>
        </w:tc>
        <w:tc>
          <w:tcPr>
            <w:tcW w:w="5080" w:type="dxa"/>
          </w:tcPr>
          <w:p>
            <w:pPr>
              <w:pStyle w:val="Compact"/>
              <w:jc w:val="left"/>
            </w:pPr>
            <w:r>
              <w:t xml:space="preserve">US PGA data is triggered by the HTS number; Mexican permits and NOMs by the fracción. Shipments are held or refused</w:t>
            </w:r>
          </w:p>
        </w:tc>
        <w:tc>
          <w:tcPr>
            <w:tcW w:w="2669" w:type="dxa"/>
          </w:tcPr>
          <w:p>
            <w:pPr>
              <w:pStyle w:val="Compact"/>
              <w:jc w:val="left"/>
            </w:pPr>
            <w:r>
              <w:t xml:space="preserve">Broker, at the border</w:t>
            </w:r>
          </w:p>
        </w:tc>
      </w:tr>
      <w:tr>
        <w:tc>
          <w:tcPr>
            <w:tcW w:w="1610" w:type="dxa"/>
          </w:tcPr>
          <w:p>
            <w:pPr>
              <w:pStyle w:val="Compact"/>
              <w:jc w:val="left"/>
            </w:pPr>
            <w:r>
              <w:t xml:space="preserve">Additional duties</w:t>
            </w:r>
          </w:p>
        </w:tc>
        <w:tc>
          <w:tcPr>
            <w:tcW w:w="5080" w:type="dxa"/>
          </w:tcPr>
          <w:p>
            <w:pPr>
              <w:pStyle w:val="Compact"/>
              <w:jc w:val="left"/>
            </w:pPr>
            <w:r>
              <w:t xml:space="preserve">Chapter 99 measures and surtaxes are scoped by HTS lists (with exceptions). A wrong code applies or misses them</w:t>
            </w:r>
          </w:p>
        </w:tc>
        <w:tc>
          <w:tcPr>
            <w:tcW w:w="2669" w:type="dxa"/>
          </w:tcPr>
          <w:p>
            <w:pPr>
              <w:pStyle w:val="Compact"/>
              <w:jc w:val="left"/>
            </w:pPr>
            <w:r>
              <w:t xml:space="preserve">Research; duty audits</w:t>
            </w:r>
          </w:p>
        </w:tc>
      </w:tr>
      <w:tr>
        <w:tc>
          <w:tcPr>
            <w:tcW w:w="1610" w:type="dxa"/>
          </w:tcPr>
          <w:p>
            <w:pPr>
              <w:pStyle w:val="Compact"/>
              <w:jc w:val="left"/>
            </w:pPr>
            <w:r>
              <w:t xml:space="preserve">AD/CVD</w:t>
            </w:r>
          </w:p>
        </w:tc>
        <w:tc>
          <w:tcPr>
            <w:tcW w:w="5080" w:type="dxa"/>
          </w:tcPr>
          <w:p>
            <w:pPr>
              <w:pStyle w:val="Compact"/>
              <w:jc w:val="left"/>
            </w:pPr>
            <w:r>
              <w:t xml:space="preserve">Scope is by product description, not the code; a wrong code can hide an in-scope item</w:t>
            </w:r>
          </w:p>
        </w:tc>
        <w:tc>
          <w:tcPr>
            <w:tcW w:w="2669" w:type="dxa"/>
          </w:tcPr>
          <w:p>
            <w:pPr>
              <w:pStyle w:val="Compact"/>
              <w:jc w:val="left"/>
            </w:pPr>
            <w:r>
              <w:t xml:space="preserve">CBP, sometimes years later</w:t>
            </w:r>
          </w:p>
        </w:tc>
      </w:tr>
      <w:tr>
        <w:tc>
          <w:tcPr>
            <w:tcW w:w="1610" w:type="dxa"/>
          </w:tcPr>
          <w:p>
            <w:pPr>
              <w:pStyle w:val="Compact"/>
              <w:jc w:val="left"/>
            </w:pPr>
            <w:r>
              <w:t xml:space="preserve">Inconsistent codes across countries</w:t>
            </w:r>
          </w:p>
        </w:tc>
        <w:tc>
          <w:tcPr>
            <w:tcW w:w="5080" w:type="dxa"/>
          </w:tcPr>
          <w:p>
            <w:pPr>
              <w:pStyle w:val="Compact"/>
              <w:jc w:val="left"/>
            </w:pPr>
            <w:r>
              <w:t xml:space="preserve">The same item has different 6-digit codes in the US, Canada and Mexico</w:t>
            </w:r>
          </w:p>
        </w:tc>
        <w:tc>
          <w:tcPr>
            <w:tcW w:w="2669" w:type="dxa"/>
          </w:tcPr>
          <w:p>
            <w:pPr>
              <w:pStyle w:val="Compact"/>
              <w:jc w:val="left"/>
            </w:pPr>
            <w:r>
              <w:t xml:space="preserve">Data profiling (M3, M10)</w:t>
            </w:r>
          </w:p>
        </w:tc>
      </w:tr>
      <w:tr>
        <w:tc>
          <w:tcPr>
            <w:tcW w:w="1610" w:type="dxa"/>
          </w:tcPr>
          <w:p>
            <w:pPr>
              <w:pStyle w:val="Compact"/>
              <w:jc w:val="left"/>
            </w:pPr>
            <w:r>
              <w:t xml:space="preserve">Exports</w:t>
            </w:r>
          </w:p>
        </w:tc>
        <w:tc>
          <w:tcPr>
            <w:tcW w:w="5080" w:type="dxa"/>
          </w:tcPr>
          <w:p>
            <w:pPr>
              <w:pStyle w:val="Compact"/>
              <w:jc w:val="left"/>
            </w:pPr>
            <w:r>
              <w:t xml:space="preserve">Schedule B or HTS reported in export data is wrong</w:t>
            </w:r>
          </w:p>
        </w:tc>
        <w:tc>
          <w:tcPr>
            <w:tcW w:w="2669" w:type="dxa"/>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Secretaría de Economía tariff lookup, SIAVI; ask the Senior for the current link)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dxa" w:w="9360"/>
        <w:tblLook w:firstRow="1" w:lastRow="0" w:firstColumn="0" w:lastColumn="0" w:noHBand="0" w:noVBand="0" w:val="0020"/>
        <w:jc w:val="start"/>
        <w:tblLayout w:type="fixed"/>
      </w:tblPr>
      <w:tblGrid>
        <w:gridCol w:w="951"/>
        <w:gridCol w:w="2472"/>
        <w:gridCol w:w="5936"/>
      </w:tblGrid>
      <w:tr>
        <w:trPr>
          <w:tblHeader w:val="true"/>
        </w:trPr>
        <w:tc>
          <w:tcPr>
            <w:tcW w:w="951" w:type="dxa"/>
          </w:tcPr>
          <w:p>
            <w:pPr>
              <w:pStyle w:val="Compact"/>
              <w:jc w:val="left"/>
            </w:pPr>
            <w:r>
              <w:t xml:space="preserve">Order</w:t>
            </w:r>
          </w:p>
        </w:tc>
        <w:tc>
          <w:tcPr>
            <w:tcW w:w="2472" w:type="dxa"/>
          </w:tcPr>
          <w:p>
            <w:pPr>
              <w:pStyle w:val="Compact"/>
              <w:jc w:val="left"/>
            </w:pPr>
            <w:r>
              <w:t xml:space="preserve">Method</w:t>
            </w:r>
          </w:p>
        </w:tc>
        <w:tc>
          <w:tcPr>
            <w:tcW w:w="5936" w:type="dxa"/>
          </w:tcPr>
          <w:p>
            <w:pPr>
              <w:pStyle w:val="Compact"/>
              <w:jc w:val="left"/>
            </w:pPr>
            <w:r>
              <w:t xml:space="preserve">Basis</w:t>
            </w:r>
          </w:p>
        </w:tc>
      </w:tr>
      <w:tr>
        <w:tc>
          <w:tcPr>
            <w:tcW w:w="951" w:type="dxa"/>
          </w:tcPr>
          <w:p>
            <w:pPr>
              <w:pStyle w:val="Compact"/>
              <w:jc w:val="left"/>
            </w:pPr>
            <w:r>
              <w:t xml:space="preserve">1</w:t>
            </w:r>
          </w:p>
        </w:tc>
        <w:tc>
          <w:tcPr>
            <w:tcW w:w="2472" w:type="dxa"/>
          </w:tcPr>
          <w:p>
            <w:pPr>
              <w:pStyle w:val="Compact"/>
              <w:jc w:val="left"/>
            </w:pPr>
            <w:r>
              <w:t xml:space="preserve">Transaction value</w:t>
            </w:r>
          </w:p>
        </w:tc>
        <w:tc>
          <w:tcPr>
            <w:tcW w:w="5936" w:type="dxa"/>
          </w:tcPr>
          <w:p>
            <w:pPr>
              <w:pStyle w:val="Compact"/>
              <w:jc w:val="left"/>
            </w:pPr>
            <w:r>
              <w:t xml:space="preserve">The price actually paid or payable for the goods when sold for export to the importing country, plus defined additions</w:t>
            </w:r>
          </w:p>
        </w:tc>
      </w:tr>
      <w:tr>
        <w:tc>
          <w:tcPr>
            <w:tcW w:w="951" w:type="dxa"/>
          </w:tcPr>
          <w:p>
            <w:pPr>
              <w:pStyle w:val="Compact"/>
              <w:jc w:val="left"/>
            </w:pPr>
            <w:r>
              <w:t xml:space="preserve">2</w:t>
            </w:r>
          </w:p>
        </w:tc>
        <w:tc>
          <w:tcPr>
            <w:tcW w:w="2472" w:type="dxa"/>
          </w:tcPr>
          <w:p>
            <w:pPr>
              <w:pStyle w:val="Compact"/>
              <w:jc w:val="left"/>
            </w:pPr>
            <w:r>
              <w:t xml:space="preserve">Transaction value of identical goods</w:t>
            </w:r>
          </w:p>
        </w:tc>
        <w:tc>
          <w:tcPr>
            <w:tcW w:w="5936" w:type="dxa"/>
          </w:tcPr>
          <w:p>
            <w:pPr>
              <w:pStyle w:val="Compact"/>
              <w:jc w:val="left"/>
            </w:pPr>
            <w:r>
              <w:t xml:space="preserve">Price of identical goods sold for export to the same country at about the same time</w:t>
            </w:r>
          </w:p>
        </w:tc>
      </w:tr>
      <w:tr>
        <w:tc>
          <w:tcPr>
            <w:tcW w:w="951" w:type="dxa"/>
          </w:tcPr>
          <w:p>
            <w:pPr>
              <w:pStyle w:val="Compact"/>
              <w:jc w:val="left"/>
            </w:pPr>
            <w:r>
              <w:t xml:space="preserve">3</w:t>
            </w:r>
          </w:p>
        </w:tc>
        <w:tc>
          <w:tcPr>
            <w:tcW w:w="2472" w:type="dxa"/>
          </w:tcPr>
          <w:p>
            <w:pPr>
              <w:pStyle w:val="Compact"/>
              <w:jc w:val="left"/>
            </w:pPr>
            <w:r>
              <w:t xml:space="preserve">Transaction value of similar goods</w:t>
            </w:r>
          </w:p>
        </w:tc>
        <w:tc>
          <w:tcPr>
            <w:tcW w:w="5936" w:type="dxa"/>
          </w:tcPr>
          <w:p>
            <w:pPr>
              <w:pStyle w:val="Compact"/>
              <w:jc w:val="left"/>
            </w:pPr>
            <w:r>
              <w:t xml:space="preserve">Same, for similar goods</w:t>
            </w:r>
          </w:p>
        </w:tc>
      </w:tr>
      <w:tr>
        <w:tc>
          <w:tcPr>
            <w:tcW w:w="951" w:type="dxa"/>
          </w:tcPr>
          <w:p>
            <w:pPr>
              <w:pStyle w:val="Compact"/>
              <w:jc w:val="left"/>
            </w:pPr>
            <w:r>
              <w:t xml:space="preserve">4</w:t>
            </w:r>
          </w:p>
        </w:tc>
        <w:tc>
          <w:tcPr>
            <w:tcW w:w="2472" w:type="dxa"/>
          </w:tcPr>
          <w:p>
            <w:pPr>
              <w:pStyle w:val="Compact"/>
              <w:jc w:val="left"/>
            </w:pPr>
            <w:r>
              <w:t xml:space="preserve">Deductive value</w:t>
            </w:r>
          </w:p>
        </w:tc>
        <w:tc>
          <w:tcPr>
            <w:tcW w:w="5936" w:type="dxa"/>
          </w:tcPr>
          <w:p>
            <w:pPr>
              <w:pStyle w:val="Compact"/>
              <w:jc w:val="left"/>
            </w:pPr>
            <w:r>
              <w:t xml:space="preserve">Resale price in the importing country, minus profit, costs and duties</w:t>
            </w:r>
          </w:p>
        </w:tc>
      </w:tr>
      <w:tr>
        <w:tc>
          <w:tcPr>
            <w:tcW w:w="951" w:type="dxa"/>
          </w:tcPr>
          <w:p>
            <w:pPr>
              <w:pStyle w:val="Compact"/>
              <w:jc w:val="left"/>
            </w:pPr>
            <w:r>
              <w:t xml:space="preserve">5</w:t>
            </w:r>
          </w:p>
        </w:tc>
        <w:tc>
          <w:tcPr>
            <w:tcW w:w="2472" w:type="dxa"/>
          </w:tcPr>
          <w:p>
            <w:pPr>
              <w:pStyle w:val="Compact"/>
              <w:jc w:val="left"/>
            </w:pPr>
            <w:r>
              <w:t xml:space="preserve">Computed value</w:t>
            </w:r>
          </w:p>
        </w:tc>
        <w:tc>
          <w:tcPr>
            <w:tcW w:w="5936" w:type="dxa"/>
          </w:tcPr>
          <w:p>
            <w:pPr>
              <w:pStyle w:val="Compact"/>
              <w:jc w:val="left"/>
            </w:pPr>
            <w:r>
              <w:t xml:space="preserve">Cost of production, plus profit and general expenses, plus additions</w:t>
            </w:r>
          </w:p>
        </w:tc>
      </w:tr>
      <w:tr>
        <w:tc>
          <w:tcPr>
            <w:tcW w:w="951" w:type="dxa"/>
          </w:tcPr>
          <w:p>
            <w:pPr>
              <w:pStyle w:val="Compact"/>
              <w:jc w:val="left"/>
            </w:pPr>
            <w:r>
              <w:t xml:space="preserve">6</w:t>
            </w:r>
          </w:p>
        </w:tc>
        <w:tc>
          <w:tcPr>
            <w:tcW w:w="2472" w:type="dxa"/>
          </w:tcPr>
          <w:p>
            <w:pPr>
              <w:pStyle w:val="Compact"/>
              <w:jc w:val="left"/>
            </w:pPr>
            <w:r>
              <w:t xml:space="preserve">Fallback</w:t>
            </w:r>
          </w:p>
        </w:tc>
        <w:tc>
          <w:tcPr>
            <w:tcW w:w="5936" w:type="dxa"/>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dxa" w:w="9360"/>
        <w:tblLook w:firstRow="1" w:lastRow="0" w:firstColumn="0" w:lastColumn="0" w:noHBand="0" w:noVBand="0" w:val="0020"/>
        <w:jc w:val="start"/>
        <w:tblLayout w:type="fixed"/>
      </w:tblPr>
      <w:tblGrid>
        <w:gridCol w:w="4332"/>
        <w:gridCol w:w="1379"/>
        <w:gridCol w:w="2172"/>
        <w:gridCol w:w="1475"/>
      </w:tblGrid>
      <w:tr>
        <w:trPr>
          <w:tblHeader w:val="true"/>
        </w:trPr>
        <w:tc>
          <w:tcPr>
            <w:tcW w:w="4332" w:type="dxa"/>
          </w:tcPr>
          <w:p>
            <w:pPr>
              <w:pStyle w:val="Compact"/>
              <w:jc w:val="left"/>
            </w:pPr>
            <w:r>
              <w:t xml:space="preserve">Element</w:t>
            </w:r>
          </w:p>
        </w:tc>
        <w:tc>
          <w:tcPr>
            <w:tcW w:w="1379" w:type="dxa"/>
          </w:tcPr>
          <w:p>
            <w:pPr>
              <w:pStyle w:val="Compact"/>
              <w:jc w:val="left"/>
            </w:pPr>
            <w:r>
              <w:t xml:space="preserve">United States</w:t>
            </w:r>
          </w:p>
        </w:tc>
        <w:tc>
          <w:tcPr>
            <w:tcW w:w="2172" w:type="dxa"/>
          </w:tcPr>
          <w:p>
            <w:pPr>
              <w:pStyle w:val="Compact"/>
              <w:jc w:val="left"/>
            </w:pPr>
            <w:r>
              <w:t xml:space="preserve">Canada</w:t>
            </w:r>
          </w:p>
        </w:tc>
        <w:tc>
          <w:tcPr>
            <w:tcW w:w="1475" w:type="dxa"/>
          </w:tcPr>
          <w:p>
            <w:pPr>
              <w:pStyle w:val="Compact"/>
              <w:jc w:val="left"/>
            </w:pPr>
            <w:r>
              <w:t xml:space="preserve">Mexico</w:t>
            </w:r>
          </w:p>
        </w:tc>
      </w:tr>
      <w:tr>
        <w:tc>
          <w:tcPr>
            <w:tcW w:w="4332" w:type="dxa"/>
          </w:tcPr>
          <w:p>
            <w:pPr>
              <w:pStyle w:val="Compact"/>
              <w:jc w:val="left"/>
            </w:pPr>
            <w:r>
              <w:t xml:space="preserve">Packing costs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Selling commissions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Buying commissions (paid to our own buying agent)</w:t>
            </w:r>
          </w:p>
        </w:tc>
        <w:tc>
          <w:tcPr>
            <w:tcW w:w="1379" w:type="dxa"/>
          </w:tcPr>
          <w:p>
            <w:pPr>
              <w:pStyle w:val="Compact"/>
              <w:jc w:val="left"/>
            </w:pPr>
            <w:r>
              <w:t xml:space="preserve">Not added</w:t>
            </w:r>
          </w:p>
        </w:tc>
        <w:tc>
          <w:tcPr>
            <w:tcW w:w="2172" w:type="dxa"/>
          </w:tcPr>
          <w:p>
            <w:pPr>
              <w:pStyle w:val="Compact"/>
              <w:jc w:val="left"/>
            </w:pPr>
            <w:r>
              <w:t xml:space="preserve">Not added</w:t>
            </w:r>
          </w:p>
        </w:tc>
        <w:tc>
          <w:tcPr>
            <w:tcW w:w="1475" w:type="dxa"/>
          </w:tcPr>
          <w:p>
            <w:pPr>
              <w:pStyle w:val="Compact"/>
              <w:jc w:val="left"/>
            </w:pPr>
            <w:r>
              <w:t xml:space="preserve">Not added</w:t>
            </w:r>
          </w:p>
        </w:tc>
      </w:tr>
      <w:tr>
        <w:tc>
          <w:tcPr>
            <w:tcW w:w="4332" w:type="dxa"/>
          </w:tcPr>
          <w:p>
            <w:pPr>
              <w:pStyle w:val="Compact"/>
              <w:jc w:val="left"/>
            </w:pPr>
            <w:r>
              <w:t xml:space="preserve">Assists (molds, tooling, materials or engineering we supplied free or at reduced cost)</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Royalties and license fees paid as a condition of sale</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Proceeds of resale that go to the seller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International freight and insurance</w:t>
            </w:r>
          </w:p>
        </w:tc>
        <w:tc>
          <w:tcPr>
            <w:tcW w:w="1379" w:type="dxa"/>
          </w:tcPr>
          <w:p>
            <w:pPr>
              <w:pStyle w:val="Compact"/>
              <w:jc w:val="left"/>
            </w:pPr>
            <w:r>
              <w:t xml:space="preserve">Excluded if separately identified</w:t>
            </w:r>
          </w:p>
        </w:tc>
        <w:tc>
          <w:tcPr>
            <w:tcW w:w="2172" w:type="dxa"/>
          </w:tcPr>
          <w:p>
            <w:pPr>
              <w:pStyle w:val="Compact"/>
              <w:jc w:val="left"/>
            </w:pPr>
            <w:r>
              <w:t xml:space="preserve">Included up to the place of direct shipment to Canada, excluded after</w:t>
            </w:r>
          </w:p>
        </w:tc>
        <w:tc>
          <w:tcPr>
            <w:tcW w:w="1475" w:type="dxa"/>
          </w:tcPr>
          <w:p>
            <w:pPr>
              <w:pStyle w:val="Compact"/>
              <w:jc w:val="left"/>
            </w:pPr>
            <w:r>
              <w:t xml:space="preserve">Included until the goods arrive in Mexico</w:t>
            </w:r>
          </w:p>
        </w:tc>
      </w:tr>
      <w:tr>
        <w:tc>
          <w:tcPr>
            <w:tcW w:w="4332" w:type="dxa"/>
          </w:tcPr>
          <w:p>
            <w:pPr>
              <w:pStyle w:val="Compact"/>
              <w:jc w:val="left"/>
            </w:pPr>
            <w:r>
              <w:t xml:space="preserve">Transport and costs after importation</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r>
        <w:tc>
          <w:tcPr>
            <w:tcW w:w="4332" w:type="dxa"/>
          </w:tcPr>
          <w:p>
            <w:pPr>
              <w:pStyle w:val="Compact"/>
              <w:jc w:val="left"/>
            </w:pPr>
            <w:r>
              <w:t xml:space="preserve">Import duties and taxes</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dxa" w:w="9360"/>
        <w:tblLook w:firstRow="1" w:lastRow="0" w:firstColumn="0" w:lastColumn="0" w:noHBand="0" w:noVBand="0" w:val="0020"/>
        <w:jc w:val="start"/>
        <w:tblLayout w:type="fixed"/>
      </w:tblPr>
      <w:tblGrid>
        <w:gridCol w:w="1035"/>
        <w:gridCol w:w="3704"/>
        <w:gridCol w:w="4620"/>
      </w:tblGrid>
      <w:tr>
        <w:trPr>
          <w:tblHeader w:val="true"/>
        </w:trPr>
        <w:tc>
          <w:tcPr>
            <w:tcW w:w="1035" w:type="dxa"/>
          </w:tcPr>
          <w:p>
            <w:pPr>
              <w:pStyle w:val="Compact"/>
              <w:jc w:val="left"/>
            </w:pPr>
            <w:r>
              <w:t xml:space="preserve">Country</w:t>
            </w:r>
          </w:p>
        </w:tc>
        <w:tc>
          <w:tcPr>
            <w:tcW w:w="3704" w:type="dxa"/>
          </w:tcPr>
          <w:p>
            <w:pPr>
              <w:pStyle w:val="Compact"/>
              <w:jc w:val="left"/>
            </w:pPr>
            <w:r>
              <w:t xml:space="preserve">Rate</w:t>
            </w:r>
          </w:p>
        </w:tc>
        <w:tc>
          <w:tcPr>
            <w:tcW w:w="4620" w:type="dxa"/>
          </w:tcPr>
          <w:p>
            <w:pPr>
              <w:pStyle w:val="Compact"/>
              <w:jc w:val="left"/>
            </w:pPr>
            <w:r>
              <w:t xml:space="preserve">Date</w:t>
            </w:r>
          </w:p>
        </w:tc>
      </w:tr>
      <w:tr>
        <w:tc>
          <w:tcPr>
            <w:tcW w:w="1035" w:type="dxa"/>
          </w:tcPr>
          <w:p>
            <w:pPr>
              <w:pStyle w:val="Compact"/>
              <w:jc w:val="left"/>
            </w:pPr>
            <w:r>
              <w:t xml:space="preserve">United States</w:t>
            </w:r>
          </w:p>
        </w:tc>
        <w:tc>
          <w:tcPr>
            <w:tcW w:w="3704" w:type="dxa"/>
          </w:tcPr>
          <w:p>
            <w:pPr>
              <w:pStyle w:val="Compact"/>
              <w:jc w:val="left"/>
            </w:pPr>
            <w:r>
              <w:t xml:space="preserve">Federal Reserve Bank of New York certified rate, or CBP's certified quarterly rate where it applies</w:t>
            </w:r>
          </w:p>
        </w:tc>
        <w:tc>
          <w:tcPr>
            <w:tcW w:w="4620" w:type="dxa"/>
          </w:tcPr>
          <w:p>
            <w:pPr>
              <w:pStyle w:val="Compact"/>
              <w:jc w:val="left"/>
            </w:pPr>
            <w:r>
              <w:t xml:space="preserve">Date of exportation: the day the goods finally leave the exporting country for the US (19 CFR 159.32, 152.1(c))</w:t>
            </w:r>
          </w:p>
        </w:tc>
      </w:tr>
      <w:tr>
        <w:tc>
          <w:tcPr>
            <w:tcW w:w="1035" w:type="dxa"/>
          </w:tcPr>
          <w:p>
            <w:pPr>
              <w:pStyle w:val="Compact"/>
              <w:jc w:val="left"/>
            </w:pPr>
            <w:r>
              <w:t xml:space="preserve">Canada</w:t>
            </w:r>
          </w:p>
        </w:tc>
        <w:tc>
          <w:tcPr>
            <w:tcW w:w="3704" w:type="dxa"/>
          </w:tcPr>
          <w:p>
            <w:pPr>
              <w:pStyle w:val="Compact"/>
              <w:jc w:val="left"/>
            </w:pPr>
            <w:r>
              <w:t xml:space="preserve">Bank of Canada rate as used by CBSA</w:t>
            </w:r>
          </w:p>
        </w:tc>
        <w:tc>
          <w:tcPr>
            <w:tcW w:w="4620" w:type="dxa"/>
          </w:tcPr>
          <w:p>
            <w:pPr>
              <w:pStyle w:val="Compact"/>
              <w:jc w:val="left"/>
            </w:pPr>
            <w:r>
              <w:t xml:space="preserve">Date of direct shipment to Canada (D13-2-3)</w:t>
            </w:r>
          </w:p>
        </w:tc>
      </w:tr>
      <w:tr>
        <w:tc>
          <w:tcPr>
            <w:tcW w:w="1035" w:type="dxa"/>
          </w:tcPr>
          <w:p>
            <w:pPr>
              <w:pStyle w:val="Compact"/>
              <w:jc w:val="left"/>
            </w:pPr>
            <w:r>
              <w:t xml:space="preserve">Mexico</w:t>
            </w:r>
          </w:p>
        </w:tc>
        <w:tc>
          <w:tcPr>
            <w:tcW w:w="3704" w:type="dxa"/>
          </w:tcPr>
          <w:p>
            <w:pPr>
              <w:pStyle w:val="Compact"/>
              <w:jc w:val="left"/>
            </w:pPr>
            <w:r>
              <w:t xml:space="preserve">Peso-dollar rate for tax purposes</w:t>
            </w:r>
          </w:p>
        </w:tc>
        <w:tc>
          <w:tcPr>
            <w:tcW w:w="4620" w:type="dxa"/>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US$800. Marine insurance: US$50. Both paid by us.</w:t>
      </w:r>
    </w:p>
    <w:p>
      <w:pPr>
        <w:numPr>
          <w:ilvl w:val="0"/>
          <w:numId w:val="1018"/>
        </w:numPr>
        <w:pStyle w:val="Compact"/>
      </w:pPr>
      <w:r>
        <w:t xml:space="preserve">We supplied a mold free of charge, cost US$3,000, apportioned evenly over three shipments: US$1,000 to this one.</w:t>
      </w:r>
    </w:p>
    <w:p>
      <w:pPr>
        <w:numPr>
          <w:ilvl w:val="0"/>
          <w:numId w:val="1018"/>
        </w:numPr>
        <w:pStyle w:val="Compact"/>
      </w:pPr>
      <w:r>
        <w:t xml:space="preserve">We paid our own buying agent a commission of US$200.</w:t>
      </w:r>
    </w:p>
    <w:tbl>
      <w:tblPr>
        <w:tblStyle w:val="Table"/>
        <w:tblW w:type="dxa" w:w="9360"/>
        <w:tblLook w:firstRow="1" w:lastRow="0" w:firstColumn="0" w:lastColumn="0" w:noHBand="0" w:noVBand="0" w:val="0020"/>
        <w:jc w:val="start"/>
        <w:tblLayout w:type="fixed"/>
      </w:tblPr>
      <w:tblGrid>
        <w:gridCol w:w="2440"/>
        <w:gridCol w:w="1380"/>
        <w:gridCol w:w="3209"/>
        <w:gridCol w:w="2330"/>
      </w:tblGrid>
      <w:tr>
        <w:trPr>
          <w:tblHeader w:val="true"/>
        </w:trPr>
        <w:tc>
          <w:tcPr>
            <w:tcW w:w="2440" w:type="dxa"/>
          </w:tcPr>
          <w:p>
            <w:pPr>
              <w:pStyle w:val="Compact"/>
              <w:jc w:val="left"/>
            </w:pPr>
            <w:r>
              <w:t xml:space="preserve">Element</w:t>
            </w:r>
          </w:p>
        </w:tc>
        <w:tc>
          <w:tcPr>
            <w:tcW w:w="1380" w:type="dxa"/>
          </w:tcPr>
          <w:p>
            <w:pPr>
              <w:pStyle w:val="Compact"/>
              <w:jc w:val="left"/>
            </w:pPr>
            <w:r>
              <w:t xml:space="preserve">US value (US$)</w:t>
            </w:r>
          </w:p>
        </w:tc>
        <w:tc>
          <w:tcPr>
            <w:tcW w:w="3209" w:type="dxa"/>
          </w:tcPr>
          <w:p>
            <w:pPr>
              <w:pStyle w:val="Compact"/>
              <w:jc w:val="left"/>
            </w:pPr>
            <w:r>
              <w:t xml:space="preserve">Canada value for duty (US$ equivalent)</w:t>
            </w:r>
          </w:p>
        </w:tc>
        <w:tc>
          <w:tcPr>
            <w:tcW w:w="2330" w:type="dxa"/>
          </w:tcPr>
          <w:p>
            <w:pPr>
              <w:pStyle w:val="Compact"/>
              <w:jc w:val="left"/>
            </w:pPr>
            <w:r>
              <w:t xml:space="preserve">Mexico valor en aduana (US$ equivalent)</w:t>
            </w:r>
          </w:p>
        </w:tc>
      </w:tr>
      <w:tr>
        <w:tc>
          <w:tcPr>
            <w:tcW w:w="2440" w:type="dxa"/>
          </w:tcPr>
          <w:p>
            <w:pPr>
              <w:pStyle w:val="Compact"/>
              <w:jc w:val="left"/>
            </w:pPr>
            <w:r>
              <w:t xml:space="preserve">Invoice price, FOB Kaohsiung</w:t>
            </w:r>
          </w:p>
        </w:tc>
        <w:tc>
          <w:tcPr>
            <w:tcW w:w="1380" w:type="dxa"/>
          </w:tcPr>
          <w:p>
            <w:pPr>
              <w:pStyle w:val="Compact"/>
              <w:jc w:val="left"/>
            </w:pPr>
            <w:r>
              <w:t xml:space="preserve">10,000</w:t>
            </w:r>
          </w:p>
        </w:tc>
        <w:tc>
          <w:tcPr>
            <w:tcW w:w="3209" w:type="dxa"/>
          </w:tcPr>
          <w:p>
            <w:pPr>
              <w:pStyle w:val="Compact"/>
              <w:jc w:val="left"/>
            </w:pPr>
            <w:r>
              <w:t xml:space="preserve">10,000</w:t>
            </w:r>
          </w:p>
        </w:tc>
        <w:tc>
          <w:tcPr>
            <w:tcW w:w="2330" w:type="dxa"/>
          </w:tcPr>
          <w:p>
            <w:pPr>
              <w:pStyle w:val="Compact"/>
              <w:jc w:val="left"/>
            </w:pPr>
            <w:r>
              <w:t xml:space="preserve">10,000</w:t>
            </w:r>
          </w:p>
        </w:tc>
      </w:tr>
      <w:tr>
        <w:tc>
          <w:tcPr>
            <w:tcW w:w="2440" w:type="dxa"/>
          </w:tcPr>
          <w:p>
            <w:pPr>
              <w:pStyle w:val="Compact"/>
              <w:jc w:val="left"/>
            </w:pPr>
            <w:r>
              <w:t xml:space="preserve">Assist (mold, apportioned)</w:t>
            </w:r>
          </w:p>
        </w:tc>
        <w:tc>
          <w:tcPr>
            <w:tcW w:w="1380" w:type="dxa"/>
          </w:tcPr>
          <w:p>
            <w:pPr>
              <w:pStyle w:val="Compact"/>
              <w:jc w:val="left"/>
            </w:pPr>
            <w:r>
              <w:t xml:space="preserve">1,000</w:t>
            </w:r>
          </w:p>
        </w:tc>
        <w:tc>
          <w:tcPr>
            <w:tcW w:w="3209" w:type="dxa"/>
          </w:tcPr>
          <w:p>
            <w:pPr>
              <w:pStyle w:val="Compact"/>
              <w:jc w:val="left"/>
            </w:pPr>
            <w:r>
              <w:t xml:space="preserve">1,000</w:t>
            </w:r>
          </w:p>
        </w:tc>
        <w:tc>
          <w:tcPr>
            <w:tcW w:w="2330" w:type="dxa"/>
          </w:tcPr>
          <w:p>
            <w:pPr>
              <w:pStyle w:val="Compact"/>
              <w:jc w:val="left"/>
            </w:pPr>
            <w:r>
              <w:t xml:space="preserve">1,000</w:t>
            </w:r>
          </w:p>
        </w:tc>
      </w:tr>
      <w:tr>
        <w:tc>
          <w:tcPr>
            <w:tcW w:w="2440" w:type="dxa"/>
          </w:tcPr>
          <w:p>
            <w:pPr>
              <w:pStyle w:val="Compact"/>
              <w:jc w:val="left"/>
            </w:pPr>
            <w:r>
              <w:t xml:space="preserve">Buying commission</w:t>
            </w:r>
          </w:p>
        </w:tc>
        <w:tc>
          <w:tcPr>
            <w:tcW w:w="1380" w:type="dxa"/>
          </w:tcPr>
          <w:p>
            <w:pPr>
              <w:pStyle w:val="Compact"/>
              <w:jc w:val="left"/>
            </w:pPr>
            <w:r>
              <w:t xml:space="preserve">0 (not added)</w:t>
            </w:r>
          </w:p>
        </w:tc>
        <w:tc>
          <w:tcPr>
            <w:tcW w:w="3209" w:type="dxa"/>
          </w:tcPr>
          <w:p>
            <w:pPr>
              <w:pStyle w:val="Compact"/>
              <w:jc w:val="left"/>
            </w:pPr>
            <w:r>
              <w:t xml:space="preserve">0 (not added)</w:t>
            </w:r>
          </w:p>
        </w:tc>
        <w:tc>
          <w:tcPr>
            <w:tcW w:w="2330" w:type="dxa"/>
          </w:tcPr>
          <w:p>
            <w:pPr>
              <w:pStyle w:val="Compact"/>
              <w:jc w:val="left"/>
            </w:pPr>
            <w:r>
              <w:t xml:space="preserve">0 (not added)</w:t>
            </w:r>
          </w:p>
        </w:tc>
      </w:tr>
      <w:tr>
        <w:tc>
          <w:tcPr>
            <w:tcW w:w="2440" w:type="dxa"/>
          </w:tcPr>
          <w:p>
            <w:pPr>
              <w:pStyle w:val="Compact"/>
              <w:jc w:val="left"/>
            </w:pPr>
            <w:r>
              <w:t xml:space="preserve">Ocean freight</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800</w:t>
            </w:r>
          </w:p>
        </w:tc>
      </w:tr>
      <w:tr>
        <w:tc>
          <w:tcPr>
            <w:tcW w:w="2440" w:type="dxa"/>
          </w:tcPr>
          <w:p>
            <w:pPr>
              <w:pStyle w:val="Compact"/>
              <w:jc w:val="left"/>
            </w:pPr>
            <w:r>
              <w:t xml:space="preserve">Insurance</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50</w:t>
            </w:r>
          </w:p>
        </w:tc>
      </w:tr>
      <w:tr>
        <w:tc>
          <w:tcPr>
            <w:tcW w:w="2440" w:type="dxa"/>
          </w:tcPr>
          <w:p>
            <w:pPr>
              <w:pStyle w:val="Compact"/>
              <w:jc w:val="left"/>
            </w:pPr>
            <w:r>
              <w:t xml:space="preserve">Customs value</w:t>
            </w:r>
          </w:p>
        </w:tc>
        <w:tc>
          <w:tcPr>
            <w:tcW w:w="1380" w:type="dxa"/>
          </w:tcPr>
          <w:p>
            <w:pPr>
              <w:pStyle w:val="Compact"/>
              <w:jc w:val="left"/>
            </w:pPr>
            <w:r>
              <w:t xml:space="preserve">11,000</w:t>
            </w:r>
          </w:p>
        </w:tc>
        <w:tc>
          <w:tcPr>
            <w:tcW w:w="3209" w:type="dxa"/>
          </w:tcPr>
          <w:p>
            <w:pPr>
              <w:pStyle w:val="Compact"/>
              <w:jc w:val="left"/>
            </w:pPr>
            <w:r>
              <w:t xml:space="preserve">11,000</w:t>
            </w:r>
          </w:p>
        </w:tc>
        <w:tc>
          <w:tcPr>
            <w:tcW w:w="2330" w:type="dxa"/>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p>
      <w:pPr>
        <w:pStyle w:val="FirstParagraph"/>
      </w:pPr>
      <w:r>
        <w:t xml:space="preserve">Watch first: the 2-minute video</w:t>
      </w:r>
      <w:r>
        <w:t xml:space="preserve"> </w:t>
      </w:r>
      <w:r>
        <w:rPr>
          <w:iCs/>
          <w:i/>
        </w:rPr>
        <w:t xml:space="preserve">Does it qualify? USMCA origin with a bill of materials</w:t>
      </w:r>
      <w:r>
        <w:t xml:space="preserve"> </w:t>
      </w:r>
      <w:r>
        <w:t xml:space="preserve">— [COMPANY: Stream link]. It walks the PK-100 example from Section 10.8 step by step.</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dxa" w:w="9360"/>
        <w:tblLook w:firstRow="1" w:lastRow="0" w:firstColumn="0" w:lastColumn="0" w:noHBand="0" w:noVBand="0" w:val="0020"/>
        <w:jc w:val="start"/>
        <w:tblLayout w:type="fixed"/>
      </w:tblPr>
      <w:tblGrid>
        <w:gridCol w:w="2184"/>
        <w:gridCol w:w="5023"/>
        <w:gridCol w:w="2151"/>
      </w:tblGrid>
      <w:tr>
        <w:trPr>
          <w:tblHeader w:val="true"/>
        </w:trPr>
        <w:tc>
          <w:tcPr>
            <w:tcW w:w="2184" w:type="dxa"/>
          </w:tcPr>
          <w:p>
            <w:pPr>
              <w:pStyle w:val="Compact"/>
              <w:jc w:val="left"/>
            </w:pPr>
            <w:r>
              <w:t xml:space="preserve">Purpose</w:t>
            </w:r>
          </w:p>
        </w:tc>
        <w:tc>
          <w:tcPr>
            <w:tcW w:w="5023" w:type="dxa"/>
          </w:tcPr>
          <w:p>
            <w:pPr>
              <w:pStyle w:val="Compact"/>
              <w:jc w:val="left"/>
            </w:pPr>
            <w:r>
              <w:t xml:space="preserve">Rule used</w:t>
            </w:r>
          </w:p>
        </w:tc>
        <w:tc>
          <w:tcPr>
            <w:tcW w:w="2151" w:type="dxa"/>
          </w:tcPr>
          <w:p>
            <w:pPr>
              <w:pStyle w:val="Compact"/>
              <w:jc w:val="left"/>
            </w:pPr>
            <w:r>
              <w:t xml:space="preserve">Example</w:t>
            </w:r>
          </w:p>
        </w:tc>
      </w:tr>
      <w:tr>
        <w:tc>
          <w:tcPr>
            <w:tcW w:w="2184" w:type="dxa"/>
          </w:tcPr>
          <w:p>
            <w:pPr>
              <w:pStyle w:val="Compact"/>
              <w:jc w:val="left"/>
            </w:pPr>
            <w:r>
              <w:t xml:space="preserve">Preferential duty under USMCA</w:t>
            </w:r>
          </w:p>
        </w:tc>
        <w:tc>
          <w:tcPr>
            <w:tcW w:w="5023" w:type="dxa"/>
          </w:tcPr>
          <w:p>
            <w:pPr>
              <w:pStyle w:val="Compact"/>
              <w:jc w:val="left"/>
            </w:pPr>
            <w:r>
              <w:t xml:space="preserve">USMCA Chapter 4 and the product-specific rules in Annex 4-B (in the US, also General Note 11 of the HTSUS and 19 CFR Part 182)</w:t>
            </w:r>
          </w:p>
        </w:tc>
        <w:tc>
          <w:tcPr>
            <w:tcW w:w="2151" w:type="dxa"/>
          </w:tcPr>
          <w:p>
            <w:pPr>
              <w:pStyle w:val="Compact"/>
              <w:jc w:val="left"/>
            </w:pPr>
            <w:r>
              <w:t xml:space="preserve">Does the pump qualify for the USMCA rate?</w:t>
            </w:r>
          </w:p>
        </w:tc>
      </w:tr>
      <w:tr>
        <w:tc>
          <w:tcPr>
            <w:tcW w:w="2184" w:type="dxa"/>
          </w:tcPr>
          <w:p>
            <w:pPr>
              <w:pStyle w:val="Compact"/>
              <w:jc w:val="left"/>
            </w:pPr>
            <w:r>
              <w:t xml:space="preserve">US country-of-origin marking</w:t>
            </w:r>
          </w:p>
        </w:tc>
        <w:tc>
          <w:tcPr>
            <w:tcW w:w="5023" w:type="dxa"/>
          </w:tcPr>
          <w:p>
            <w:pPr>
              <w:pStyle w:val="Compact"/>
              <w:jc w:val="left"/>
            </w:pPr>
            <w:r>
              <w:t xml:space="preserve">19 U.S.C. 1304 and 19 CFR Part 134. For goods imported from Canada or Mexico, origin for marking is decided by the tariff-shift rules in 19 CFR Part 102</w:t>
            </w:r>
          </w:p>
        </w:tc>
        <w:tc>
          <w:tcPr>
            <w:tcW w:w="2151" w:type="dxa"/>
          </w:tcPr>
          <w:p>
            <w:pPr>
              <w:pStyle w:val="Compact"/>
              <w:jc w:val="left"/>
            </w:pPr>
            <w:r>
              <w:t xml:space="preserve">Must the box say "Made in Mexico"?</w:t>
            </w:r>
          </w:p>
        </w:tc>
      </w:tr>
      <w:tr>
        <w:tc>
          <w:tcPr>
            <w:tcW w:w="2184" w:type="dxa"/>
          </w:tcPr>
          <w:p>
            <w:pPr>
              <w:pStyle w:val="Compact"/>
              <w:jc w:val="left"/>
            </w:pPr>
            <w:r>
              <w:t xml:space="preserve">Additional duties tied to a country</w:t>
            </w:r>
          </w:p>
        </w:tc>
        <w:tc>
          <w:tcPr>
            <w:tcW w:w="5023" w:type="dxa"/>
          </w:tcPr>
          <w:p>
            <w:pPr>
              <w:pStyle w:val="Compact"/>
              <w:jc w:val="left"/>
            </w:pPr>
            <w:r>
              <w:t xml:space="preserve">Non-preferential origin, usually "substantial transformation" (a new article with a new name, character or use), unless the action's legal text says otherwise</w:t>
            </w:r>
          </w:p>
        </w:tc>
        <w:tc>
          <w:tcPr>
            <w:tcW w:w="2151" w:type="dxa"/>
          </w:tcPr>
          <w:p>
            <w:pPr>
              <w:pStyle w:val="Compact"/>
              <w:jc w:val="left"/>
            </w:pPr>
            <w:r>
              <w:t xml:space="preserve">Is this item "of China" for an additional duty?</w:t>
            </w:r>
          </w:p>
        </w:tc>
      </w:tr>
      <w:tr>
        <w:tc>
          <w:tcPr>
            <w:tcW w:w="2184" w:type="dxa"/>
          </w:tcPr>
          <w:p>
            <w:pPr>
              <w:pStyle w:val="Compact"/>
              <w:jc w:val="left"/>
            </w:pPr>
            <w:r>
              <w:t xml:space="preserve">Statistics and AD/CVD scope</w:t>
            </w:r>
          </w:p>
        </w:tc>
        <w:tc>
          <w:tcPr>
            <w:tcW w:w="5023" w:type="dxa"/>
          </w:tcPr>
          <w:p>
            <w:pPr>
              <w:pStyle w:val="Compact"/>
              <w:jc w:val="left"/>
            </w:pPr>
            <w:r>
              <w:t xml:space="preserve">Non-preferential origin and the order's scope</w:t>
            </w:r>
          </w:p>
        </w:tc>
        <w:tc>
          <w:tcPr>
            <w:tcW w:w="2151" w:type="dxa"/>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(if it meets the Part 102 tariff shift) and, separately, for a China-specific additional duty (if the assembly is a substantial transformation, or meets whatever origin rule the action's text sets), yet still fail the USMCA product-specific rule. Each answer comes from a different test.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dxa" w:w="9360"/>
        <w:tblLook w:firstRow="1" w:lastRow="0" w:firstColumn="0" w:lastColumn="0" w:noHBand="0" w:noVBand="0" w:val="0020"/>
        <w:jc w:val="start"/>
        <w:tblLayout w:type="fixed"/>
      </w:tblPr>
      <w:tblGrid>
        <w:gridCol w:w="1610"/>
        <w:gridCol w:w="2858"/>
        <w:gridCol w:w="2730"/>
        <w:gridCol w:w="2161"/>
      </w:tblGrid>
      <w:tr>
        <w:trPr>
          <w:tblHeader w:val="true"/>
        </w:trPr>
        <w:tc>
          <w:tcPr>
            <w:tcW w:w="1610" w:type="dxa"/>
          </w:tcPr>
          <w:p>
            <w:pPr>
              <w:pStyle w:val="Compact"/>
              <w:jc w:val="left"/>
            </w:pPr>
            <w:r>
              <w:t xml:space="preserve">Rule type</w:t>
            </w:r>
          </w:p>
        </w:tc>
        <w:tc>
          <w:tcPr>
            <w:tcW w:w="2858" w:type="dxa"/>
          </w:tcPr>
          <w:p>
            <w:pPr>
              <w:pStyle w:val="Compact"/>
              <w:jc w:val="left"/>
            </w:pPr>
            <w:r>
              <w:t xml:space="preserve">How the rule reads</w:t>
            </w:r>
          </w:p>
        </w:tc>
        <w:tc>
          <w:tcPr>
            <w:tcW w:w="2730" w:type="dxa"/>
          </w:tcPr>
          <w:p>
            <w:pPr>
              <w:pStyle w:val="Compact"/>
              <w:jc w:val="left"/>
            </w:pPr>
            <w:r>
              <w:t xml:space="preserve">The test</w:t>
            </w:r>
          </w:p>
        </w:tc>
        <w:tc>
          <w:tcPr>
            <w:tcW w:w="2161" w:type="dxa"/>
          </w:tcPr>
          <w:p>
            <w:pPr>
              <w:pStyle w:val="Compact"/>
              <w:jc w:val="left"/>
            </w:pPr>
            <w:r>
              <w:t xml:space="preserve">Data you need</w:t>
            </w:r>
          </w:p>
        </w:tc>
      </w:tr>
      <w:tr>
        <w:tc>
          <w:tcPr>
            <w:tcW w:w="1610" w:type="dxa"/>
          </w:tcPr>
          <w:p>
            <w:pPr>
              <w:pStyle w:val="Compact"/>
              <w:jc w:val="left"/>
            </w:pPr>
            <w:r>
              <w:t xml:space="preserve">Change of chapter (CC)</w:t>
            </w:r>
          </w:p>
        </w:tc>
        <w:tc>
          <w:tcPr>
            <w:tcW w:w="2858" w:type="dxa"/>
          </w:tcPr>
          <w:p>
            <w:pPr>
              <w:pStyle w:val="Compact"/>
              <w:jc w:val="left"/>
            </w:pPr>
            <w:r>
              <w:t xml:space="preserve">"A change to heading X from any other chapter"</w:t>
            </w:r>
          </w:p>
        </w:tc>
        <w:tc>
          <w:tcPr>
            <w:tcW w:w="2730" w:type="dxa"/>
          </w:tcPr>
          <w:p>
            <w:pPr>
              <w:pStyle w:val="Compact"/>
              <w:jc w:val="left"/>
            </w:pPr>
            <w:r>
              <w:t xml:space="preserve">Every non-originating material is classified in a different 2-digit chapter than the good</w:t>
            </w:r>
          </w:p>
        </w:tc>
        <w:tc>
          <w:tcPr>
            <w:tcW w:w="2161" w:type="dxa"/>
          </w:tcPr>
          <w:p>
            <w:pPr>
              <w:pStyle w:val="Compact"/>
              <w:jc w:val="left"/>
            </w:pPr>
            <w:r>
              <w:t xml:space="preserve">HS code of the good and of each non-originating material</w:t>
            </w:r>
          </w:p>
        </w:tc>
      </w:tr>
      <w:tr>
        <w:tc>
          <w:tcPr>
            <w:tcW w:w="1610" w:type="dxa"/>
          </w:tcPr>
          <w:p>
            <w:pPr>
              <w:pStyle w:val="Compact"/>
              <w:jc w:val="left"/>
            </w:pPr>
            <w:r>
              <w:t xml:space="preserve">Change of heading (CTH)</w:t>
            </w:r>
          </w:p>
        </w:tc>
        <w:tc>
          <w:tcPr>
            <w:tcW w:w="2858" w:type="dxa"/>
          </w:tcPr>
          <w:p>
            <w:pPr>
              <w:pStyle w:val="Compact"/>
              <w:jc w:val="left"/>
            </w:pPr>
            <w:r>
              <w:t xml:space="preserve">"A change to heading X from any other heading"</w:t>
            </w:r>
          </w:p>
        </w:tc>
        <w:tc>
          <w:tcPr>
            <w:tcW w:w="2730" w:type="dxa"/>
          </w:tcPr>
          <w:p>
            <w:pPr>
              <w:pStyle w:val="Compact"/>
              <w:jc w:val="left"/>
            </w:pPr>
            <w:r>
              <w:t xml:space="preserve">Every non-originating material is in a different 4-digit heading</w:t>
            </w:r>
          </w:p>
        </w:tc>
        <w:tc>
          <w:tcPr>
            <w:tcW w:w="2161" w:type="dxa"/>
          </w:tcPr>
          <w:p>
            <w:pPr>
              <w:pStyle w:val="Compact"/>
              <w:jc w:val="left"/>
            </w:pPr>
            <w:r>
              <w:t xml:space="preserve">Same</w:t>
            </w:r>
          </w:p>
        </w:tc>
      </w:tr>
      <w:tr>
        <w:tc>
          <w:tcPr>
            <w:tcW w:w="1610" w:type="dxa"/>
          </w:tcPr>
          <w:p>
            <w:pPr>
              <w:pStyle w:val="Compact"/>
              <w:jc w:val="left"/>
            </w:pPr>
            <w:r>
              <w:t xml:space="preserve">Change of subheading (CTSH)</w:t>
            </w:r>
          </w:p>
        </w:tc>
        <w:tc>
          <w:tcPr>
            <w:tcW w:w="2858" w:type="dxa"/>
          </w:tcPr>
          <w:p>
            <w:pPr>
              <w:pStyle w:val="Compact"/>
              <w:jc w:val="left"/>
            </w:pPr>
            <w:r>
              <w:t xml:space="preserve">"A change to subheading X from any other subheading"</w:t>
            </w:r>
          </w:p>
        </w:tc>
        <w:tc>
          <w:tcPr>
            <w:tcW w:w="2730" w:type="dxa"/>
          </w:tcPr>
          <w:p>
            <w:pPr>
              <w:pStyle w:val="Compact"/>
              <w:jc w:val="left"/>
            </w:pPr>
            <w:r>
              <w:t xml:space="preserve">Every non-originating material is in a different 6-digit subheading</w:t>
            </w:r>
          </w:p>
        </w:tc>
        <w:tc>
          <w:tcPr>
            <w:tcW w:w="2161" w:type="dxa"/>
          </w:tcPr>
          <w:p>
            <w:pPr>
              <w:pStyle w:val="Compact"/>
              <w:jc w:val="left"/>
            </w:pPr>
            <w:r>
              <w:t xml:space="preserve">Same</w:t>
            </w:r>
          </w:p>
        </w:tc>
      </w:tr>
      <w:tr>
        <w:tc>
          <w:tcPr>
            <w:tcW w:w="1610" w:type="dxa"/>
          </w:tcPr>
          <w:p>
            <w:pPr>
              <w:pStyle w:val="Compact"/>
              <w:jc w:val="left"/>
            </w:pPr>
            <w:r>
              <w:t xml:space="preserve">Exceptions</w:t>
            </w:r>
          </w:p>
        </w:tc>
        <w:tc>
          <w:tcPr>
            <w:tcW w:w="2858" w:type="dxa"/>
          </w:tcPr>
          <w:p>
            <w:pPr>
              <w:pStyle w:val="Compact"/>
              <w:jc w:val="left"/>
            </w:pPr>
            <w:r>
              <w:t xml:space="preserve">"...from any other heading, except from heading Y"</w:t>
            </w:r>
          </w:p>
        </w:tc>
        <w:tc>
          <w:tcPr>
            <w:tcW w:w="2730" w:type="dxa"/>
          </w:tcPr>
          <w:p>
            <w:pPr>
              <w:pStyle w:val="Compact"/>
              <w:jc w:val="left"/>
            </w:pPr>
            <w:r>
              <w:t xml:space="preserve">Non-originating materials from the excepted codes are not allowed</w:t>
            </w:r>
          </w:p>
        </w:tc>
        <w:tc>
          <w:tcPr>
            <w:tcW w:w="2161" w:type="dxa"/>
          </w:tcPr>
          <w:p>
            <w:pPr>
              <w:pStyle w:val="Compact"/>
              <w:jc w:val="left"/>
            </w:pPr>
            <w:r>
              <w:t xml:space="preserve">Same, read carefully</w:t>
            </w:r>
          </w:p>
        </w:tc>
      </w:tr>
      <w:tr>
        <w:tc>
          <w:tcPr>
            <w:tcW w:w="1610" w:type="dxa"/>
          </w:tcPr>
          <w:p>
            <w:pPr>
              <w:pStyle w:val="Compact"/>
              <w:jc w:val="left"/>
            </w:pPr>
            <w:r>
              <w:t xml:space="preserve">Regional value content (RVC)</w:t>
            </w:r>
          </w:p>
        </w:tc>
        <w:tc>
          <w:tcPr>
            <w:tcW w:w="2858" w:type="dxa"/>
          </w:tcPr>
          <w:p>
            <w:pPr>
              <w:pStyle w:val="Compact"/>
              <w:jc w:val="left"/>
            </w:pPr>
            <w:r>
              <w:t xml:space="preserve">"...provided there is a regional value content of not less than N percent under the transaction value method, or not less than M percent under the net cost method"</w:t>
            </w:r>
          </w:p>
        </w:tc>
        <w:tc>
          <w:tcPr>
            <w:tcW w:w="2730" w:type="dxa"/>
          </w:tcPr>
          <w:p>
            <w:pPr>
              <w:pStyle w:val="Compact"/>
              <w:jc w:val="left"/>
            </w:pPr>
            <w:r>
              <w:t xml:space="preserve">The share of regional value meets the threshold</w:t>
            </w:r>
          </w:p>
        </w:tc>
        <w:tc>
          <w:tcPr>
            <w:tcW w:w="2161" w:type="dxa"/>
          </w:tcPr>
          <w:p>
            <w:pPr>
              <w:pStyle w:val="Compact"/>
              <w:jc w:val="left"/>
            </w:pPr>
            <w:r>
              <w:t xml:space="preserve">Value of the good, value of non-originating materials, and for net cost, the producer's cost data</w:t>
            </w:r>
          </w:p>
        </w:tc>
      </w:tr>
      <w:tr>
        <w:tc>
          <w:tcPr>
            <w:tcW w:w="1610" w:type="dxa"/>
          </w:tcPr>
          <w:p>
            <w:pPr>
              <w:pStyle w:val="Compact"/>
              <w:jc w:val="left"/>
            </w:pPr>
            <w:r>
              <w:t xml:space="preserve">Alternatives</w:t>
            </w:r>
          </w:p>
        </w:tc>
        <w:tc>
          <w:tcPr>
            <w:tcW w:w="2858" w:type="dxa"/>
          </w:tcPr>
          <w:p>
            <w:pPr>
              <w:pStyle w:val="Compact"/>
              <w:jc w:val="left"/>
            </w:pPr>
            <w:r>
              <w:t xml:space="preserve">Two rules joined by "or"</w:t>
            </w:r>
          </w:p>
        </w:tc>
        <w:tc>
          <w:tcPr>
            <w:tcW w:w="2730" w:type="dxa"/>
          </w:tcPr>
          <w:p>
            <w:pPr>
              <w:pStyle w:val="Compact"/>
              <w:jc w:val="left"/>
            </w:pPr>
            <w:r>
              <w:t xml:space="preserve">Meeting either one is enough</w:t>
            </w:r>
          </w:p>
        </w:tc>
        <w:tc>
          <w:tcPr>
            <w:tcW w:w="2161" w:type="dxa"/>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(Art. 4.18: the good must not be processed outside the region after qualifying), and non-qualifying operations (Art. 4.19: mere dilution with water or another substance, or a production or pricing practice designed to circumvent the chapter). Do not confuse the Art. 4.19 list with the 19 CFR 102.17 list (simple packing, repacking, retail packaging), which applies to US marking origin, not to USMCA preference.</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4.17). Except where Annex 4-B provides otherwise, a set classified under GRI 3 is originating only if every good in the set is originating; alternatively, the set is originating if the value of all the non-originating goods in it does not exceed 10 percent of the value of the set. Both the set and its goods must meet the other Chapter 4 requirements. 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Retail tool kit KT-200, classified as a set under GRI 3(b), value US$50.00: a drill (originating, US$35.00), a case (originating, US$8.00), a manual (originating, US$3.00)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US$7.00 (set value US$53.00):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dxa" w:w="9360"/>
        <w:tblLook w:firstRow="1" w:lastRow="0" w:firstColumn="0" w:lastColumn="0" w:noHBand="0" w:noVBand="0" w:val="0020"/>
        <w:jc w:val="start"/>
        <w:tblLayout w:type="fixed"/>
      </w:tblPr>
      <w:tblGrid>
        <w:gridCol w:w="955"/>
        <w:gridCol w:w="5964"/>
        <w:gridCol w:w="2439"/>
      </w:tblGrid>
      <w:tr>
        <w:trPr>
          <w:tblHeader w:val="true"/>
        </w:trPr>
        <w:tc>
          <w:tcPr>
            <w:tcW w:w="955" w:type="dxa"/>
          </w:tcPr>
          <w:p>
            <w:pPr>
              <w:pStyle w:val="Compact"/>
              <w:jc w:val="left"/>
            </w:pPr>
            <w:r>
              <w:t xml:space="preserve">No.</w:t>
            </w:r>
          </w:p>
        </w:tc>
        <w:tc>
          <w:tcPr>
            <w:tcW w:w="5964" w:type="dxa"/>
          </w:tcPr>
          <w:p>
            <w:pPr>
              <w:pStyle w:val="Compact"/>
              <w:jc w:val="left"/>
            </w:pPr>
            <w:r>
              <w:t xml:space="preserve">Minimum data element (Annex 5-A)</w:t>
            </w:r>
          </w:p>
        </w:tc>
        <w:tc>
          <w:tcPr>
            <w:tcW w:w="2439" w:type="dxa"/>
          </w:tcPr>
          <w:p>
            <w:pPr>
              <w:pStyle w:val="Compact"/>
              <w:jc w:val="left"/>
            </w:pPr>
            <w:r>
              <w:t xml:space="preserve">Where it comes from</w:t>
            </w:r>
          </w:p>
        </w:tc>
      </w:tr>
      <w:tr>
        <w:tc>
          <w:tcPr>
            <w:tcW w:w="955" w:type="dxa"/>
          </w:tcPr>
          <w:p>
            <w:pPr>
              <w:pStyle w:val="Compact"/>
              <w:jc w:val="left"/>
            </w:pPr>
            <w:r>
              <w:t xml:space="preserve">1</w:t>
            </w:r>
          </w:p>
        </w:tc>
        <w:tc>
          <w:tcPr>
            <w:tcW w:w="5964" w:type="dxa"/>
          </w:tcPr>
          <w:p>
            <w:pPr>
              <w:pStyle w:val="Compact"/>
              <w:jc w:val="left"/>
            </w:pPr>
            <w:r>
              <w:t xml:space="preserve">Certifier role: importer, exporter or producer</w:t>
            </w:r>
          </w:p>
        </w:tc>
        <w:tc>
          <w:tcPr>
            <w:tcW w:w="2439" w:type="dxa"/>
          </w:tcPr>
          <w:p>
            <w:pPr>
              <w:pStyle w:val="Compact"/>
              <w:jc w:val="left"/>
            </w:pPr>
            <w:r>
              <w:t xml:space="preserve">Who signs</w:t>
            </w:r>
          </w:p>
        </w:tc>
      </w:tr>
      <w:tr>
        <w:tc>
          <w:tcPr>
            <w:tcW w:w="955" w:type="dxa"/>
          </w:tcPr>
          <w:p>
            <w:pPr>
              <w:pStyle w:val="Compact"/>
              <w:jc w:val="left"/>
            </w:pPr>
            <w:r>
              <w:t xml:space="preserve">2</w:t>
            </w:r>
          </w:p>
        </w:tc>
        <w:tc>
          <w:tcPr>
            <w:tcW w:w="5964" w:type="dxa"/>
          </w:tcPr>
          <w:p>
            <w:pPr>
              <w:pStyle w:val="Compact"/>
              <w:jc w:val="left"/>
            </w:pPr>
            <w:r>
              <w:t xml:space="preserve">Certifier: name, title, address, phone, email</w:t>
            </w:r>
          </w:p>
        </w:tc>
        <w:tc>
          <w:tcPr>
            <w:tcW w:w="2439" w:type="dxa"/>
          </w:tcPr>
          <w:p>
            <w:pPr>
              <w:pStyle w:val="Compact"/>
              <w:jc w:val="left"/>
            </w:pPr>
            <w:r>
              <w:t xml:space="preserve">Certifier</w:t>
            </w:r>
          </w:p>
        </w:tc>
      </w:tr>
      <w:tr>
        <w:tc>
          <w:tcPr>
            <w:tcW w:w="955" w:type="dxa"/>
          </w:tcPr>
          <w:p>
            <w:pPr>
              <w:pStyle w:val="Compact"/>
              <w:jc w:val="left"/>
            </w:pPr>
            <w:r>
              <w:t xml:space="preserve">3</w:t>
            </w:r>
          </w:p>
        </w:tc>
        <w:tc>
          <w:tcPr>
            <w:tcW w:w="5964" w:type="dxa"/>
          </w:tcPr>
          <w:p>
            <w:pPr>
              <w:pStyle w:val="Compact"/>
              <w:jc w:val="left"/>
            </w:pPr>
            <w:r>
              <w:t xml:space="preserve">Exporter: name, address, contact</w:t>
            </w:r>
          </w:p>
        </w:tc>
        <w:tc>
          <w:tcPr>
            <w:tcW w:w="2439" w:type="dxa"/>
          </w:tcPr>
          <w:p>
            <w:pPr>
              <w:pStyle w:val="Compact"/>
              <w:jc w:val="left"/>
            </w:pPr>
            <w:r>
              <w:t xml:space="preserve">Supplier master [COMPANY]</w:t>
            </w:r>
          </w:p>
        </w:tc>
      </w:tr>
      <w:tr>
        <w:tc>
          <w:tcPr>
            <w:tcW w:w="955" w:type="dxa"/>
          </w:tcPr>
          <w:p>
            <w:pPr>
              <w:pStyle w:val="Compact"/>
              <w:jc w:val="left"/>
            </w:pPr>
            <w:r>
              <w:t xml:space="preserve">4</w:t>
            </w:r>
          </w:p>
        </w:tc>
        <w:tc>
          <w:tcPr>
            <w:tcW w:w="5964" w:type="dxa"/>
          </w:tcPr>
          <w:p>
            <w:pPr>
              <w:pStyle w:val="Compact"/>
              <w:jc w:val="left"/>
            </w:pPr>
            <w:r>
              <w:t xml:space="preserve">Producer: name, address, contact (or "various" or "available upon request" in some cases)</w:t>
            </w:r>
          </w:p>
        </w:tc>
        <w:tc>
          <w:tcPr>
            <w:tcW w:w="2439" w:type="dxa"/>
          </w:tcPr>
          <w:p>
            <w:pPr>
              <w:pStyle w:val="Compact"/>
              <w:jc w:val="left"/>
            </w:pPr>
            <w:r>
              <w:t xml:space="preserve">Supplier or producer</w:t>
            </w:r>
          </w:p>
        </w:tc>
      </w:tr>
      <w:tr>
        <w:tc>
          <w:tcPr>
            <w:tcW w:w="955" w:type="dxa"/>
          </w:tcPr>
          <w:p>
            <w:pPr>
              <w:pStyle w:val="Compact"/>
              <w:jc w:val="left"/>
            </w:pPr>
            <w:r>
              <w:t xml:space="preserve">5</w:t>
            </w:r>
          </w:p>
        </w:tc>
        <w:tc>
          <w:tcPr>
            <w:tcW w:w="5964" w:type="dxa"/>
          </w:tcPr>
          <w:p>
            <w:pPr>
              <w:pStyle w:val="Compact"/>
              <w:jc w:val="left"/>
            </w:pPr>
            <w:r>
              <w:t xml:space="preserve">Importer: name, address, contact</w:t>
            </w:r>
          </w:p>
        </w:tc>
        <w:tc>
          <w:tcPr>
            <w:tcW w:w="2439" w:type="dxa"/>
          </w:tcPr>
          <w:p>
            <w:pPr>
              <w:pStyle w:val="Compact"/>
              <w:jc w:val="left"/>
            </w:pPr>
            <w:r>
              <w:t xml:space="preserve">Us</w:t>
            </w:r>
          </w:p>
        </w:tc>
      </w:tr>
      <w:tr>
        <w:tc>
          <w:tcPr>
            <w:tcW w:w="955" w:type="dxa"/>
          </w:tcPr>
          <w:p>
            <w:pPr>
              <w:pStyle w:val="Compact"/>
              <w:jc w:val="left"/>
            </w:pPr>
            <w:r>
              <w:t xml:space="preserve">6</w:t>
            </w:r>
          </w:p>
        </w:tc>
        <w:tc>
          <w:tcPr>
            <w:tcW w:w="5964" w:type="dxa"/>
          </w:tcPr>
          <w:p>
            <w:pPr>
              <w:pStyle w:val="Compact"/>
              <w:jc w:val="left"/>
            </w:pPr>
            <w:r>
              <w:t xml:space="preserve">Description of the good and its 6-digit HS classification</w:t>
            </w:r>
          </w:p>
        </w:tc>
        <w:tc>
          <w:tcPr>
            <w:tcW w:w="2439" w:type="dxa"/>
          </w:tcPr>
          <w:p>
            <w:pPr>
              <w:pStyle w:val="Compact"/>
              <w:jc w:val="left"/>
            </w:pPr>
            <w:r>
              <w:t xml:space="preserve">Item master and classification</w:t>
            </w:r>
          </w:p>
        </w:tc>
      </w:tr>
      <w:tr>
        <w:tc>
          <w:tcPr>
            <w:tcW w:w="955" w:type="dxa"/>
          </w:tcPr>
          <w:p>
            <w:pPr>
              <w:pStyle w:val="Compact"/>
              <w:jc w:val="left"/>
            </w:pPr>
            <w:r>
              <w:t xml:space="preserve">7</w:t>
            </w:r>
          </w:p>
        </w:tc>
        <w:tc>
          <w:tcPr>
            <w:tcW w:w="5964" w:type="dxa"/>
          </w:tcPr>
          <w:p>
            <w:pPr>
              <w:pStyle w:val="Compact"/>
              <w:jc w:val="left"/>
            </w:pPr>
            <w:r>
              <w:t xml:space="preserve">Origin criterion (A, B, C or D)</w:t>
            </w:r>
          </w:p>
        </w:tc>
        <w:tc>
          <w:tcPr>
            <w:tcW w:w="2439" w:type="dxa"/>
          </w:tcPr>
          <w:p>
            <w:pPr>
              <w:pStyle w:val="Compact"/>
              <w:jc w:val="left"/>
            </w:pPr>
            <w:r>
              <w:t xml:space="preserve">Qualification result</w:t>
            </w:r>
          </w:p>
        </w:tc>
      </w:tr>
      <w:tr>
        <w:tc>
          <w:tcPr>
            <w:tcW w:w="955" w:type="dxa"/>
          </w:tcPr>
          <w:p>
            <w:pPr>
              <w:pStyle w:val="Compact"/>
              <w:jc w:val="left"/>
            </w:pPr>
            <w:r>
              <w:t xml:space="preserve">8</w:t>
            </w:r>
          </w:p>
        </w:tc>
        <w:tc>
          <w:tcPr>
            <w:tcW w:w="5964" w:type="dxa"/>
          </w:tcPr>
          <w:p>
            <w:pPr>
              <w:pStyle w:val="Compact"/>
              <w:jc w:val="left"/>
            </w:pPr>
            <w:r>
              <w:t xml:space="preserve">Blanket period, if any</w:t>
            </w:r>
          </w:p>
        </w:tc>
        <w:tc>
          <w:tcPr>
            <w:tcW w:w="2439" w:type="dxa"/>
          </w:tcPr>
          <w:p>
            <w:pPr>
              <w:pStyle w:val="Compact"/>
              <w:jc w:val="left"/>
            </w:pPr>
            <w:r>
              <w:t xml:space="preserve">Certification record</w:t>
            </w:r>
          </w:p>
        </w:tc>
      </w:tr>
      <w:tr>
        <w:tc>
          <w:tcPr>
            <w:tcW w:w="955" w:type="dxa"/>
          </w:tcPr>
          <w:p>
            <w:pPr>
              <w:pStyle w:val="Compact"/>
              <w:jc w:val="left"/>
            </w:pPr>
            <w:r>
              <w:t xml:space="preserve">9</w:t>
            </w:r>
          </w:p>
        </w:tc>
        <w:tc>
          <w:tcPr>
            <w:tcW w:w="5964" w:type="dxa"/>
          </w:tcPr>
          <w:p>
            <w:pPr>
              <w:pStyle w:val="Compact"/>
              <w:jc w:val="left"/>
            </w:pPr>
            <w:r>
              <w:t xml:space="preserve">Authorized signature and date, with a statement that the information is true and accurate</w:t>
            </w:r>
          </w:p>
        </w:tc>
        <w:tc>
          <w:tcPr>
            <w:tcW w:w="2439" w:type="dxa"/>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on the entry summary line ("S+" only for certain agricultural and textile goods, Section 4.3);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19 CFR 182.31 to 182.33). An approved claim refunds the excess duty and the MPF paid on the originating goods: the Consolidated Appropriations Act, 2021 (Pub. L. 116-260) authorized MPF refunds on these claims, back-dated to 1 July 2020. CBP's earlier (July 2020) no-refund position is superseded, so ignore older guidance that says otherwise.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dxa" w:w="9360"/>
        <w:tblLook w:firstRow="1" w:lastRow="0" w:firstColumn="0" w:lastColumn="0" w:noHBand="0" w:noVBand="0" w:val="0020"/>
        <w:jc w:val="start"/>
        <w:tblLayout w:type="fixed"/>
      </w:tblPr>
      <w:tblGrid>
        <w:gridCol w:w="2084"/>
        <w:gridCol w:w="2020"/>
        <w:gridCol w:w="2745"/>
        <w:gridCol w:w="900"/>
        <w:gridCol w:w="1610"/>
      </w:tblGrid>
      <w:tr>
        <w:trPr>
          <w:tblHeader w:val="true"/>
        </w:trPr>
        <w:tc>
          <w:tcPr>
            <w:tcW w:w="2084" w:type="dxa"/>
          </w:tcPr>
          <w:p>
            <w:pPr>
              <w:pStyle w:val="Compact"/>
              <w:jc w:val="left"/>
            </w:pPr>
            <w:r>
              <w:t xml:space="preserve">Component</w:t>
            </w:r>
          </w:p>
        </w:tc>
        <w:tc>
          <w:tcPr>
            <w:tcW w:w="2020" w:type="dxa"/>
          </w:tcPr>
          <w:p>
            <w:pPr>
              <w:pStyle w:val="Compact"/>
              <w:jc w:val="left"/>
            </w:pPr>
            <w:r>
              <w:t xml:space="preserve">Classification (fictional)</w:t>
            </w:r>
          </w:p>
        </w:tc>
        <w:tc>
          <w:tcPr>
            <w:tcW w:w="2745" w:type="dxa"/>
          </w:tcPr>
          <w:p>
            <w:pPr>
              <w:pStyle w:val="Compact"/>
              <w:jc w:val="left"/>
            </w:pPr>
            <w:r>
              <w:t xml:space="preserve">Origin</w:t>
            </w:r>
          </w:p>
        </w:tc>
        <w:tc>
          <w:tcPr>
            <w:tcW w:w="900" w:type="dxa"/>
          </w:tcPr>
          <w:p>
            <w:pPr>
              <w:pStyle w:val="Compact"/>
              <w:jc w:val="left"/>
            </w:pPr>
            <w:r>
              <w:t xml:space="preserve">Value (US$)</w:t>
            </w:r>
          </w:p>
        </w:tc>
        <w:tc>
          <w:tcPr>
            <w:tcW w:w="1610" w:type="dxa"/>
          </w:tcPr>
          <w:p>
            <w:pPr>
              <w:pStyle w:val="Compact"/>
              <w:jc w:val="left"/>
            </w:pPr>
            <w:r>
              <w:t xml:space="preserve">Originating?</w:t>
            </w:r>
          </w:p>
        </w:tc>
      </w:tr>
      <w:tr>
        <w:tc>
          <w:tcPr>
            <w:tcW w:w="2084" w:type="dxa"/>
          </w:tcPr>
          <w:p>
            <w:pPr>
              <w:pStyle w:val="Compact"/>
              <w:jc w:val="left"/>
            </w:pPr>
            <w:r>
              <w:t xml:space="preserve">Motor</w:t>
            </w:r>
          </w:p>
        </w:tc>
        <w:tc>
          <w:tcPr>
            <w:tcW w:w="2020" w:type="dxa"/>
          </w:tcPr>
          <w:p>
            <w:pPr>
              <w:pStyle w:val="Compact"/>
              <w:jc w:val="left"/>
            </w:pPr>
            <w:r>
              <w:t xml:space="preserve">Heading 85.BB</w:t>
            </w:r>
          </w:p>
        </w:tc>
        <w:tc>
          <w:tcPr>
            <w:tcW w:w="2745" w:type="dxa"/>
          </w:tcPr>
          <w:p>
            <w:pPr>
              <w:pStyle w:val="Compact"/>
              <w:jc w:val="left"/>
            </w:pPr>
            <w:r>
              <w:t xml:space="preserve">China</w:t>
            </w:r>
          </w:p>
        </w:tc>
        <w:tc>
          <w:tcPr>
            <w:tcW w:w="900" w:type="dxa"/>
          </w:tcPr>
          <w:p>
            <w:pPr>
              <w:pStyle w:val="Compact"/>
              <w:jc w:val="left"/>
            </w:pPr>
            <w:r>
              <w:t xml:space="preserve">60.00</w:t>
            </w:r>
          </w:p>
        </w:tc>
        <w:tc>
          <w:tcPr>
            <w:tcW w:w="1610" w:type="dxa"/>
          </w:tcPr>
          <w:p>
            <w:pPr>
              <w:pStyle w:val="Compact"/>
              <w:jc w:val="left"/>
            </w:pPr>
            <w:r>
              <w:t xml:space="preserve">No</w:t>
            </w:r>
          </w:p>
        </w:tc>
      </w:tr>
      <w:tr>
        <w:tc>
          <w:tcPr>
            <w:tcW w:w="2084" w:type="dxa"/>
          </w:tcPr>
          <w:p>
            <w:pPr>
              <w:pStyle w:val="Compact"/>
              <w:jc w:val="left"/>
            </w:pPr>
            <w:r>
              <w:t xml:space="preserve">Pump housing</w:t>
            </w:r>
          </w:p>
        </w:tc>
        <w:tc>
          <w:tcPr>
            <w:tcW w:w="2020" w:type="dxa"/>
          </w:tcPr>
          <w:p>
            <w:pPr>
              <w:pStyle w:val="Compact"/>
              <w:jc w:val="left"/>
            </w:pPr>
            <w:r>
              <w:t xml:space="preserve">Heading 84.AA</w:t>
            </w:r>
          </w:p>
        </w:tc>
        <w:tc>
          <w:tcPr>
            <w:tcW w:w="2745" w:type="dxa"/>
          </w:tcPr>
          <w:p>
            <w:pPr>
              <w:pStyle w:val="Compact"/>
              <w:jc w:val="left"/>
            </w:pPr>
            <w:r>
              <w:t xml:space="preserve">Germany</w:t>
            </w:r>
          </w:p>
        </w:tc>
        <w:tc>
          <w:tcPr>
            <w:tcW w:w="900" w:type="dxa"/>
          </w:tcPr>
          <w:p>
            <w:pPr>
              <w:pStyle w:val="Compact"/>
              <w:jc w:val="left"/>
            </w:pPr>
            <w:r>
              <w:t xml:space="preserve">14.00</w:t>
            </w:r>
          </w:p>
        </w:tc>
        <w:tc>
          <w:tcPr>
            <w:tcW w:w="1610" w:type="dxa"/>
          </w:tcPr>
          <w:p>
            <w:pPr>
              <w:pStyle w:val="Compact"/>
              <w:jc w:val="left"/>
            </w:pPr>
            <w:r>
              <w:t xml:space="preserve">No</w:t>
            </w:r>
          </w:p>
        </w:tc>
      </w:tr>
      <w:tr>
        <w:tc>
          <w:tcPr>
            <w:tcW w:w="2084" w:type="dxa"/>
          </w:tcPr>
          <w:p>
            <w:pPr>
              <w:pStyle w:val="Compact"/>
              <w:jc w:val="left"/>
            </w:pPr>
            <w:r>
              <w:t xml:space="preserve">Impeller</w:t>
            </w:r>
          </w:p>
        </w:tc>
        <w:tc>
          <w:tcPr>
            <w:tcW w:w="2020" w:type="dxa"/>
          </w:tcPr>
          <w:p>
            <w:pPr>
              <w:pStyle w:val="Compact"/>
              <w:jc w:val="left"/>
            </w:pPr>
            <w:r>
              <w:t xml:space="preserve">Heading 84.AA</w:t>
            </w:r>
          </w:p>
        </w:tc>
        <w:tc>
          <w:tcPr>
            <w:tcW w:w="2745" w:type="dxa"/>
          </w:tcPr>
          <w:p>
            <w:pPr>
              <w:pStyle w:val="Compact"/>
              <w:jc w:val="left"/>
            </w:pPr>
            <w:r>
              <w:t xml:space="preserve">Mexico, supplier certification on file</w:t>
            </w:r>
          </w:p>
        </w:tc>
        <w:tc>
          <w:tcPr>
            <w:tcW w:w="900" w:type="dxa"/>
          </w:tcPr>
          <w:p>
            <w:pPr>
              <w:pStyle w:val="Compact"/>
              <w:jc w:val="left"/>
            </w:pPr>
            <w:r>
              <w:t xml:space="preserve">20.00</w:t>
            </w:r>
          </w:p>
        </w:tc>
        <w:tc>
          <w:tcPr>
            <w:tcW w:w="1610" w:type="dxa"/>
          </w:tcPr>
          <w:p>
            <w:pPr>
              <w:pStyle w:val="Compact"/>
              <w:jc w:val="left"/>
            </w:pPr>
            <w:r>
              <w:t xml:space="preserve">Yes</w:t>
            </w:r>
          </w:p>
        </w:tc>
      </w:tr>
      <w:tr>
        <w:tc>
          <w:tcPr>
            <w:tcW w:w="2084" w:type="dxa"/>
          </w:tcPr>
          <w:p>
            <w:pPr>
              <w:pStyle w:val="Compact"/>
              <w:jc w:val="left"/>
            </w:pPr>
            <w:r>
              <w:t xml:space="preserve">Fasteners</w:t>
            </w:r>
          </w:p>
        </w:tc>
        <w:tc>
          <w:tcPr>
            <w:tcW w:w="2020" w:type="dxa"/>
          </w:tcPr>
          <w:p>
            <w:pPr>
              <w:pStyle w:val="Compact"/>
              <w:jc w:val="left"/>
            </w:pPr>
            <w:r>
              <w:t xml:space="preserve">Heading 73.CC</w:t>
            </w:r>
          </w:p>
        </w:tc>
        <w:tc>
          <w:tcPr>
            <w:tcW w:w="2745" w:type="dxa"/>
          </w:tcPr>
          <w:p>
            <w:pPr>
              <w:pStyle w:val="Compact"/>
              <w:jc w:val="left"/>
            </w:pPr>
            <w:r>
              <w:t xml:space="preserve">China</w:t>
            </w:r>
          </w:p>
        </w:tc>
        <w:tc>
          <w:tcPr>
            <w:tcW w:w="900" w:type="dxa"/>
          </w:tcPr>
          <w:p>
            <w:pPr>
              <w:pStyle w:val="Compact"/>
              <w:jc w:val="left"/>
            </w:pPr>
            <w:r>
              <w:t xml:space="preserve">4.00</w:t>
            </w:r>
          </w:p>
        </w:tc>
        <w:tc>
          <w:tcPr>
            <w:tcW w:w="1610" w:type="dxa"/>
          </w:tcPr>
          <w:p>
            <w:pPr>
              <w:pStyle w:val="Compact"/>
              <w:jc w:val="left"/>
            </w:pPr>
            <w:r>
              <w:t xml:space="preserve">No</w:t>
            </w:r>
          </w:p>
        </w:tc>
      </w:tr>
      <w:tr>
        <w:tc>
          <w:tcPr>
            <w:tcW w:w="2084" w:type="dxa"/>
          </w:tcPr>
          <w:p>
            <w:pPr>
              <w:pStyle w:val="Compact"/>
              <w:jc w:val="left"/>
            </w:pPr>
            <w:r>
              <w:t xml:space="preserve">Seals</w:t>
            </w:r>
          </w:p>
        </w:tc>
        <w:tc>
          <w:tcPr>
            <w:tcW w:w="2020" w:type="dxa"/>
          </w:tcPr>
          <w:p>
            <w:pPr>
              <w:pStyle w:val="Compact"/>
              <w:jc w:val="left"/>
            </w:pPr>
            <w:r>
              <w:t xml:space="preserve">Heading 40.DD</w:t>
            </w:r>
          </w:p>
        </w:tc>
        <w:tc>
          <w:tcPr>
            <w:tcW w:w="2745" w:type="dxa"/>
          </w:tcPr>
          <w:p>
            <w:pPr>
              <w:pStyle w:val="Compact"/>
              <w:jc w:val="left"/>
            </w:pPr>
            <w:r>
              <w:t xml:space="preserve">United States, supplier certification on file</w:t>
            </w:r>
          </w:p>
        </w:tc>
        <w:tc>
          <w:tcPr>
            <w:tcW w:w="900" w:type="dxa"/>
          </w:tcPr>
          <w:p>
            <w:pPr>
              <w:pStyle w:val="Compact"/>
              <w:jc w:val="left"/>
            </w:pPr>
            <w:r>
              <w:t xml:space="preserve">6.00</w:t>
            </w:r>
          </w:p>
        </w:tc>
        <w:tc>
          <w:tcPr>
            <w:tcW w:w="1610" w:type="dxa"/>
          </w:tcPr>
          <w:p>
            <w:pPr>
              <w:pStyle w:val="Compact"/>
              <w:jc w:val="left"/>
            </w:pPr>
            <w:r>
              <w:t xml:space="preserve">Yes</w:t>
            </w:r>
          </w:p>
        </w:tc>
      </w:tr>
      <w:tr>
        <w:tc>
          <w:tcPr>
            <w:tcW w:w="2084" w:type="dxa"/>
          </w:tcPr>
          <w:p>
            <w:pPr>
              <w:pStyle w:val="Compact"/>
              <w:jc w:val="left"/>
            </w:pPr>
            <w:r>
              <w:t xml:space="preserve">Assembly labor, overhead and profit</w:t>
            </w:r>
          </w:p>
        </w:tc>
        <w:tc>
          <w:tcPr>
            <w:tcW w:w="2020" w:type="dxa"/>
          </w:tcPr>
          <w:p>
            <w:pPr>
              <w:pStyle w:val="Compact"/>
              <w:jc w:val="left"/>
            </w:pPr>
            <w:r>
              <w:t xml:space="preserve">Not a material</w:t>
            </w:r>
          </w:p>
        </w:tc>
        <w:tc>
          <w:tcPr>
            <w:tcW w:w="2745" w:type="dxa"/>
          </w:tcPr>
          <w:p>
            <w:pPr>
              <w:pStyle w:val="Compact"/>
              <w:jc w:val="left"/>
            </w:pPr>
            <w:r>
              <w:t xml:space="preserve">Mexico</w:t>
            </w:r>
          </w:p>
        </w:tc>
        <w:tc>
          <w:tcPr>
            <w:tcW w:w="900" w:type="dxa"/>
          </w:tcPr>
          <w:p>
            <w:pPr>
              <w:pStyle w:val="Compact"/>
              <w:jc w:val="left"/>
            </w:pPr>
            <w:r>
              <w:t xml:space="preserve">96.00</w:t>
            </w:r>
          </w:p>
        </w:tc>
        <w:tc>
          <w:tcPr>
            <w:tcW w:w="1610" w:type="dxa"/>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dxa" w:w="9360"/>
        <w:tblLook w:firstRow="1" w:lastRow="0" w:firstColumn="0" w:lastColumn="0" w:noHBand="0" w:noVBand="0" w:val="0020"/>
        <w:jc w:val="start"/>
        <w:tblLayout w:type="fixed"/>
      </w:tblPr>
      <w:tblGrid>
        <w:gridCol w:w="3687"/>
        <w:gridCol w:w="1800"/>
        <w:gridCol w:w="3872"/>
      </w:tblGrid>
      <w:tr>
        <w:trPr>
          <w:tblHeader w:val="true"/>
        </w:trPr>
        <w:tc>
          <w:tcPr>
            <w:tcW w:w="3687" w:type="dxa"/>
          </w:tcPr>
          <w:p>
            <w:pPr>
              <w:pStyle w:val="Compact"/>
              <w:jc w:val="left"/>
            </w:pPr>
            <w:r>
              <w:t xml:space="preserve">Non-originating material</w:t>
            </w:r>
          </w:p>
        </w:tc>
        <w:tc>
          <w:tcPr>
            <w:tcW w:w="1800" w:type="dxa"/>
          </w:tcPr>
          <w:p>
            <w:pPr>
              <w:pStyle w:val="Compact"/>
              <w:jc w:val="left"/>
            </w:pPr>
            <w:r>
              <w:t xml:space="preserve">Its heading</w:t>
            </w:r>
          </w:p>
        </w:tc>
        <w:tc>
          <w:tcPr>
            <w:tcW w:w="3872" w:type="dxa"/>
          </w:tcPr>
          <w:p>
            <w:pPr>
              <w:pStyle w:val="Compact"/>
              <w:jc w:val="left"/>
            </w:pPr>
            <w:r>
              <w:t xml:space="preserve">Change of heading to 84.AA?</w:t>
            </w:r>
          </w:p>
        </w:tc>
      </w:tr>
      <w:tr>
        <w:tc>
          <w:tcPr>
            <w:tcW w:w="3687" w:type="dxa"/>
          </w:tcPr>
          <w:p>
            <w:pPr>
              <w:pStyle w:val="Compact"/>
              <w:jc w:val="left"/>
            </w:pPr>
            <w:r>
              <w:t xml:space="preserve">Motor</w:t>
            </w:r>
          </w:p>
        </w:tc>
        <w:tc>
          <w:tcPr>
            <w:tcW w:w="1800" w:type="dxa"/>
          </w:tcPr>
          <w:p>
            <w:pPr>
              <w:pStyle w:val="Compact"/>
              <w:jc w:val="left"/>
            </w:pPr>
            <w:r>
              <w:t xml:space="preserve">85.BB</w:t>
            </w:r>
          </w:p>
        </w:tc>
        <w:tc>
          <w:tcPr>
            <w:tcW w:w="3872" w:type="dxa"/>
          </w:tcPr>
          <w:p>
            <w:pPr>
              <w:pStyle w:val="Compact"/>
              <w:jc w:val="left"/>
            </w:pPr>
            <w:r>
              <w:t xml:space="preserve">Yes</w:t>
            </w:r>
          </w:p>
        </w:tc>
      </w:tr>
      <w:tr>
        <w:tc>
          <w:tcPr>
            <w:tcW w:w="3687" w:type="dxa"/>
          </w:tcPr>
          <w:p>
            <w:pPr>
              <w:pStyle w:val="Compact"/>
              <w:jc w:val="left"/>
            </w:pPr>
            <w:r>
              <w:t xml:space="preserve">Pump housing</w:t>
            </w:r>
          </w:p>
        </w:tc>
        <w:tc>
          <w:tcPr>
            <w:tcW w:w="1800" w:type="dxa"/>
          </w:tcPr>
          <w:p>
            <w:pPr>
              <w:pStyle w:val="Compact"/>
              <w:jc w:val="left"/>
            </w:pPr>
            <w:r>
              <w:t xml:space="preserve">84.AA</w:t>
            </w:r>
          </w:p>
        </w:tc>
        <w:tc>
          <w:tcPr>
            <w:tcW w:w="3872" w:type="dxa"/>
          </w:tcPr>
          <w:p>
            <w:pPr>
              <w:pStyle w:val="Compact"/>
              <w:jc w:val="left"/>
            </w:pPr>
            <w:r>
              <w:t xml:space="preserve">No: same heading</w:t>
            </w:r>
          </w:p>
        </w:tc>
      </w:tr>
      <w:tr>
        <w:tc>
          <w:tcPr>
            <w:tcW w:w="3687" w:type="dxa"/>
          </w:tcPr>
          <w:p>
            <w:pPr>
              <w:pStyle w:val="Compact"/>
              <w:jc w:val="left"/>
            </w:pPr>
            <w:r>
              <w:t xml:space="preserve">Fasteners</w:t>
            </w:r>
          </w:p>
        </w:tc>
        <w:tc>
          <w:tcPr>
            <w:tcW w:w="1800" w:type="dxa"/>
          </w:tcPr>
          <w:p>
            <w:pPr>
              <w:pStyle w:val="Compact"/>
              <w:jc w:val="left"/>
            </w:pPr>
            <w:r>
              <w:t xml:space="preserve">73.CC</w:t>
            </w:r>
          </w:p>
        </w:tc>
        <w:tc>
          <w:tcPr>
            <w:tcW w:w="3872" w:type="dxa"/>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US$25.00, so TV becomes US$211.00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or changed to another regime in time are deemed to be in Mexico illegally, because the temporary regime has ended (art. 108), so IGI, IVA/IEPS with surcharges, and fines can be assessed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30, formerly Anexo 31 (credit and guarantee accounts):</w:t>
      </w:r>
      <w:r>
        <w:t xml:space="preserve"> </w:t>
      </w:r>
      <w:r>
        <w:t xml:space="preserve">SAT's Sistema de Control de Cuentas de Créditos y Garantías (SCCCyG) is set out in</w:t>
      </w:r>
      <w:r>
        <w:t xml:space="preserve"> </w:t>
      </w:r>
      <w:r>
        <w:rPr>
          <w:bCs/>
          <w:b/>
        </w:rPr>
        <w:t xml:space="preserve">Anexo 30</w:t>
      </w:r>
      <w:r>
        <w:t xml:space="preserve"> </w:t>
      </w:r>
      <w:r>
        <w:t xml:space="preserve">of the current RGCE. It was Anexo 31 before the RGCE for 2022, and the trade still often calls it "Anexo 31". It tracks the IVA and IEPS credits that certified companies take on temporary imports, and their discharge as goods are exported. Cite it as "Anexo 30 (formerly Anexo 31)" and check the numbering in the current year's RGCE.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the Trade Facilitation and Trade Enforcement Act of 2015, TFTEA).</w:t>
      </w:r>
    </w:p>
    <w:p>
      <w:pPr>
        <w:numPr>
          <w:ilvl w:val="0"/>
          <w:numId w:val="1033"/>
        </w:numPr>
        <w:pStyle w:val="Compact"/>
      </w:pPr>
      <w:r>
        <w:rPr>
          <w:bCs/>
          <w:b/>
        </w:rPr>
        <w:t xml:space="preserve">Main types:</w:t>
      </w:r>
    </w:p>
    <w:tbl>
      <w:tblPr>
        <w:tblStyle w:val="Table"/>
        <w:tblW w:type="dxa" w:w="9360"/>
        <w:tblLook w:firstRow="1" w:lastRow="0" w:firstColumn="0" w:lastColumn="0" w:noHBand="0" w:noVBand="0" w:val="0020"/>
        <w:jc w:val="start"/>
        <w:tblLayout w:type="fixed"/>
      </w:tblPr>
      <w:tblGrid>
        <w:gridCol w:w="1982"/>
        <w:gridCol w:w="1455"/>
        <w:gridCol w:w="5921"/>
      </w:tblGrid>
      <w:tr>
        <w:trPr>
          <w:tblHeader w:val="true"/>
        </w:trPr>
        <w:tc>
          <w:tcPr>
            <w:tcW w:w="1982" w:type="dxa"/>
          </w:tcPr>
          <w:p>
            <w:pPr>
              <w:pStyle w:val="Compact"/>
              <w:jc w:val="left"/>
            </w:pPr>
            <w:r>
              <w:t xml:space="preserve">Type</w:t>
            </w:r>
          </w:p>
        </w:tc>
        <w:tc>
          <w:tcPr>
            <w:tcW w:w="1455" w:type="dxa"/>
          </w:tcPr>
          <w:p>
            <w:pPr>
              <w:pStyle w:val="Compact"/>
              <w:jc w:val="left"/>
            </w:pPr>
            <w:r>
              <w:t xml:space="preserve">Statute</w:t>
            </w:r>
          </w:p>
        </w:tc>
        <w:tc>
          <w:tcPr>
            <w:tcW w:w="5921" w:type="dxa"/>
          </w:tcPr>
          <w:p>
            <w:pPr>
              <w:pStyle w:val="Compact"/>
              <w:jc w:val="left"/>
            </w:pPr>
            <w:r>
              <w:t xml:space="preserve">In plain words</w:t>
            </w:r>
          </w:p>
        </w:tc>
      </w:tr>
      <w:tr>
        <w:tc>
          <w:tcPr>
            <w:tcW w:w="1982" w:type="dxa"/>
          </w:tcPr>
          <w:p>
            <w:pPr>
              <w:pStyle w:val="Compact"/>
              <w:jc w:val="left"/>
            </w:pPr>
            <w:r>
              <w:t xml:space="preserve">Manufacturing, direct identification</w:t>
            </w:r>
          </w:p>
        </w:tc>
        <w:tc>
          <w:tcPr>
            <w:tcW w:w="1455" w:type="dxa"/>
          </w:tcPr>
          <w:p>
            <w:pPr>
              <w:pStyle w:val="Compact"/>
              <w:jc w:val="left"/>
            </w:pPr>
            <w:r>
              <w:t xml:space="preserve">19 U.S.C. 1313(a)</w:t>
            </w:r>
          </w:p>
        </w:tc>
        <w:tc>
          <w:tcPr>
            <w:tcW w:w="5921" w:type="dxa"/>
          </w:tcPr>
          <w:p>
            <w:pPr>
              <w:pStyle w:val="Compact"/>
              <w:jc w:val="left"/>
            </w:pPr>
            <w:r>
              <w:t xml:space="preserve">Imported merchandise used to make an article that is exported or destroyed</w:t>
            </w:r>
          </w:p>
        </w:tc>
      </w:tr>
      <w:tr>
        <w:tc>
          <w:tcPr>
            <w:tcW w:w="1982" w:type="dxa"/>
          </w:tcPr>
          <w:p>
            <w:pPr>
              <w:pStyle w:val="Compact"/>
              <w:jc w:val="left"/>
            </w:pPr>
            <w:r>
              <w:t xml:space="preserve">Manufacturing, substitution</w:t>
            </w:r>
          </w:p>
        </w:tc>
        <w:tc>
          <w:tcPr>
            <w:tcW w:w="1455" w:type="dxa"/>
          </w:tcPr>
          <w:p>
            <w:pPr>
              <w:pStyle w:val="Compact"/>
              <w:jc w:val="left"/>
            </w:pPr>
            <w:r>
              <w:t xml:space="preserve">19 U.S.C. 1313(b)</w:t>
            </w:r>
          </w:p>
        </w:tc>
        <w:tc>
          <w:tcPr>
            <w:tcW w:w="5921" w:type="dxa"/>
          </w:tcPr>
          <w:p>
            <w:pPr>
              <w:pStyle w:val="Compact"/>
              <w:jc w:val="left"/>
            </w:pPr>
            <w:r>
              <w:t xml:space="preserve">Other merchandise (imported or domestic) classifiable under the same 8-digit HTSUS subheading as the imported input is used instead of it. There is no 10-digit "Other" rule for this type</w:t>
            </w:r>
          </w:p>
        </w:tc>
      </w:tr>
      <w:tr>
        <w:tc>
          <w:tcPr>
            <w:tcW w:w="1982" w:type="dxa"/>
          </w:tcPr>
          <w:p>
            <w:pPr>
              <w:pStyle w:val="Compact"/>
              <w:jc w:val="left"/>
            </w:pPr>
            <w:r>
              <w:t xml:space="preserve">Unused merchandise, direct identification</w:t>
            </w:r>
          </w:p>
        </w:tc>
        <w:tc>
          <w:tcPr>
            <w:tcW w:w="1455" w:type="dxa"/>
          </w:tcPr>
          <w:p>
            <w:pPr>
              <w:pStyle w:val="Compact"/>
              <w:jc w:val="left"/>
            </w:pPr>
            <w:r>
              <w:t xml:space="preserve">19 U.S.C. 1313(j)(1)</w:t>
            </w:r>
          </w:p>
        </w:tc>
        <w:tc>
          <w:tcPr>
            <w:tcW w:w="5921" w:type="dxa"/>
          </w:tcPr>
          <w:p>
            <w:pPr>
              <w:pStyle w:val="Compact"/>
              <w:jc w:val="left"/>
            </w:pPr>
            <w:r>
              <w:t xml:space="preserve">Imported goods exported or destroyed without being used in the US</w:t>
            </w:r>
          </w:p>
        </w:tc>
      </w:tr>
      <w:tr>
        <w:tc>
          <w:tcPr>
            <w:tcW w:w="1982" w:type="dxa"/>
          </w:tcPr>
          <w:p>
            <w:pPr>
              <w:pStyle w:val="Compact"/>
              <w:jc w:val="left"/>
            </w:pPr>
            <w:r>
              <w:t xml:space="preserve">Unused merchandise, substitution</w:t>
            </w:r>
          </w:p>
        </w:tc>
        <w:tc>
          <w:tcPr>
            <w:tcW w:w="1455" w:type="dxa"/>
          </w:tcPr>
          <w:p>
            <w:pPr>
              <w:pStyle w:val="Compact"/>
              <w:jc w:val="left"/>
            </w:pPr>
            <w:r>
              <w:t xml:space="preserve">19 U.S.C. 1313(j)(2)</w:t>
            </w:r>
          </w:p>
        </w:tc>
        <w:tc>
          <w:tcPr>
            <w:tcW w:w="5921" w:type="dxa"/>
          </w:tcPr>
          <w:p>
            <w:pPr>
              <w:pStyle w:val="Compact"/>
              <w:jc w:val="left"/>
            </w:pPr>
            <w:r>
              <w:t xml:space="preserve">Substitute goods classifiable under the same 8-digit HTSUS subheading are exported or destroyed unused instead of the imported goods. If the 8-digit description begins with "Other", they must match at the 10-digit level; if the 10-digit description also begins with "Other", substitution is not available (direct identification still is)</w:t>
            </w:r>
          </w:p>
        </w:tc>
      </w:tr>
      <w:tr>
        <w:tc>
          <w:tcPr>
            <w:tcW w:w="1982" w:type="dxa"/>
          </w:tcPr>
          <w:p>
            <w:pPr>
              <w:pStyle w:val="Compact"/>
              <w:jc w:val="left"/>
            </w:pPr>
            <w:r>
              <w:t xml:space="preserve">Rejected merchandise</w:t>
            </w:r>
          </w:p>
        </w:tc>
        <w:tc>
          <w:tcPr>
            <w:tcW w:w="1455" w:type="dxa"/>
          </w:tcPr>
          <w:p>
            <w:pPr>
              <w:pStyle w:val="Compact"/>
              <w:jc w:val="left"/>
            </w:pPr>
            <w:r>
              <w:t xml:space="preserve">19 U.S.C. 1313(c)</w:t>
            </w:r>
          </w:p>
        </w:tc>
        <w:tc>
          <w:tcPr>
            <w:tcW w:w="5921" w:type="dxa"/>
          </w:tcPr>
          <w:p>
            <w:pPr>
              <w:pStyle w:val="Compact"/>
              <w:jc w:val="left"/>
            </w:pPr>
            <w:r>
              <w:t xml:space="preserve">Goods that did not conform to sample or specifications, were shipped without the consignee's consent, or were defective at import, and are exported or destroyed under CBP supervision</w:t>
            </w:r>
          </w:p>
        </w:tc>
      </w:tr>
    </w:tbl>
    <w:p>
      <w:pPr>
        <w:pStyle w:val="BodyText"/>
      </w:pPr>
      <w:r>
        <w:t xml:space="preserve">"Same kind and quality" and "commercially interchangeable" are the pre-TFTEA substitution standards (19 CFR Part 191, legacy claims only). Current claims use the 8-digit tests above.</w:t>
      </w:r>
    </w:p>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drawback claim is liquidated (19 U.S.C. 1508(c); 19 CFR 190.15). Liquidation of the claim comes after any accelerated payment, so this is longer than it sounds.</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dxa" w:w="9360"/>
        <w:tblLook w:firstRow="1" w:lastRow="0" w:firstColumn="0" w:lastColumn="0" w:noHBand="0" w:noVBand="0" w:val="0020"/>
        <w:jc w:val="start"/>
        <w:tblLayout w:type="fixed"/>
      </w:tblPr>
      <w:tblGrid>
        <w:gridCol w:w="1380"/>
        <w:gridCol w:w="3136"/>
        <w:gridCol w:w="2442"/>
        <w:gridCol w:w="2401"/>
      </w:tblGrid>
      <w:tr>
        <w:trPr>
          <w:tblHeader w:val="true"/>
        </w:trPr>
        <w:tc>
          <w:tcPr>
            <w:tcW w:w="1380" w:type="dxa"/>
          </w:tcPr>
          <w:p>
            <w:pPr>
              <w:pStyle w:val="Compact"/>
              <w:jc w:val="left"/>
            </w:pPr>
            <w:r>
              <w:t xml:space="preserve">Topic</w:t>
            </w:r>
          </w:p>
        </w:tc>
        <w:tc>
          <w:tcPr>
            <w:tcW w:w="3136" w:type="dxa"/>
          </w:tcPr>
          <w:p>
            <w:pPr>
              <w:pStyle w:val="Compact"/>
              <w:jc w:val="left"/>
            </w:pPr>
            <w:r>
              <w:t xml:space="preserve">United States</w:t>
            </w:r>
          </w:p>
        </w:tc>
        <w:tc>
          <w:tcPr>
            <w:tcW w:w="2442" w:type="dxa"/>
          </w:tcPr>
          <w:p>
            <w:pPr>
              <w:pStyle w:val="Compact"/>
              <w:jc w:val="left"/>
            </w:pPr>
            <w:r>
              <w:t xml:space="preserve">Canada</w:t>
            </w:r>
          </w:p>
        </w:tc>
        <w:tc>
          <w:tcPr>
            <w:tcW w:w="2401" w:type="dxa"/>
          </w:tcPr>
          <w:p>
            <w:pPr>
              <w:pStyle w:val="Compact"/>
              <w:jc w:val="left"/>
            </w:pPr>
            <w:r>
              <w:t xml:space="preserve">Mexico</w:t>
            </w:r>
          </w:p>
        </w:tc>
      </w:tr>
      <w:tr>
        <w:tc>
          <w:tcPr>
            <w:tcW w:w="1380" w:type="dxa"/>
          </w:tcPr>
          <w:p>
            <w:pPr>
              <w:pStyle w:val="Compact"/>
              <w:jc w:val="left"/>
            </w:pPr>
            <w:r>
              <w:t xml:space="preserve">Main regime</w:t>
            </w:r>
          </w:p>
        </w:tc>
        <w:tc>
          <w:tcPr>
            <w:tcW w:w="3136" w:type="dxa"/>
          </w:tcPr>
          <w:p>
            <w:pPr>
              <w:pStyle w:val="Compact"/>
              <w:jc w:val="left"/>
            </w:pPr>
            <w:r>
              <w:t xml:space="preserve">19 U.S.C. 1592: false statements or omissions by fraud, gross negligence or negligence</w:t>
            </w:r>
          </w:p>
        </w:tc>
        <w:tc>
          <w:tcPr>
            <w:tcW w:w="2442" w:type="dxa"/>
          </w:tcPr>
          <w:p>
            <w:pPr>
              <w:pStyle w:val="Compact"/>
              <w:jc w:val="left"/>
            </w:pPr>
            <w:r>
              <w:t xml:space="preserve">AMPS: graduated monetary penalties for contraventions listed in the Master Penalty Document, issued against the BN15</w:t>
            </w:r>
          </w:p>
        </w:tc>
        <w:tc>
          <w:tcPr>
            <w:tcW w:w="2401" w:type="dxa"/>
          </w:tcPr>
          <w:p>
            <w:pPr>
              <w:pStyle w:val="Compact"/>
              <w:jc w:val="left"/>
            </w:pPr>
            <w:r>
              <w:t xml:space="preserve">Ley Aduanera infractions and fines; omitted taxes with actualización and recargos; PAMA after a border inspection</w:t>
            </w:r>
          </w:p>
        </w:tc>
      </w:tr>
      <w:tr>
        <w:tc>
          <w:tcPr>
            <w:tcW w:w="1380" w:type="dxa"/>
          </w:tcPr>
          <w:p>
            <w:pPr>
              <w:pStyle w:val="Compact"/>
              <w:jc w:val="left"/>
            </w:pPr>
            <w:r>
              <w:t xml:space="preserve">How big</w:t>
            </w:r>
          </w:p>
        </w:tc>
        <w:tc>
          <w:tcPr>
            <w:tcW w:w="3136" w:type="dxa"/>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tcW w:w="2442" w:type="dxa"/>
          </w:tcPr>
          <w:p>
            <w:pPr>
              <w:pStyle w:val="Compact"/>
              <w:jc w:val="left"/>
            </w:pPr>
            <w:r>
              <w:t xml:space="preserve">Penalty levels rise for repeat contraventions; serious cases can lead to seizure or ascertained forfeiture</w:t>
            </w:r>
          </w:p>
        </w:tc>
        <w:tc>
          <w:tcPr>
            <w:tcW w:w="2401" w:type="dxa"/>
          </w:tcPr>
          <w:p>
            <w:pPr>
              <w:pStyle w:val="Compact"/>
              <w:jc w:val="left"/>
            </w:pPr>
            <w:r>
              <w:t xml:space="preserve">Fines are often a percentage of the omitted taxes; the 2026 reform raised some. Ask counsel for amounts</w:t>
            </w:r>
          </w:p>
        </w:tc>
      </w:tr>
      <w:tr>
        <w:tc>
          <w:tcPr>
            <w:tcW w:w="1380" w:type="dxa"/>
          </w:tcPr>
          <w:p>
            <w:pPr>
              <w:pStyle w:val="Compact"/>
              <w:jc w:val="left"/>
            </w:pPr>
            <w:r>
              <w:t xml:space="preserve">Voluntary disclosure</w:t>
            </w:r>
          </w:p>
        </w:tc>
        <w:tc>
          <w:tcPr>
            <w:tcW w:w="3136" w:type="dxa"/>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tcW w:w="2442" w:type="dxa"/>
          </w:tcPr>
          <w:p>
            <w:pPr>
              <w:pStyle w:val="Compact"/>
              <w:jc w:val="left"/>
            </w:pPr>
            <w:r>
              <w:t xml:space="preserve">Correcting within the 90-day s. 32.2 window; CBSA's voluntary disclosure process (verify current guidance)</w:t>
            </w:r>
          </w:p>
        </w:tc>
        <w:tc>
          <w:tcPr>
            <w:tcW w:w="2401" w:type="dxa"/>
          </w:tcPr>
          <w:p>
            <w:pPr>
              <w:pStyle w:val="Compact"/>
              <w:jc w:val="left"/>
            </w:pPr>
            <w:r>
              <w:t xml:space="preserve">Spontaneous compliance before the authority acts generally avoids fines (CFF art. 73; verify)</w:t>
            </w:r>
          </w:p>
        </w:tc>
      </w:tr>
      <w:tr>
        <w:tc>
          <w:tcPr>
            <w:tcW w:w="1380" w:type="dxa"/>
          </w:tcPr>
          <w:p>
            <w:pPr>
              <w:pStyle w:val="Compact"/>
              <w:jc w:val="left"/>
            </w:pPr>
            <w:r>
              <w:t xml:space="preserve">Correction tools</w:t>
            </w:r>
          </w:p>
        </w:tc>
        <w:tc>
          <w:tcPr>
            <w:tcW w:w="3136" w:type="dxa"/>
          </w:tcPr>
          <w:p>
            <w:pPr>
              <w:pStyle w:val="Compact"/>
              <w:jc w:val="left"/>
            </w:pPr>
            <w:r>
              <w:t xml:space="preserve">PSC before liquidation; protest after</w:t>
            </w:r>
          </w:p>
        </w:tc>
        <w:tc>
          <w:tcPr>
            <w:tcW w:w="2442" w:type="dxa"/>
          </w:tcPr>
          <w:p>
            <w:pPr>
              <w:pStyle w:val="Compact"/>
              <w:jc w:val="left"/>
            </w:pPr>
            <w:r>
              <w:t xml:space="preserve">CAD corrections and adjustments</w:t>
            </w:r>
          </w:p>
        </w:tc>
        <w:tc>
          <w:tcPr>
            <w:tcW w:w="2401" w:type="dxa"/>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Before the day-60 review, do not contact the broker either: the Senior (or the Manager) does. After day 60, contact the broker only with the Senior's agreement and the Senior copied; the Senior still decides the correction route (step 7).</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dxa" w:w="9360"/>
        <w:tblLook w:firstRow="1" w:lastRow="0" w:firstColumn="0" w:lastColumn="0" w:noHBand="0" w:noVBand="0" w:val="0020"/>
        <w:jc w:val="start"/>
        <w:tblLayout w:type="fixed"/>
      </w:tblPr>
      <w:tblGrid>
        <w:gridCol w:w="2545"/>
        <w:gridCol w:w="1724"/>
        <w:gridCol w:w="1954"/>
        <w:gridCol w:w="3134"/>
      </w:tblGrid>
      <w:tr>
        <w:trPr>
          <w:tblHeader w:val="true"/>
        </w:trPr>
        <w:tc>
          <w:tcPr>
            <w:tcW w:w="2545" w:type="dxa"/>
          </w:tcPr>
          <w:p>
            <w:pPr>
              <w:pStyle w:val="Compact"/>
              <w:jc w:val="left"/>
            </w:pPr>
            <w:r>
              <w:t xml:space="preserve">Data element</w:t>
            </w:r>
          </w:p>
        </w:tc>
        <w:tc>
          <w:tcPr>
            <w:tcW w:w="1724" w:type="dxa"/>
          </w:tcPr>
          <w:p>
            <w:pPr>
              <w:pStyle w:val="Compact"/>
              <w:jc w:val="left"/>
            </w:pPr>
            <w:r>
              <w:t xml:space="preserve">Lives in</w:t>
            </w:r>
          </w:p>
        </w:tc>
        <w:tc>
          <w:tcPr>
            <w:tcW w:w="1954" w:type="dxa"/>
          </w:tcPr>
          <w:p>
            <w:pPr>
              <w:pStyle w:val="Compact"/>
              <w:jc w:val="left"/>
            </w:pPr>
            <w:r>
              <w:t xml:space="preserve">Used by</w:t>
            </w:r>
          </w:p>
        </w:tc>
        <w:tc>
          <w:tcPr>
            <w:tcW w:w="3134" w:type="dxa"/>
          </w:tcPr>
          <w:p>
            <w:pPr>
              <w:pStyle w:val="Compact"/>
              <w:jc w:val="left"/>
            </w:pPr>
            <w:r>
              <w:t xml:space="preserve">What breaks if wrong</w:t>
            </w:r>
          </w:p>
        </w:tc>
      </w:tr>
      <w:tr>
        <w:tc>
          <w:tcPr>
            <w:tcW w:w="2545" w:type="dxa"/>
          </w:tcPr>
          <w:p>
            <w:pPr>
              <w:pStyle w:val="Compact"/>
              <w:jc w:val="left"/>
            </w:pPr>
            <w:r>
              <w:t xml:space="preserve">Item number and trade description</w:t>
            </w:r>
          </w:p>
        </w:tc>
        <w:tc>
          <w:tcPr>
            <w:tcW w:w="1724" w:type="dxa"/>
          </w:tcPr>
          <w:p>
            <w:pPr>
              <w:pStyle w:val="Compact"/>
              <w:jc w:val="left"/>
            </w:pPr>
            <w:r>
              <w:t xml:space="preserve">[COMPANY: Oracle item master and/or AS400 trade system]</w:t>
            </w:r>
          </w:p>
        </w:tc>
        <w:tc>
          <w:tcPr>
            <w:tcW w:w="1954" w:type="dxa"/>
          </w:tcPr>
          <w:p>
            <w:pPr>
              <w:pStyle w:val="Compact"/>
              <w:jc w:val="left"/>
            </w:pPr>
            <w:r>
              <w:t xml:space="preserve">Brokers, classification, reports</w:t>
            </w:r>
          </w:p>
        </w:tc>
        <w:tc>
          <w:tcPr>
            <w:tcW w:w="3134" w:type="dxa"/>
          </w:tcPr>
          <w:p>
            <w:pPr>
              <w:pStyle w:val="Compact"/>
              <w:jc w:val="left"/>
            </w:pPr>
            <w:r>
              <w:t xml:space="preserve">Broker cannot classify or match lines; vague descriptions trigger CBP Form 28s and inspections; audits cannot join data</w:t>
            </w:r>
          </w:p>
        </w:tc>
      </w:tr>
      <w:tr>
        <w:tc>
          <w:tcPr>
            <w:tcW w:w="2545" w:type="dxa"/>
          </w:tcPr>
          <w:p>
            <w:pPr>
              <w:pStyle w:val="Compact"/>
              <w:jc w:val="left"/>
            </w:pPr>
            <w:r>
              <w:t xml:space="preserve">US HTSUS number (10 digits)</w:t>
            </w:r>
          </w:p>
        </w:tc>
        <w:tc>
          <w:tcPr>
            <w:tcW w:w="1724" w:type="dxa"/>
          </w:tcPr>
          <w:p>
            <w:pPr>
              <w:pStyle w:val="Compact"/>
              <w:jc w:val="left"/>
            </w:pPr>
            <w:r>
              <w:t xml:space="preserve">[COMPANY: AS400 trade system]</w:t>
            </w:r>
          </w:p>
        </w:tc>
        <w:tc>
          <w:tcPr>
            <w:tcW w:w="1954" w:type="dxa"/>
          </w:tcPr>
          <w:p>
            <w:pPr>
              <w:pStyle w:val="Compact"/>
              <w:jc w:val="left"/>
            </w:pPr>
            <w:r>
              <w:t xml:space="preserve">US broker, landed cost, Research, reports</w:t>
            </w:r>
          </w:p>
        </w:tc>
        <w:tc>
          <w:tcPr>
            <w:tcW w:w="3134" w:type="dxa"/>
          </w:tcPr>
          <w:p>
            <w:pPr>
              <w:pStyle w:val="Compact"/>
              <w:jc w:val="left"/>
            </w:pPr>
            <w:r>
              <w:t xml:space="preserve">Wrong duty; PGA data missed; Chapter 99 measures missed or wrongly applied; penalty exposure</w:t>
            </w:r>
          </w:p>
        </w:tc>
      </w:tr>
      <w:tr>
        <w:tc>
          <w:tcPr>
            <w:tcW w:w="2545" w:type="dxa"/>
          </w:tcPr>
          <w:p>
            <w:pPr>
              <w:pStyle w:val="Compact"/>
              <w:jc w:val="left"/>
            </w:pPr>
            <w:r>
              <w:t xml:space="preserve">Canada classification (10 digits)</w:t>
            </w:r>
          </w:p>
        </w:tc>
        <w:tc>
          <w:tcPr>
            <w:tcW w:w="1724" w:type="dxa"/>
          </w:tcPr>
          <w:p>
            <w:pPr>
              <w:pStyle w:val="Compact"/>
              <w:jc w:val="left"/>
            </w:pPr>
            <w:r>
              <w:t xml:space="preserve">[COMPANY: AS400 trade system]</w:t>
            </w:r>
          </w:p>
        </w:tc>
        <w:tc>
          <w:tcPr>
            <w:tcW w:w="1954" w:type="dxa"/>
          </w:tcPr>
          <w:p>
            <w:pPr>
              <w:pStyle w:val="Compact"/>
              <w:jc w:val="left"/>
            </w:pPr>
            <w:r>
              <w:t xml:space="preserve">Canada broker, landed cost</w:t>
            </w:r>
          </w:p>
        </w:tc>
        <w:tc>
          <w:tcPr>
            <w:tcW w:w="3134" w:type="dxa"/>
          </w:tcPr>
          <w:p>
            <w:pPr>
              <w:pStyle w:val="Compact"/>
              <w:jc w:val="left"/>
            </w:pPr>
            <w:r>
              <w:t xml:space="preserve">Wrong duty and GST base; surtaxes missed; s. 32.2 corrections</w:t>
            </w:r>
          </w:p>
        </w:tc>
      </w:tr>
      <w:tr>
        <w:tc>
          <w:tcPr>
            <w:tcW w:w="2545" w:type="dxa"/>
          </w:tcPr>
          <w:p>
            <w:pPr>
              <w:pStyle w:val="Compact"/>
              <w:jc w:val="left"/>
            </w:pPr>
            <w:r>
              <w:t xml:space="preserve">Mexico fracción and NICO</w:t>
            </w:r>
          </w:p>
        </w:tc>
        <w:tc>
          <w:tcPr>
            <w:tcW w:w="1724" w:type="dxa"/>
          </w:tcPr>
          <w:p>
            <w:pPr>
              <w:pStyle w:val="Compact"/>
              <w:jc w:val="left"/>
            </w:pPr>
            <w:r>
              <w:t xml:space="preserve">[COMPANY: AS400 trade system or Mexico broker]</w:t>
            </w:r>
          </w:p>
        </w:tc>
        <w:tc>
          <w:tcPr>
            <w:tcW w:w="1954" w:type="dxa"/>
          </w:tcPr>
          <w:p>
            <w:pPr>
              <w:pStyle w:val="Compact"/>
              <w:jc w:val="left"/>
            </w:pPr>
            <w:r>
              <w:t xml:space="preserve">Mexico broker, IMMEX inventory</w:t>
            </w:r>
          </w:p>
        </w:tc>
        <w:tc>
          <w:tcPr>
            <w:tcW w:w="3134" w:type="dxa"/>
          </w:tcPr>
          <w:p>
            <w:pPr>
              <w:pStyle w:val="Compact"/>
              <w:jc w:val="left"/>
            </w:pPr>
            <w:r>
              <w:t xml:space="preserve">Wrong IGI; permits or NOMs missed; Anexo 24 records do not match pedimentos</w:t>
            </w:r>
          </w:p>
        </w:tc>
      </w:tr>
      <w:tr>
        <w:tc>
          <w:tcPr>
            <w:tcW w:w="2545" w:type="dxa"/>
          </w:tcPr>
          <w:p>
            <w:pPr>
              <w:pStyle w:val="Compact"/>
              <w:jc w:val="left"/>
            </w:pPr>
            <w:r>
              <w:t xml:space="preserve">Country of origin (non-preferential)</w:t>
            </w:r>
          </w:p>
        </w:tc>
        <w:tc>
          <w:tcPr>
            <w:tcW w:w="1724" w:type="dxa"/>
          </w:tcPr>
          <w:p>
            <w:pPr>
              <w:pStyle w:val="Compact"/>
              <w:jc w:val="left"/>
            </w:pPr>
            <w:r>
              <w:t xml:space="preserve">[COMPANY]</w:t>
            </w:r>
          </w:p>
        </w:tc>
        <w:tc>
          <w:tcPr>
            <w:tcW w:w="1954" w:type="dxa"/>
          </w:tcPr>
          <w:p>
            <w:pPr>
              <w:pStyle w:val="Compact"/>
              <w:jc w:val="left"/>
            </w:pPr>
            <w:r>
              <w:t xml:space="preserve">Brokers, marking, Research</w:t>
            </w:r>
          </w:p>
        </w:tc>
        <w:tc>
          <w:tcPr>
            <w:tcW w:w="3134" w:type="dxa"/>
          </w:tcPr>
          <w:p>
            <w:pPr>
              <w:pStyle w:val="Compact"/>
              <w:jc w:val="left"/>
            </w:pPr>
            <w:r>
              <w:t xml:space="preserve">Country-specific additional duties missed or wrongly applied; marking violations; AD/CVD exposure</w:t>
            </w:r>
          </w:p>
        </w:tc>
      </w:tr>
      <w:tr>
        <w:tc>
          <w:tcPr>
            <w:tcW w:w="2545" w:type="dxa"/>
          </w:tcPr>
          <w:p>
            <w:pPr>
              <w:pStyle w:val="Compact"/>
              <w:jc w:val="left"/>
            </w:pPr>
            <w:r>
              <w:t xml:space="preserve">USMCA qualification (yes/no, criterion, producer, certification reference, blanket period)</w:t>
            </w:r>
          </w:p>
        </w:tc>
        <w:tc>
          <w:tcPr>
            <w:tcW w:w="1724" w:type="dxa"/>
          </w:tcPr>
          <w:p>
            <w:pPr>
              <w:pStyle w:val="Compact"/>
              <w:jc w:val="left"/>
            </w:pPr>
            <w:r>
              <w:t xml:space="preserve">[COMPANY]</w:t>
            </w:r>
          </w:p>
        </w:tc>
        <w:tc>
          <w:tcPr>
            <w:tcW w:w="1954" w:type="dxa"/>
          </w:tcPr>
          <w:p>
            <w:pPr>
              <w:pStyle w:val="Compact"/>
              <w:jc w:val="left"/>
            </w:pPr>
            <w:r>
              <w:t xml:space="preserve">Brokers (preference claim), Standard Cost (duty rate)</w:t>
            </w:r>
          </w:p>
        </w:tc>
        <w:tc>
          <w:tcPr>
            <w:tcW w:w="3134" w:type="dxa"/>
          </w:tcPr>
          <w:p>
            <w:pPr>
              <w:pStyle w:val="Compact"/>
              <w:jc w:val="left"/>
            </w:pPr>
            <w:r>
              <w:t xml:space="preserve">Claims without support are denied in a verification; or savings are missed</w:t>
            </w:r>
          </w:p>
        </w:tc>
      </w:tr>
      <w:tr>
        <w:tc>
          <w:tcPr>
            <w:tcW w:w="2545" w:type="dxa"/>
          </w:tcPr>
          <w:p>
            <w:pPr>
              <w:pStyle w:val="Compact"/>
              <w:jc w:val="left"/>
            </w:pPr>
            <w:r>
              <w:t xml:space="preserve">Supplier and manufacturer identity and address (US MID)</w:t>
            </w:r>
          </w:p>
        </w:tc>
        <w:tc>
          <w:tcPr>
            <w:tcW w:w="1724" w:type="dxa"/>
          </w:tcPr>
          <w:p>
            <w:pPr>
              <w:pStyle w:val="Compact"/>
              <w:jc w:val="left"/>
            </w:pPr>
            <w:r>
              <w:t xml:space="preserve">[COMPANY: Oracle supplier master, AS400]</w:t>
            </w:r>
          </w:p>
        </w:tc>
        <w:tc>
          <w:tcPr>
            <w:tcW w:w="1954" w:type="dxa"/>
          </w:tcPr>
          <w:p>
            <w:pPr>
              <w:pStyle w:val="Compact"/>
              <w:jc w:val="left"/>
            </w:pPr>
            <w:r>
              <w:t xml:space="preserve">US broker, certifications, AD/CVD</w:t>
            </w:r>
          </w:p>
        </w:tc>
        <w:tc>
          <w:tcPr>
            <w:tcW w:w="3134" w:type="dxa"/>
          </w:tcPr>
          <w:p>
            <w:pPr>
              <w:pStyle w:val="Compact"/>
              <w:jc w:val="left"/>
            </w:pPr>
            <w:r>
              <w:t xml:space="preserve">Entry summary errors; wrong producer on certifications; wrong AD/CVD rate</w:t>
            </w:r>
          </w:p>
        </w:tc>
      </w:tr>
      <w:tr>
        <w:tc>
          <w:tcPr>
            <w:tcW w:w="2545" w:type="dxa"/>
          </w:tcPr>
          <w:p>
            <w:pPr>
              <w:pStyle w:val="Compact"/>
              <w:jc w:val="left"/>
            </w:pPr>
            <w:r>
              <w:t xml:space="preserve">Unit price, currency and Incoterm</w:t>
            </w:r>
          </w:p>
        </w:tc>
        <w:tc>
          <w:tcPr>
            <w:tcW w:w="1724" w:type="dxa"/>
          </w:tcPr>
          <w:p>
            <w:pPr>
              <w:pStyle w:val="Compact"/>
              <w:jc w:val="left"/>
            </w:pPr>
            <w:r>
              <w:t xml:space="preserve">[COMPANY: Oracle purchase orders, supplier invoices]</w:t>
            </w:r>
          </w:p>
        </w:tc>
        <w:tc>
          <w:tcPr>
            <w:tcW w:w="1954" w:type="dxa"/>
          </w:tcPr>
          <w:p>
            <w:pPr>
              <w:pStyle w:val="Compact"/>
              <w:jc w:val="left"/>
            </w:pPr>
            <w:r>
              <w:t xml:space="preserve">Brokers (value), landed cost</w:t>
            </w:r>
          </w:p>
        </w:tc>
        <w:tc>
          <w:tcPr>
            <w:tcW w:w="3134" w:type="dxa"/>
          </w:tcPr>
          <w:p>
            <w:pPr>
              <w:pStyle w:val="Compact"/>
              <w:jc w:val="left"/>
            </w:pPr>
            <w:r>
              <w:t xml:space="preserve">Under- or overvaluation; wrong duty base; model and filed duty disagree</w:t>
            </w:r>
          </w:p>
        </w:tc>
      </w:tr>
      <w:tr>
        <w:tc>
          <w:tcPr>
            <w:tcW w:w="2545" w:type="dxa"/>
          </w:tcPr>
          <w:p>
            <w:pPr>
              <w:pStyle w:val="Compact"/>
              <w:jc w:val="left"/>
            </w:pPr>
            <w:r>
              <w:t xml:space="preserve">Assists, royalties, buyer-paid packing</w:t>
            </w:r>
          </w:p>
        </w:tc>
        <w:tc>
          <w:tcPr>
            <w:tcW w:w="1724" w:type="dxa"/>
          </w:tcPr>
          <w:p>
            <w:pPr>
              <w:pStyle w:val="Compact"/>
              <w:jc w:val="left"/>
            </w:pPr>
            <w:r>
              <w:t xml:space="preserve">[COMPANY: often not recorded anywhere]</w:t>
            </w:r>
          </w:p>
        </w:tc>
        <w:tc>
          <w:tcPr>
            <w:tcW w:w="1954" w:type="dxa"/>
          </w:tcPr>
          <w:p>
            <w:pPr>
              <w:pStyle w:val="Compact"/>
              <w:jc w:val="left"/>
            </w:pPr>
            <w:r>
              <w:t xml:space="preserve">Brokers (additions to value), the Senior</w:t>
            </w:r>
          </w:p>
        </w:tc>
        <w:tc>
          <w:tcPr>
            <w:tcW w:w="3134" w:type="dxa"/>
          </w:tcPr>
          <w:p>
            <w:pPr>
              <w:pStyle w:val="Compact"/>
              <w:jc w:val="left"/>
            </w:pPr>
            <w:r>
              <w:t xml:space="preserve">Undervaluation; 1592 or AMPS exposure</w:t>
            </w:r>
          </w:p>
        </w:tc>
      </w:tr>
      <w:tr>
        <w:tc>
          <w:tcPr>
            <w:tcW w:w="2545" w:type="dxa"/>
          </w:tcPr>
          <w:p>
            <w:pPr>
              <w:pStyle w:val="Compact"/>
              <w:jc w:val="left"/>
            </w:pPr>
            <w:r>
              <w:t xml:space="preserve">Related-party indicator</w:t>
            </w:r>
          </w:p>
        </w:tc>
        <w:tc>
          <w:tcPr>
            <w:tcW w:w="1724" w:type="dxa"/>
          </w:tcPr>
          <w:p>
            <w:pPr>
              <w:pStyle w:val="Compact"/>
              <w:jc w:val="left"/>
            </w:pPr>
            <w:r>
              <w:t xml:space="preserve">[COMPANY: Oracle supplier master]</w:t>
            </w:r>
          </w:p>
        </w:tc>
        <w:tc>
          <w:tcPr>
            <w:tcW w:w="1954" w:type="dxa"/>
          </w:tcPr>
          <w:p>
            <w:pPr>
              <w:pStyle w:val="Compact"/>
              <w:jc w:val="left"/>
            </w:pPr>
            <w:r>
              <w:t xml:space="preserve">Brokers, valuation reviews</w:t>
            </w:r>
          </w:p>
        </w:tc>
        <w:tc>
          <w:tcPr>
            <w:tcW w:w="3134" w:type="dxa"/>
          </w:tcPr>
          <w:p>
            <w:pPr>
              <w:pStyle w:val="Compact"/>
              <w:jc w:val="left"/>
            </w:pPr>
            <w:r>
              <w:t xml:space="preserve">Relationship not declared; price cannot be defended</w:t>
            </w:r>
          </w:p>
        </w:tc>
      </w:tr>
      <w:tr>
        <w:tc>
          <w:tcPr>
            <w:tcW w:w="2545" w:type="dxa"/>
          </w:tcPr>
          <w:p>
            <w:pPr>
              <w:pStyle w:val="Compact"/>
              <w:jc w:val="left"/>
            </w:pPr>
            <w:r>
              <w:t xml:space="preserve">Quantity, customs unit of measure, net weight</w:t>
            </w:r>
          </w:p>
        </w:tc>
        <w:tc>
          <w:tcPr>
            <w:tcW w:w="1724" w:type="dxa"/>
          </w:tcPr>
          <w:p>
            <w:pPr>
              <w:pStyle w:val="Compact"/>
              <w:jc w:val="left"/>
            </w:pPr>
            <w:r>
              <w:t xml:space="preserve">[COMPANY: AS400 or Oracle]</w:t>
            </w:r>
          </w:p>
        </w:tc>
        <w:tc>
          <w:tcPr>
            <w:tcW w:w="1954" w:type="dxa"/>
          </w:tcPr>
          <w:p>
            <w:pPr>
              <w:pStyle w:val="Compact"/>
              <w:jc w:val="left"/>
            </w:pPr>
            <w:r>
              <w:t xml:space="preserve">Brokers (specific duties, statistics)</w:t>
            </w:r>
          </w:p>
        </w:tc>
        <w:tc>
          <w:tcPr>
            <w:tcW w:w="3134" w:type="dxa"/>
          </w:tcPr>
          <w:p>
            <w:pPr>
              <w:pStyle w:val="Compact"/>
              <w:jc w:val="left"/>
            </w:pPr>
            <w:r>
              <w:t xml:space="preserve">Wrong specific duty; rejected lines; statistics errors</w:t>
            </w:r>
          </w:p>
        </w:tc>
      </w:tr>
      <w:tr>
        <w:tc>
          <w:tcPr>
            <w:tcW w:w="2545" w:type="dxa"/>
          </w:tcPr>
          <w:p>
            <w:pPr>
              <w:pStyle w:val="Compact"/>
              <w:jc w:val="left"/>
            </w:pPr>
            <w:r>
              <w:t xml:space="preserve">Other-agency attributes (PGA, OGD, NOM data)</w:t>
            </w:r>
          </w:p>
        </w:tc>
        <w:tc>
          <w:tcPr>
            <w:tcW w:w="1724" w:type="dxa"/>
          </w:tcPr>
          <w:p>
            <w:pPr>
              <w:pStyle w:val="Compact"/>
              <w:jc w:val="left"/>
            </w:pPr>
            <w:r>
              <w:t xml:space="preserve">[COMPANY]</w:t>
            </w:r>
          </w:p>
        </w:tc>
        <w:tc>
          <w:tcPr>
            <w:tcW w:w="1954" w:type="dxa"/>
          </w:tcPr>
          <w:p>
            <w:pPr>
              <w:pStyle w:val="Compact"/>
              <w:jc w:val="left"/>
            </w:pPr>
            <w:r>
              <w:t xml:space="preserve">Brokers</w:t>
            </w:r>
          </w:p>
        </w:tc>
        <w:tc>
          <w:tcPr>
            <w:tcW w:w="3134" w:type="dxa"/>
          </w:tcPr>
          <w:p>
            <w:pPr>
              <w:pStyle w:val="Compact"/>
              <w:jc w:val="left"/>
            </w:pPr>
            <w:r>
              <w:t xml:space="preserve">Holds, refused entries, delays</w:t>
            </w:r>
          </w:p>
        </w:tc>
      </w:tr>
      <w:tr>
        <w:tc>
          <w:tcPr>
            <w:tcW w:w="2545" w:type="dxa"/>
          </w:tcPr>
          <w:p>
            <w:pPr>
              <w:pStyle w:val="Compact"/>
              <w:jc w:val="left"/>
            </w:pPr>
            <w:r>
              <w:t xml:space="preserve">Additional-duty indicators (Chapter 99, AD/CVD case, surtax)</w:t>
            </w:r>
          </w:p>
        </w:tc>
        <w:tc>
          <w:tcPr>
            <w:tcW w:w="1724" w:type="dxa"/>
          </w:tcPr>
          <w:p>
            <w:pPr>
              <w:pStyle w:val="Compact"/>
              <w:jc w:val="left"/>
            </w:pPr>
            <w:r>
              <w:t xml:space="preserve">Tariff-Impact Briefs; [COMPANY: where flags are stored]</w:t>
            </w:r>
          </w:p>
        </w:tc>
        <w:tc>
          <w:tcPr>
            <w:tcW w:w="1954" w:type="dxa"/>
          </w:tcPr>
          <w:p>
            <w:pPr>
              <w:pStyle w:val="Compact"/>
              <w:jc w:val="left"/>
            </w:pPr>
            <w:r>
              <w:t xml:space="preserve">Brokers, Standard Cost</w:t>
            </w:r>
          </w:p>
        </w:tc>
        <w:tc>
          <w:tcPr>
            <w:tcW w:w="3134" w:type="dxa"/>
          </w:tcPr>
          <w:p>
            <w:pPr>
              <w:pStyle w:val="Compact"/>
              <w:jc w:val="left"/>
            </w:pPr>
            <w:r>
              <w:t xml:space="preserve">Underpaid duties; wrong cost and margin</w:t>
            </w:r>
          </w:p>
        </w:tc>
      </w:tr>
      <w:tr>
        <w:tc>
          <w:tcPr>
            <w:tcW w:w="2545" w:type="dxa"/>
          </w:tcPr>
          <w:p>
            <w:pPr>
              <w:pStyle w:val="Compact"/>
              <w:jc w:val="left"/>
            </w:pPr>
            <w:r>
              <w:t xml:space="preserve">Duty rate used in standard cost</w:t>
            </w:r>
          </w:p>
        </w:tc>
        <w:tc>
          <w:tcPr>
            <w:tcW w:w="1724" w:type="dxa"/>
          </w:tcPr>
          <w:p>
            <w:pPr>
              <w:pStyle w:val="Compact"/>
              <w:jc w:val="left"/>
            </w:pPr>
            <w:r>
              <w:t xml:space="preserve">[COMPANY: name of std-cost tool]</w:t>
            </w:r>
          </w:p>
        </w:tc>
        <w:tc>
          <w:tcPr>
            <w:tcW w:w="1954" w:type="dxa"/>
          </w:tcPr>
          <w:p>
            <w:pPr>
              <w:pStyle w:val="Compact"/>
              <w:jc w:val="left"/>
            </w:pPr>
            <w:r>
              <w:t xml:space="preserve">Standard Cost, Finance</w:t>
            </w:r>
          </w:p>
        </w:tc>
        <w:tc>
          <w:tcPr>
            <w:tcW w:w="3134" w:type="dxa"/>
          </w:tcPr>
          <w:p>
            <w:pPr>
              <w:pStyle w:val="Compact"/>
              <w:jc w:val="left"/>
            </w:pPr>
            <w:r>
              <w:t xml:space="preserve">Wrong inventory value; PPV that nobody can explain</w:t>
            </w:r>
          </w:p>
        </w:tc>
      </w:tr>
      <w:tr>
        <w:tc>
          <w:tcPr>
            <w:tcW w:w="2545" w:type="dxa"/>
          </w:tcPr>
          <w:p>
            <w:pPr>
              <w:pStyle w:val="Compact"/>
              <w:jc w:val="left"/>
            </w:pPr>
            <w:r>
              <w:t xml:space="preserve">Broker entry data returned (entry, CAD or pedimento numbers, lines, duty paid)</w:t>
            </w:r>
          </w:p>
        </w:tc>
        <w:tc>
          <w:tcPr>
            <w:tcW w:w="1724" w:type="dxa"/>
          </w:tcPr>
          <w:p>
            <w:pPr>
              <w:pStyle w:val="Compact"/>
              <w:jc w:val="left"/>
            </w:pPr>
            <w:r>
              <w:t xml:space="preserve">[COMPANY: broker files, SQL Server, data warehouse]</w:t>
            </w:r>
          </w:p>
        </w:tc>
        <w:tc>
          <w:tcPr>
            <w:tcW w:w="1954" w:type="dxa"/>
          </w:tcPr>
          <w:p>
            <w:pPr>
              <w:pStyle w:val="Compact"/>
              <w:jc w:val="left"/>
            </w:pPr>
            <w:r>
              <w:t xml:space="preserve">Audits, PPV, drawback, reports</w:t>
            </w:r>
          </w:p>
        </w:tc>
        <w:tc>
          <w:tcPr>
            <w:tcW w:w="3134" w:type="dxa"/>
          </w:tcPr>
          <w:p>
            <w:pPr>
              <w:pStyle w:val="Compact"/>
              <w:jc w:val="left"/>
            </w:pPr>
            <w:r>
              <w:t xml:space="preserve">Audits impossible; PPV unexplained; drawback claims lack import support</w:t>
            </w:r>
          </w:p>
        </w:tc>
      </w:tr>
      <w:tr>
        <w:tc>
          <w:tcPr>
            <w:tcW w:w="2545" w:type="dxa"/>
          </w:tcPr>
          <w:p>
            <w:pPr>
              <w:pStyle w:val="Compact"/>
              <w:jc w:val="left"/>
            </w:pPr>
            <w:r>
              <w:t xml:space="preserve">IMMEX status and temporary import pedimento references</w:t>
            </w:r>
          </w:p>
        </w:tc>
        <w:tc>
          <w:tcPr>
            <w:tcW w:w="1724" w:type="dxa"/>
          </w:tcPr>
          <w:p>
            <w:pPr>
              <w:pStyle w:val="Compact"/>
              <w:jc w:val="left"/>
            </w:pPr>
            <w:r>
              <w:t xml:space="preserve">[COMPANY]</w:t>
            </w:r>
          </w:p>
        </w:tc>
        <w:tc>
          <w:tcPr>
            <w:tcW w:w="1954" w:type="dxa"/>
          </w:tcPr>
          <w:p>
            <w:pPr>
              <w:pStyle w:val="Compact"/>
              <w:jc w:val="left"/>
            </w:pPr>
            <w:r>
              <w:t xml:space="preserve">Mexico broker, Anexo 24 system</w:t>
            </w:r>
          </w:p>
        </w:tc>
        <w:tc>
          <w:tcPr>
            <w:tcW w:w="3134" w:type="dxa"/>
          </w:tcPr>
          <w:p>
            <w:pPr>
              <w:pStyle w:val="Compact"/>
              <w:jc w:val="left"/>
            </w:pPr>
            <w:r>
              <w:t xml:space="preserve">Inputs exceed time limits and are deemed to be in Mexico illegally, with duties, taxes and fines</w:t>
            </w:r>
          </w:p>
        </w:tc>
      </w:tr>
      <w:tr>
        <w:tc>
          <w:tcPr>
            <w:tcW w:w="2545" w:type="dxa"/>
          </w:tcPr>
          <w:p>
            <w:pPr>
              <w:pStyle w:val="Compact"/>
              <w:jc w:val="left"/>
            </w:pPr>
            <w:r>
              <w:t xml:space="preserve">ECCN, Schedule B and export flags</w:t>
            </w:r>
          </w:p>
        </w:tc>
        <w:tc>
          <w:tcPr>
            <w:tcW w:w="1724" w:type="dxa"/>
          </w:tcPr>
          <w:p>
            <w:pPr>
              <w:pStyle w:val="Compact"/>
              <w:jc w:val="left"/>
            </w:pPr>
            <w:r>
              <w:t xml:space="preserve">[COMPANY]</w:t>
            </w:r>
          </w:p>
        </w:tc>
        <w:tc>
          <w:tcPr>
            <w:tcW w:w="1954" w:type="dxa"/>
          </w:tcPr>
          <w:p>
            <w:pPr>
              <w:pStyle w:val="Compact"/>
              <w:jc w:val="left"/>
            </w:pPr>
            <w:r>
              <w:t xml:space="preserve">Exports, EEI filers</w:t>
            </w:r>
          </w:p>
        </w:tc>
        <w:tc>
          <w:tcPr>
            <w:tcW w:w="3134" w:type="dxa"/>
          </w:tcPr>
          <w:p>
            <w:pPr>
              <w:pStyle w:val="Compact"/>
              <w:jc w:val="left"/>
            </w:pPr>
            <w:r>
              <w:t xml:space="preserve">Wrong license determination; EEI errors</w:t>
            </w:r>
          </w:p>
        </w:tc>
      </w:tr>
      <w:tr>
        <w:tc>
          <w:tcPr>
            <w:tcW w:w="2545" w:type="dxa"/>
          </w:tcPr>
          <w:p>
            <w:pPr>
              <w:pStyle w:val="Compact"/>
              <w:jc w:val="left"/>
            </w:pPr>
            <w:r>
              <w:t xml:space="preserve">Supplier certifications and expiry dates</w:t>
            </w:r>
          </w:p>
        </w:tc>
        <w:tc>
          <w:tcPr>
            <w:tcW w:w="1724" w:type="dxa"/>
          </w:tcPr>
          <w:p>
            <w:pPr>
              <w:pStyle w:val="Compact"/>
              <w:jc w:val="left"/>
            </w:pPr>
            <w:r>
              <w:t xml:space="preserve">[COMPANY: certificate repository]</w:t>
            </w:r>
          </w:p>
        </w:tc>
        <w:tc>
          <w:tcPr>
            <w:tcW w:w="1954" w:type="dxa"/>
          </w:tcPr>
          <w:p>
            <w:pPr>
              <w:pStyle w:val="Compact"/>
              <w:jc w:val="left"/>
            </w:pPr>
            <w:r>
              <w:t xml:space="preserve">USMCA claims, verifications</w:t>
            </w:r>
          </w:p>
        </w:tc>
        <w:tc>
          <w:tcPr>
            <w:tcW w:w="3134" w:type="dxa"/>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 and the informal-entry limit for goods with Chapter 99 duties (Section 4.3).</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Our US broker files a wrong HTS number using data we supplied. Who is liable to CBP, and what legal duty did we fail?</w:t>
            </w:r>
          </w:p>
        </w:tc>
        <w:tc>
          <w:tcPr>
            <w:tcW w:w="1135" w:type="dxa"/>
          </w:tcPr>
          <w:p>
            <w:pPr>
              <w:pStyle w:val="Compact"/>
              <w:jc w:val="left"/>
            </w:pPr>
            <w:r>
              <w:t xml:space="preserve">1</w:t>
            </w:r>
          </w:p>
        </w:tc>
      </w:tr>
      <w:tr>
        <w:tc>
          <w:tcPr>
            <w:tcW w:w="1135" w:type="dxa"/>
          </w:tcPr>
          <w:p>
            <w:pPr>
              <w:pStyle w:val="Compact"/>
              <w:jc w:val="left"/>
            </w:pPr>
            <w:r>
              <w:t xml:space="preserve">2</w:t>
            </w:r>
          </w:p>
        </w:tc>
        <w:tc>
          <w:tcPr>
            <w:tcW w:w="7088" w:type="dxa"/>
          </w:tcPr>
          <w:p>
            <w:pPr>
              <w:pStyle w:val="Compact"/>
              <w:jc w:val="left"/>
            </w:pPr>
            <w:r>
              <w:t xml:space="preserve">What is the difference between the US entry (CBP Form 3461) and the entry summary (CBP Form 7501), and when is the summary due?</w:t>
            </w:r>
          </w:p>
        </w:tc>
        <w:tc>
          <w:tcPr>
            <w:tcW w:w="1135" w:type="dxa"/>
          </w:tcPr>
          <w:p>
            <w:pPr>
              <w:pStyle w:val="Compact"/>
              <w:jc w:val="left"/>
            </w:pPr>
            <w:r>
              <w:t xml:space="preserve">4.2</w:t>
            </w:r>
          </w:p>
        </w:tc>
      </w:tr>
      <w:tr>
        <w:tc>
          <w:tcPr>
            <w:tcW w:w="1135" w:type="dxa"/>
          </w:tcPr>
          <w:p>
            <w:pPr>
              <w:pStyle w:val="Compact"/>
              <w:jc w:val="left"/>
            </w:pPr>
            <w:r>
              <w:t xml:space="preserve">3</w:t>
            </w:r>
          </w:p>
        </w:tc>
        <w:tc>
          <w:tcPr>
            <w:tcW w:w="7088" w:type="dxa"/>
          </w:tcPr>
          <w:p>
            <w:pPr>
              <w:pStyle w:val="Compact"/>
              <w:jc w:val="left"/>
            </w:pPr>
            <w:r>
              <w:t xml:space="preserve">An entry liquidated last month and you find a classification error. Which correction routes are still open, and who decides?</w:t>
            </w:r>
          </w:p>
        </w:tc>
        <w:tc>
          <w:tcPr>
            <w:tcW w:w="1135" w:type="dxa"/>
          </w:tcPr>
          <w:p>
            <w:pPr>
              <w:pStyle w:val="Compact"/>
              <w:jc w:val="left"/>
            </w:pPr>
            <w:r>
              <w:t xml:space="preserve">4.2, 13</w:t>
            </w:r>
          </w:p>
        </w:tc>
      </w:tr>
      <w:tr>
        <w:tc>
          <w:tcPr>
            <w:tcW w:w="1135" w:type="dxa"/>
          </w:tcPr>
          <w:p>
            <w:pPr>
              <w:pStyle w:val="Compact"/>
              <w:jc w:val="left"/>
            </w:pPr>
            <w:r>
              <w:t xml:space="preserve">4</w:t>
            </w:r>
          </w:p>
        </w:tc>
        <w:tc>
          <w:tcPr>
            <w:tcW w:w="7088" w:type="dxa"/>
          </w:tcPr>
          <w:p>
            <w:pPr>
              <w:pStyle w:val="Compact"/>
              <w:jc w:val="left"/>
            </w:pPr>
            <w:r>
              <w:t xml:space="preserve">Why does an ocean entry usually carry HMF while a truck entry from Mexico does not?</w:t>
            </w:r>
          </w:p>
        </w:tc>
        <w:tc>
          <w:tcPr>
            <w:tcW w:w="1135" w:type="dxa"/>
          </w:tcPr>
          <w:p>
            <w:pPr>
              <w:pStyle w:val="Compact"/>
              <w:jc w:val="left"/>
            </w:pPr>
            <w:r>
              <w:t xml:space="preserve">4.3</w:t>
            </w:r>
          </w:p>
        </w:tc>
      </w:tr>
      <w:tr>
        <w:tc>
          <w:tcPr>
            <w:tcW w:w="1135" w:type="dxa"/>
          </w:tcPr>
          <w:p>
            <w:pPr>
              <w:pStyle w:val="Compact"/>
              <w:jc w:val="left"/>
            </w:pPr>
            <w:r>
              <w:t xml:space="preserve">5</w:t>
            </w:r>
          </w:p>
        </w:tc>
        <w:tc>
          <w:tcPr>
            <w:tcW w:w="7088" w:type="dxa"/>
          </w:tcPr>
          <w:p>
            <w:pPr>
              <w:pStyle w:val="Compact"/>
              <w:jc w:val="left"/>
            </w:pPr>
            <w:r>
              <w:t xml:space="preserve">What replaced the B3 in Canada, and what must an importer post to use release prior to payment?</w:t>
            </w:r>
          </w:p>
        </w:tc>
        <w:tc>
          <w:tcPr>
            <w:tcW w:w="1135" w:type="dxa"/>
          </w:tcPr>
          <w:p>
            <w:pPr>
              <w:pStyle w:val="Compact"/>
              <w:jc w:val="left"/>
            </w:pPr>
            <w:r>
              <w:t xml:space="preserve">5.1</w:t>
            </w:r>
          </w:p>
        </w:tc>
      </w:tr>
      <w:tr>
        <w:tc>
          <w:tcPr>
            <w:tcW w:w="1135" w:type="dxa"/>
          </w:tcPr>
          <w:p>
            <w:pPr>
              <w:pStyle w:val="Compact"/>
              <w:jc w:val="left"/>
            </w:pPr>
            <w:r>
              <w:t xml:space="preserve">6</w:t>
            </w:r>
          </w:p>
        </w:tc>
        <w:tc>
          <w:tcPr>
            <w:tcW w:w="7088" w:type="dxa"/>
          </w:tcPr>
          <w:p>
            <w:pPr>
              <w:pStyle w:val="Compact"/>
              <w:jc w:val="left"/>
            </w:pPr>
            <w:r>
              <w:t xml:space="preserve">A Canadian CAD was filed with the wrong origin, and you noticed it today. What clock has started, and how long is it?</w:t>
            </w:r>
          </w:p>
        </w:tc>
        <w:tc>
          <w:tcPr>
            <w:tcW w:w="1135" w:type="dxa"/>
          </w:tcPr>
          <w:p>
            <w:pPr>
              <w:pStyle w:val="Compact"/>
              <w:jc w:val="left"/>
            </w:pPr>
            <w:r>
              <w:t xml:space="preserve">5.2</w:t>
            </w:r>
          </w:p>
        </w:tc>
      </w:tr>
      <w:tr>
        <w:tc>
          <w:tcPr>
            <w:tcW w:w="1135" w:type="dxa"/>
          </w:tcPr>
          <w:p>
            <w:pPr>
              <w:pStyle w:val="Compact"/>
              <w:jc w:val="left"/>
            </w:pPr>
            <w:r>
              <w:t xml:space="preserve">7</w:t>
            </w:r>
          </w:p>
        </w:tc>
        <w:tc>
          <w:tcPr>
            <w:tcW w:w="7088" w:type="dxa"/>
          </w:tcPr>
          <w:p>
            <w:pPr>
              <w:pStyle w:val="Compact"/>
              <w:jc w:val="left"/>
            </w:pPr>
            <w:r>
              <w:t xml:space="preserve">Which registrations must a Mexican importer hold before an agente aduanal can file a pedimento for it?</w:t>
            </w:r>
          </w:p>
        </w:tc>
        <w:tc>
          <w:tcPr>
            <w:tcW w:w="1135" w:type="dxa"/>
          </w:tcPr>
          <w:p>
            <w:pPr>
              <w:pStyle w:val="Compact"/>
              <w:jc w:val="left"/>
            </w:pPr>
            <w:r>
              <w:t xml:space="preserve">6.1</w:t>
            </w:r>
          </w:p>
        </w:tc>
      </w:tr>
      <w:tr>
        <w:tc>
          <w:tcPr>
            <w:tcW w:w="1135" w:type="dxa"/>
          </w:tcPr>
          <w:p>
            <w:pPr>
              <w:pStyle w:val="Compact"/>
              <w:jc w:val="left"/>
            </w:pPr>
            <w:r>
              <w:t xml:space="preserve">8</w:t>
            </w:r>
          </w:p>
        </w:tc>
        <w:tc>
          <w:tcPr>
            <w:tcW w:w="7088" w:type="dxa"/>
          </w:tcPr>
          <w:p>
            <w:pPr>
              <w:pStyle w:val="Compact"/>
              <w:jc w:val="left"/>
            </w:pPr>
            <w:r>
              <w:t xml:space="preserve">Is international freight part of the customs value in the US, in Canada and in Mexico?</w:t>
            </w:r>
          </w:p>
        </w:tc>
        <w:tc>
          <w:tcPr>
            <w:tcW w:w="1135" w:type="dxa"/>
          </w:tcPr>
          <w:p>
            <w:pPr>
              <w:pStyle w:val="Compact"/>
              <w:jc w:val="left"/>
            </w:pPr>
            <w:r>
              <w:t xml:space="preserve">3.3, 9.3</w:t>
            </w:r>
          </w:p>
        </w:tc>
      </w:tr>
      <w:tr>
        <w:tc>
          <w:tcPr>
            <w:tcW w:w="1135" w:type="dxa"/>
          </w:tcPr>
          <w:p>
            <w:pPr>
              <w:pStyle w:val="Compact"/>
              <w:jc w:val="left"/>
            </w:pPr>
            <w:r>
              <w:t xml:space="preserve">9</w:t>
            </w:r>
          </w:p>
        </w:tc>
        <w:tc>
          <w:tcPr>
            <w:tcW w:w="7088" w:type="dxa"/>
          </w:tcPr>
          <w:p>
            <w:pPr>
              <w:pStyle w:val="Compact"/>
              <w:jc w:val="left"/>
            </w:pPr>
            <w:r>
              <w:t xml:space="preserve">Name the three parts of a Mexican 10-digit code and the US 10-digit code, and which digits set the duty rate.</w:t>
            </w:r>
          </w:p>
        </w:tc>
        <w:tc>
          <w:tcPr>
            <w:tcW w:w="1135" w:type="dxa"/>
          </w:tcPr>
          <w:p>
            <w:pPr>
              <w:pStyle w:val="Compact"/>
              <w:jc w:val="left"/>
            </w:pPr>
            <w:r>
              <w:t xml:space="preserve">3.2, 8.1</w:t>
            </w:r>
          </w:p>
        </w:tc>
      </w:tr>
      <w:tr>
        <w:tc>
          <w:tcPr>
            <w:tcW w:w="1135" w:type="dxa"/>
          </w:tcPr>
          <w:p>
            <w:pPr>
              <w:pStyle w:val="Compact"/>
              <w:jc w:val="left"/>
            </w:pPr>
            <w:r>
              <w:t xml:space="preserve">10</w:t>
            </w:r>
          </w:p>
        </w:tc>
        <w:tc>
          <w:tcPr>
            <w:tcW w:w="7088" w:type="dxa"/>
          </w:tcPr>
          <w:p>
            <w:pPr>
              <w:pStyle w:val="Compact"/>
              <w:jc w:val="left"/>
            </w:pPr>
            <w:r>
              <w:t xml:space="preserve">Why must you read the section and chapter notes before choosing a heading, and when do you move past GRI 1?</w:t>
            </w:r>
          </w:p>
        </w:tc>
        <w:tc>
          <w:tcPr>
            <w:tcW w:w="1135" w:type="dxa"/>
          </w:tcPr>
          <w:p>
            <w:pPr>
              <w:pStyle w:val="Compact"/>
              <w:jc w:val="left"/>
            </w:pPr>
            <w:r>
              <w:t xml:space="preserve">8.2</w:t>
            </w:r>
          </w:p>
        </w:tc>
      </w:tr>
      <w:tr>
        <w:tc>
          <w:tcPr>
            <w:tcW w:w="1135" w:type="dxa"/>
          </w:tcPr>
          <w:p>
            <w:pPr>
              <w:pStyle w:val="Compact"/>
              <w:jc w:val="left"/>
            </w:pPr>
            <w:r>
              <w:t xml:space="preserve">11</w:t>
            </w:r>
          </w:p>
        </w:tc>
        <w:tc>
          <w:tcPr>
            <w:tcW w:w="7088" w:type="dxa"/>
          </w:tcPr>
          <w:p>
            <w:pPr>
              <w:pStyle w:val="Compact"/>
              <w:jc w:val="left"/>
            </w:pPr>
            <w:r>
              <w:t xml:space="preserve">A "kit" holds a flashlight, batteries and a strap, packed for retail sale. What three conditions decide whether it is classified as one set?</w:t>
            </w:r>
          </w:p>
        </w:tc>
        <w:tc>
          <w:tcPr>
            <w:tcW w:w="1135" w:type="dxa"/>
          </w:tcPr>
          <w:p>
            <w:pPr>
              <w:pStyle w:val="Compact"/>
              <w:jc w:val="left"/>
            </w:pPr>
            <w:r>
              <w:t xml:space="preserve">8.3</w:t>
            </w:r>
          </w:p>
        </w:tc>
      </w:tr>
      <w:tr>
        <w:tc>
          <w:tcPr>
            <w:tcW w:w="1135" w:type="dxa"/>
          </w:tcPr>
          <w:p>
            <w:pPr>
              <w:pStyle w:val="Compact"/>
              <w:jc w:val="left"/>
            </w:pPr>
            <w:r>
              <w:t xml:space="preserve">12</w:t>
            </w:r>
          </w:p>
        </w:tc>
        <w:tc>
          <w:tcPr>
            <w:tcW w:w="7088" w:type="dxa"/>
          </w:tcPr>
          <w:p>
            <w:pPr>
              <w:pStyle w:val="Compact"/>
              <w:jc w:val="left"/>
            </w:pPr>
            <w:r>
              <w:t xml:space="preserve">Is a CROSS ruling issued to another importer binding for our item? How should you use it?</w:t>
            </w:r>
          </w:p>
        </w:tc>
        <w:tc>
          <w:tcPr>
            <w:tcW w:w="1135" w:type="dxa"/>
          </w:tcPr>
          <w:p>
            <w:pPr>
              <w:pStyle w:val="Compact"/>
              <w:jc w:val="left"/>
            </w:pPr>
            <w:r>
              <w:t xml:space="preserve">8.5</w:t>
            </w:r>
          </w:p>
        </w:tc>
      </w:tr>
      <w:tr>
        <w:tc>
          <w:tcPr>
            <w:tcW w:w="1135" w:type="dxa"/>
          </w:tcPr>
          <w:p>
            <w:pPr>
              <w:pStyle w:val="Compact"/>
              <w:jc w:val="left"/>
            </w:pPr>
            <w:r>
              <w:t xml:space="preserve">13</w:t>
            </w:r>
          </w:p>
        </w:tc>
        <w:tc>
          <w:tcPr>
            <w:tcW w:w="7088" w:type="dxa"/>
          </w:tcPr>
          <w:p>
            <w:pPr>
              <w:pStyle w:val="Compact"/>
              <w:jc w:val="left"/>
            </w:pPr>
            <w:r>
              <w:t xml:space="preserve">We paid US$6,000 for tooling that our supplier uses to make our parts. What is it called, and what must happen to its value?</w:t>
            </w:r>
          </w:p>
        </w:tc>
        <w:tc>
          <w:tcPr>
            <w:tcW w:w="1135" w:type="dxa"/>
          </w:tcPr>
          <w:p>
            <w:pPr>
              <w:pStyle w:val="Compact"/>
              <w:jc w:val="left"/>
            </w:pPr>
            <w:r>
              <w:t xml:space="preserve">9.3</w:t>
            </w:r>
          </w:p>
        </w:tc>
      </w:tr>
      <w:tr>
        <w:tc>
          <w:tcPr>
            <w:tcW w:w="1135" w:type="dxa"/>
          </w:tcPr>
          <w:p>
            <w:pPr>
              <w:pStyle w:val="Compact"/>
              <w:jc w:val="left"/>
            </w:pPr>
            <w:r>
              <w:t xml:space="preserve">14</w:t>
            </w:r>
          </w:p>
        </w:tc>
        <w:tc>
          <w:tcPr>
            <w:tcW w:w="7088" w:type="dxa"/>
          </w:tcPr>
          <w:p>
            <w:pPr>
              <w:pStyle w:val="Compact"/>
              <w:jc w:val="left"/>
            </w:pPr>
            <w:r>
              <w:t xml:space="preserve">Why can an item assembled in Mexico from Chinese parts be "of Mexico" for a China-specific additional duty yet fail USMCA?</w:t>
            </w:r>
          </w:p>
        </w:tc>
        <w:tc>
          <w:tcPr>
            <w:tcW w:w="1135" w:type="dxa"/>
          </w:tcPr>
          <w:p>
            <w:pPr>
              <w:pStyle w:val="Compact"/>
              <w:jc w:val="left"/>
            </w:pPr>
            <w:r>
              <w:t xml:space="preserve">10.1</w:t>
            </w:r>
          </w:p>
        </w:tc>
      </w:tr>
      <w:tr>
        <w:tc>
          <w:tcPr>
            <w:tcW w:w="1135" w:type="dxa"/>
          </w:tcPr>
          <w:p>
            <w:pPr>
              <w:pStyle w:val="Compact"/>
              <w:jc w:val="left"/>
            </w:pPr>
            <w:r>
              <w:t xml:space="preserve">15</w:t>
            </w:r>
          </w:p>
        </w:tc>
        <w:tc>
          <w:tcPr>
            <w:tcW w:w="7088" w:type="dxa"/>
          </w:tcPr>
          <w:p>
            <w:pPr>
              <w:pStyle w:val="Compact"/>
              <w:jc w:val="left"/>
            </w:pPr>
            <w:r>
              <w:t xml:space="preserve">Write the USMCA transaction value and net cost RVC formulas, and say why net cost usually needs the producer's data.</w:t>
            </w:r>
          </w:p>
        </w:tc>
        <w:tc>
          <w:tcPr>
            <w:tcW w:w="1135" w:type="dxa"/>
          </w:tcPr>
          <w:p>
            <w:pPr>
              <w:pStyle w:val="Compact"/>
              <w:jc w:val="left"/>
            </w:pPr>
            <w:r>
              <w:t xml:space="preserve">10.4</w:t>
            </w:r>
          </w:p>
        </w:tc>
      </w:tr>
      <w:tr>
        <w:tc>
          <w:tcPr>
            <w:tcW w:w="1135" w:type="dxa"/>
          </w:tcPr>
          <w:p>
            <w:pPr>
              <w:pStyle w:val="Compact"/>
              <w:jc w:val="left"/>
            </w:pPr>
            <w:r>
              <w:t xml:space="preserve">16</w:t>
            </w:r>
          </w:p>
        </w:tc>
        <w:tc>
          <w:tcPr>
            <w:tcW w:w="7088" w:type="dxa"/>
          </w:tcPr>
          <w:p>
            <w:pPr>
              <w:pStyle w:val="Compact"/>
              <w:jc w:val="left"/>
            </w:pPr>
            <w:r>
              <w:t xml:space="preserve">One non-originating component fails the required tariff shift. Which two provisions might still let the good qualify?</w:t>
            </w:r>
          </w:p>
        </w:tc>
        <w:tc>
          <w:tcPr>
            <w:tcW w:w="1135" w:type="dxa"/>
          </w:tcPr>
          <w:p>
            <w:pPr>
              <w:pStyle w:val="Compact"/>
              <w:jc w:val="left"/>
            </w:pPr>
            <w:r>
              <w:t xml:space="preserve">10.5, 10.8</w:t>
            </w:r>
          </w:p>
        </w:tc>
      </w:tr>
      <w:tr>
        <w:tc>
          <w:tcPr>
            <w:tcW w:w="1135" w:type="dxa"/>
          </w:tcPr>
          <w:p>
            <w:pPr>
              <w:pStyle w:val="Compact"/>
              <w:jc w:val="left"/>
            </w:pPr>
            <w:r>
              <w:t xml:space="preserve">17</w:t>
            </w:r>
          </w:p>
        </w:tc>
        <w:tc>
          <w:tcPr>
            <w:tcW w:w="7088" w:type="dxa"/>
          </w:tcPr>
          <w:p>
            <w:pPr>
              <w:pStyle w:val="Compact"/>
              <w:jc w:val="left"/>
            </w:pPr>
            <w:r>
              <w:t xml:space="preserve">List the nine minimum data elements of a USMCA certification. How long can a blanket period be?</w:t>
            </w:r>
          </w:p>
        </w:tc>
        <w:tc>
          <w:tcPr>
            <w:tcW w:w="1135" w:type="dxa"/>
          </w:tcPr>
          <w:p>
            <w:pPr>
              <w:pStyle w:val="Compact"/>
              <w:jc w:val="left"/>
            </w:pPr>
            <w:r>
              <w:t xml:space="preserve">10.7</w:t>
            </w:r>
          </w:p>
        </w:tc>
      </w:tr>
      <w:tr>
        <w:tc>
          <w:tcPr>
            <w:tcW w:w="1135" w:type="dxa"/>
          </w:tcPr>
          <w:p>
            <w:pPr>
              <w:pStyle w:val="Compact"/>
              <w:jc w:val="left"/>
            </w:pPr>
            <w:r>
              <w:t xml:space="preserve">18</w:t>
            </w:r>
          </w:p>
        </w:tc>
        <w:tc>
          <w:tcPr>
            <w:tcW w:w="7088" w:type="dxa"/>
          </w:tcPr>
          <w:p>
            <w:pPr>
              <w:pStyle w:val="Compact"/>
              <w:jc w:val="left"/>
            </w:pPr>
            <w:r>
              <w:t xml:space="preserve">We learn after entry that a USMCA certification we relied on is wrong. What must we do?</w:t>
            </w:r>
          </w:p>
        </w:tc>
        <w:tc>
          <w:tcPr>
            <w:tcW w:w="1135" w:type="dxa"/>
          </w:tcPr>
          <w:p>
            <w:pPr>
              <w:pStyle w:val="Compact"/>
              <w:jc w:val="left"/>
            </w:pPr>
            <w:r>
              <w:t xml:space="preserve">10.7, 13.2</w:t>
            </w:r>
          </w:p>
        </w:tc>
      </w:tr>
      <w:tr>
        <w:tc>
          <w:tcPr>
            <w:tcW w:w="1135" w:type="dxa"/>
          </w:tcPr>
          <w:p>
            <w:pPr>
              <w:pStyle w:val="Compact"/>
              <w:jc w:val="left"/>
            </w:pPr>
            <w:r>
              <w:t xml:space="preserve">19</w:t>
            </w:r>
          </w:p>
        </w:tc>
        <w:tc>
          <w:tcPr>
            <w:tcW w:w="7088" w:type="dxa"/>
          </w:tcPr>
          <w:p>
            <w:pPr>
              <w:pStyle w:val="Compact"/>
              <w:jc w:val="left"/>
            </w:pPr>
            <w:r>
              <w:t xml:space="preserve">What does an IMMEX temporary import defer, and what do Anexo 24 and the SCCCyG (Anexo 30, formerly Anexo 31) each track?</w:t>
            </w:r>
          </w:p>
        </w:tc>
        <w:tc>
          <w:tcPr>
            <w:tcW w:w="1135" w:type="dxa"/>
          </w:tcPr>
          <w:p>
            <w:pPr>
              <w:pStyle w:val="Compact"/>
              <w:jc w:val="left"/>
            </w:pPr>
            <w:r>
              <w:t xml:space="preserve">11.1</w:t>
            </w:r>
          </w:p>
        </w:tc>
      </w:tr>
      <w:tr>
        <w:tc>
          <w:tcPr>
            <w:tcW w:w="1135" w:type="dxa"/>
          </w:tcPr>
          <w:p>
            <w:pPr>
              <w:pStyle w:val="Compact"/>
              <w:jc w:val="left"/>
            </w:pPr>
            <w:r>
              <w:t xml:space="preserve">20</w:t>
            </w:r>
          </w:p>
        </w:tc>
        <w:tc>
          <w:tcPr>
            <w:tcW w:w="7088" w:type="dxa"/>
          </w:tcPr>
          <w:p>
            <w:pPr>
              <w:pStyle w:val="Compact"/>
              <w:jc w:val="left"/>
            </w:pPr>
            <w:r>
              <w:t xml:space="preserve">What is the maximum share of duties refunded under US drawback, what is the general time limit, and who owns drawback in our team?</w:t>
            </w:r>
          </w:p>
        </w:tc>
        <w:tc>
          <w:tcPr>
            <w:tcW w:w="1135" w:type="dxa"/>
          </w:tcPr>
          <w:p>
            <w:pPr>
              <w:pStyle w:val="Compact"/>
              <w:jc w:val="left"/>
            </w:pPr>
            <w:r>
              <w:t xml:space="preserve">11.2</w:t>
            </w:r>
          </w:p>
        </w:tc>
      </w:tr>
      <w:tr>
        <w:tc>
          <w:tcPr>
            <w:tcW w:w="1135" w:type="dxa"/>
          </w:tcPr>
          <w:p>
            <w:pPr>
              <w:pStyle w:val="Compact"/>
              <w:jc w:val="left"/>
            </w:pPr>
            <w:r>
              <w:t xml:space="preserve">21</w:t>
            </w:r>
          </w:p>
        </w:tc>
        <w:tc>
          <w:tcPr>
            <w:tcW w:w="7088" w:type="dxa"/>
          </w:tcPr>
          <w:p>
            <w:pPr>
              <w:pStyle w:val="Compact"/>
              <w:jc w:val="left"/>
            </w:pPr>
            <w:r>
              <w:t xml:space="preserve">What does EAR99 mean, and in which three situations might an EAR99 item still need a license?</w:t>
            </w:r>
          </w:p>
        </w:tc>
        <w:tc>
          <w:tcPr>
            <w:tcW w:w="1135" w:type="dxa"/>
          </w:tcPr>
          <w:p>
            <w:pPr>
              <w:pStyle w:val="Compact"/>
              <w:jc w:val="left"/>
            </w:pPr>
            <w:r>
              <w:t xml:space="preserve">12.1</w:t>
            </w:r>
          </w:p>
        </w:tc>
      </w:tr>
      <w:tr>
        <w:tc>
          <w:tcPr>
            <w:tcW w:w="1135" w:type="dxa"/>
          </w:tcPr>
          <w:p>
            <w:pPr>
              <w:pStyle w:val="Compact"/>
              <w:jc w:val="left"/>
            </w:pPr>
            <w:r>
              <w:t xml:space="preserve">22</w:t>
            </w:r>
          </w:p>
        </w:tc>
        <w:tc>
          <w:tcPr>
            <w:tcW w:w="7088" w:type="dxa"/>
          </w:tcPr>
          <w:p>
            <w:pPr>
              <w:pStyle w:val="Compact"/>
              <w:jc w:val="left"/>
            </w:pPr>
            <w:r>
              <w:t xml:space="preserve">A US$12,000 shipment of EAR99 goods, all under one Schedule B number, needs no license. Is EEI required if it goes to Canada? To Mexico?</w:t>
            </w:r>
          </w:p>
        </w:tc>
        <w:tc>
          <w:tcPr>
            <w:tcW w:w="1135" w:type="dxa"/>
          </w:tcPr>
          <w:p>
            <w:pPr>
              <w:pStyle w:val="Compact"/>
              <w:jc w:val="left"/>
            </w:pPr>
            <w:r>
              <w:t xml:space="preserve">12.2</w:t>
            </w:r>
          </w:p>
        </w:tc>
      </w:tr>
      <w:tr>
        <w:tc>
          <w:tcPr>
            <w:tcW w:w="1135" w:type="dxa"/>
          </w:tcPr>
          <w:p>
            <w:pPr>
              <w:pStyle w:val="Compact"/>
              <w:jc w:val="left"/>
            </w:pPr>
            <w:r>
              <w:t xml:space="preserve">23</w:t>
            </w:r>
          </w:p>
        </w:tc>
        <w:tc>
          <w:tcPr>
            <w:tcW w:w="7088" w:type="dxa"/>
          </w:tcPr>
          <w:p>
            <w:pPr>
              <w:pStyle w:val="Compact"/>
              <w:jc w:val="left"/>
            </w:pPr>
            <w:r>
              <w:t xml:space="preserve">Which four fields do you compare first when auditing a filed entry line, and who owns the fix for each?</w:t>
            </w:r>
          </w:p>
        </w:tc>
        <w:tc>
          <w:tcPr>
            <w:tcW w:w="1135" w:type="dxa"/>
          </w:tcPr>
          <w:p>
            <w:pPr>
              <w:pStyle w:val="Compact"/>
              <w:jc w:val="left"/>
            </w:pPr>
            <w:r>
              <w:t xml:space="preserve">7.3</w:t>
            </w:r>
          </w:p>
        </w:tc>
      </w:tr>
      <w:tr>
        <w:tc>
          <w:tcPr>
            <w:tcW w:w="1135" w:type="dxa"/>
          </w:tcPr>
          <w:p>
            <w:pPr>
              <w:pStyle w:val="Compact"/>
              <w:jc w:val="left"/>
            </w:pPr>
            <w:r>
              <w:t xml:space="preserve">24</w:t>
            </w:r>
          </w:p>
        </w:tc>
        <w:tc>
          <w:tcPr>
            <w:tcW w:w="7088" w:type="dxa"/>
          </w:tcPr>
          <w:p>
            <w:pPr>
              <w:pStyle w:val="Compact"/>
              <w:jc w:val="left"/>
            </w:pPr>
            <w:r>
              <w:t xml:space="preserve">You find an error affecting 40 entries. List the first four things you do, in order.</w:t>
            </w:r>
          </w:p>
        </w:tc>
        <w:tc>
          <w:tcPr>
            <w:tcW w:w="1135" w:type="dxa"/>
          </w:tcPr>
          <w:p>
            <w:pPr>
              <w:pStyle w:val="Compact"/>
              <w:jc w:val="left"/>
            </w:pPr>
            <w:r>
              <w:t xml:space="preserve">13.2</w:t>
            </w:r>
          </w:p>
        </w:tc>
      </w:tr>
      <w:tr>
        <w:tc>
          <w:tcPr>
            <w:tcW w:w="1135" w:type="dxa"/>
          </w:tcPr>
          <w:p>
            <w:pPr>
              <w:pStyle w:val="Compact"/>
              <w:jc w:val="left"/>
            </w:pPr>
            <w:r>
              <w:t xml:space="preserve">25</w:t>
            </w:r>
          </w:p>
        </w:tc>
        <w:tc>
          <w:tcPr>
            <w:tcW w:w="7088" w:type="dxa"/>
          </w:tcPr>
          <w:p>
            <w:pPr>
              <w:pStyle w:val="Compact"/>
              <w:jc w:val="left"/>
            </w:pPr>
            <w:r>
              <w:t xml:space="preserve">Why must our item data keep classification history with effective dates, and what happens on 1 January 2028?</w:t>
            </w:r>
          </w:p>
        </w:tc>
        <w:tc>
          <w:tcPr>
            <w:tcW w:w="1135" w:type="dxa"/>
          </w:tcPr>
          <w:p>
            <w:pPr>
              <w:pStyle w:val="Compact"/>
              <w:jc w:val="left"/>
            </w:pPr>
            <w:r>
              <w:t xml:space="preserve">8.1</w:t>
            </w:r>
          </w:p>
        </w:tc>
      </w:tr>
    </w:tbl>
    <w:bookmarkEnd w:id="91"/>
    <w:bookmarkStart w:id="128"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dxa" w:w="9360"/>
        <w:tblLook w:firstRow="1" w:lastRow="0" w:firstColumn="0" w:lastColumn="0" w:noHBand="0" w:noVBand="0" w:val="0020"/>
        <w:jc w:val="start"/>
        <w:tblLayout w:type="fixed"/>
      </w:tblPr>
      <w:tblGrid>
        <w:gridCol w:w="2219"/>
        <w:gridCol w:w="1840"/>
        <w:gridCol w:w="5300"/>
      </w:tblGrid>
      <w:tr>
        <w:trPr>
          <w:tblHeader w:val="true"/>
        </w:trPr>
        <w:tc>
          <w:tcPr>
            <w:tcW w:w="2219" w:type="dxa"/>
          </w:tcPr>
          <w:p>
            <w:pPr>
              <w:pStyle w:val="Compact"/>
              <w:jc w:val="left"/>
            </w:pPr>
            <w:r>
              <w:t xml:space="preserve">Topic</w:t>
            </w:r>
          </w:p>
        </w:tc>
        <w:tc>
          <w:tcPr>
            <w:tcW w:w="1840" w:type="dxa"/>
          </w:tcPr>
          <w:p>
            <w:pPr>
              <w:pStyle w:val="Compact"/>
              <w:jc w:val="left"/>
            </w:pPr>
            <w:r>
              <w:t xml:space="preserve">Source</w:t>
            </w:r>
          </w:p>
        </w:tc>
        <w:tc>
          <w:tcPr>
            <w:tcW w:w="5300" w:type="dxa"/>
          </w:tcPr>
          <w:p>
            <w:pPr>
              <w:pStyle w:val="Compact"/>
              <w:jc w:val="left"/>
            </w:pPr>
            <w:r>
              <w:t xml:space="preserve">Link</w:t>
            </w:r>
          </w:p>
        </w:tc>
      </w:tr>
      <w:tr>
        <w:tc>
          <w:tcPr>
            <w:tcW w:w="2219" w:type="dxa"/>
          </w:tcPr>
          <w:p>
            <w:pPr>
              <w:pStyle w:val="Compact"/>
              <w:jc w:val="left"/>
            </w:pPr>
            <w:r>
              <w:t xml:space="preserve">US importing overview</w:t>
            </w:r>
          </w:p>
        </w:tc>
        <w:tc>
          <w:tcPr>
            <w:tcW w:w="1840" w:type="dxa"/>
          </w:tcPr>
          <w:p>
            <w:pPr>
              <w:pStyle w:val="Compact"/>
              <w:jc w:val="left"/>
            </w:pPr>
            <w:r>
              <w:t xml:space="preserve">CBP, Importing into the United States</w:t>
            </w:r>
          </w:p>
        </w:tc>
        <w:tc>
          <w:tcPr>
            <w:tcW w:w="5300" w:type="dxa"/>
          </w:tcPr>
          <w:p>
            <w:pPr>
              <w:pStyle w:val="Compact"/>
              <w:jc w:val="left"/>
            </w:pPr>
            <w:hyperlink r:id="rId92">
              <w:r>
                <w:rPr>
                  <w:rStyle w:val="Hyperlink"/>
                </w:rPr>
                <w:t xml:space="preserve">https://www.cbp.gov/document/publications/importing-united-states</w:t>
              </w:r>
            </w:hyperlink>
          </w:p>
        </w:tc>
      </w:tr>
      <w:tr>
        <w:tc>
          <w:tcPr>
            <w:tcW w:w="2219" w:type="dxa"/>
          </w:tcPr>
          <w:p>
            <w:pPr>
              <w:pStyle w:val="Compact"/>
              <w:jc w:val="left"/>
            </w:pPr>
            <w:r>
              <w:t xml:space="preserve">US informed compliance publications (reasonable care, valuation, classification and more)</w:t>
            </w:r>
          </w:p>
        </w:tc>
        <w:tc>
          <w:tcPr>
            <w:tcW w:w="1840" w:type="dxa"/>
          </w:tcPr>
          <w:p>
            <w:pPr>
              <w:pStyle w:val="Compact"/>
              <w:jc w:val="left"/>
            </w:pPr>
            <w:r>
              <w:t xml:space="preserve">CBP</w:t>
            </w:r>
          </w:p>
        </w:tc>
        <w:tc>
          <w:tcPr>
            <w:tcW w:w="5300" w:type="dxa"/>
          </w:tcPr>
          <w:p>
            <w:pPr>
              <w:pStyle w:val="Compact"/>
              <w:jc w:val="left"/>
            </w:pPr>
            <w:hyperlink r:id="rId93">
              <w:r>
                <w:rPr>
                  <w:rStyle w:val="Hyperlink"/>
                </w:rPr>
                <w:t xml:space="preserve">https://www.cbp.gov/trade/rulings/informed-compliance-publications</w:t>
              </w:r>
            </w:hyperlink>
          </w:p>
        </w:tc>
      </w:tr>
      <w:tr>
        <w:tc>
          <w:tcPr>
            <w:tcW w:w="2219" w:type="dxa"/>
          </w:tcPr>
          <w:p>
            <w:pPr>
              <w:pStyle w:val="Compact"/>
              <w:jc w:val="left"/>
            </w:pPr>
            <w:r>
              <w:t xml:space="preserve">HTSUS</w:t>
            </w:r>
          </w:p>
        </w:tc>
        <w:tc>
          <w:tcPr>
            <w:tcW w:w="1840" w:type="dxa"/>
          </w:tcPr>
          <w:p>
            <w:pPr>
              <w:pStyle w:val="Compact"/>
              <w:jc w:val="left"/>
            </w:pPr>
            <w:r>
              <w:t xml:space="preserve">USITC</w:t>
            </w:r>
          </w:p>
        </w:tc>
        <w:tc>
          <w:tcPr>
            <w:tcW w:w="5300" w:type="dxa"/>
          </w:tcPr>
          <w:p>
            <w:pPr>
              <w:pStyle w:val="Compact"/>
              <w:jc w:val="left"/>
            </w:pPr>
            <w:hyperlink r:id="rId94">
              <w:r>
                <w:rPr>
                  <w:rStyle w:val="Hyperlink"/>
                </w:rPr>
                <w:t xml:space="preserve">https://hts.usitc.gov/</w:t>
              </w:r>
            </w:hyperlink>
          </w:p>
        </w:tc>
      </w:tr>
      <w:tr>
        <w:tc>
          <w:tcPr>
            <w:tcW w:w="2219" w:type="dxa"/>
          </w:tcPr>
          <w:p>
            <w:pPr>
              <w:pStyle w:val="Compact"/>
              <w:jc w:val="left"/>
            </w:pPr>
            <w:r>
              <w:t xml:space="preserve">US rulings</w:t>
            </w:r>
          </w:p>
        </w:tc>
        <w:tc>
          <w:tcPr>
            <w:tcW w:w="1840" w:type="dxa"/>
          </w:tcPr>
          <w:p>
            <w:pPr>
              <w:pStyle w:val="Compact"/>
              <w:jc w:val="left"/>
            </w:pPr>
            <w:r>
              <w:t xml:space="preserve">CBP CROSS</w:t>
            </w:r>
          </w:p>
        </w:tc>
        <w:tc>
          <w:tcPr>
            <w:tcW w:w="5300" w:type="dxa"/>
          </w:tcPr>
          <w:p>
            <w:pPr>
              <w:pStyle w:val="Compact"/>
              <w:jc w:val="left"/>
            </w:pPr>
            <w:hyperlink r:id="rId95">
              <w:r>
                <w:rPr>
                  <w:rStyle w:val="Hyperlink"/>
                </w:rPr>
                <w:t xml:space="preserve">https://rulings.cbp.gov/</w:t>
              </w:r>
            </w:hyperlink>
          </w:p>
        </w:tc>
      </w:tr>
      <w:tr>
        <w:tc>
          <w:tcPr>
            <w:tcW w:w="2219" w:type="dxa"/>
          </w:tcPr>
          <w:p>
            <w:pPr>
              <w:pStyle w:val="Compact"/>
              <w:jc w:val="left"/>
            </w:pPr>
            <w:r>
              <w:t xml:space="preserve">US regulations (19 CFR)</w:t>
            </w:r>
          </w:p>
        </w:tc>
        <w:tc>
          <w:tcPr>
            <w:tcW w:w="1840" w:type="dxa"/>
          </w:tcPr>
          <w:p>
            <w:pPr>
              <w:pStyle w:val="Compact"/>
              <w:jc w:val="left"/>
            </w:pPr>
            <w:r>
              <w:t xml:space="preserve">eCFR</w:t>
            </w:r>
          </w:p>
        </w:tc>
        <w:tc>
          <w:tcPr>
            <w:tcW w:w="5300" w:type="dxa"/>
          </w:tcPr>
          <w:p>
            <w:pPr>
              <w:pStyle w:val="Compact"/>
              <w:jc w:val="left"/>
            </w:pPr>
            <w:hyperlink r:id="rId96">
              <w:r>
                <w:rPr>
                  <w:rStyle w:val="Hyperlink"/>
                </w:rPr>
                <w:t xml:space="preserve">https://www.ecfr.gov/current/title-19</w:t>
              </w:r>
            </w:hyperlink>
          </w:p>
        </w:tc>
      </w:tr>
      <w:tr>
        <w:tc>
          <w:tcPr>
            <w:tcW w:w="2219" w:type="dxa"/>
          </w:tcPr>
          <w:p>
            <w:pPr>
              <w:pStyle w:val="Compact"/>
              <w:jc w:val="left"/>
            </w:pPr>
            <w:r>
              <w:t xml:space="preserve">US recordkeeping</w:t>
            </w:r>
          </w:p>
        </w:tc>
        <w:tc>
          <w:tcPr>
            <w:tcW w:w="1840" w:type="dxa"/>
          </w:tcPr>
          <w:p>
            <w:pPr>
              <w:pStyle w:val="Compact"/>
              <w:jc w:val="left"/>
            </w:pPr>
            <w:r>
              <w:t xml:space="preserve">19 CFR Part 163</w:t>
            </w:r>
          </w:p>
        </w:tc>
        <w:tc>
          <w:tcPr>
            <w:tcW w:w="5300" w:type="dxa"/>
          </w:tcPr>
          <w:p>
            <w:pPr>
              <w:pStyle w:val="Compact"/>
              <w:jc w:val="left"/>
            </w:pPr>
            <w:hyperlink r:id="rId97">
              <w:r>
                <w:rPr>
                  <w:rStyle w:val="Hyperlink"/>
                </w:rPr>
                <w:t xml:space="preserve">https://www.ecfr.gov/current/title-19/chapter-I/part-163</w:t>
              </w:r>
            </w:hyperlink>
          </w:p>
        </w:tc>
      </w:tr>
      <w:tr>
        <w:tc>
          <w:tcPr>
            <w:tcW w:w="2219" w:type="dxa"/>
          </w:tcPr>
          <w:p>
            <w:pPr>
              <w:pStyle w:val="Compact"/>
              <w:jc w:val="left"/>
            </w:pPr>
            <w:r>
              <w:t xml:space="preserve">US penalties</w:t>
            </w:r>
          </w:p>
        </w:tc>
        <w:tc>
          <w:tcPr>
            <w:tcW w:w="1840" w:type="dxa"/>
          </w:tcPr>
          <w:p>
            <w:pPr>
              <w:pStyle w:val="Compact"/>
              <w:jc w:val="left"/>
            </w:pPr>
            <w:r>
              <w:t xml:space="preserve">19 U.S.C. 1592</w:t>
            </w:r>
          </w:p>
        </w:tc>
        <w:tc>
          <w:tcPr>
            <w:tcW w:w="5300" w:type="dxa"/>
          </w:tcPr>
          <w:p>
            <w:pPr>
              <w:pStyle w:val="Compact"/>
              <w:jc w:val="left"/>
            </w:pPr>
            <w:hyperlink r:id="rId98">
              <w:r>
                <w:rPr>
                  <w:rStyle w:val="Hyperlink"/>
                </w:rPr>
                <w:t xml:space="preserve">https://www.law.cornell.edu/uscode/text/19/1592</w:t>
              </w:r>
            </w:hyperlink>
          </w:p>
        </w:tc>
      </w:tr>
      <w:tr>
        <w:tc>
          <w:tcPr>
            <w:tcW w:w="2219" w:type="dxa"/>
          </w:tcPr>
          <w:p>
            <w:pPr>
              <w:pStyle w:val="Compact"/>
              <w:jc w:val="left"/>
            </w:pPr>
            <w:r>
              <w:t xml:space="preserve">US prior disclosure</w:t>
            </w:r>
          </w:p>
        </w:tc>
        <w:tc>
          <w:tcPr>
            <w:tcW w:w="1840" w:type="dxa"/>
          </w:tcPr>
          <w:p>
            <w:pPr>
              <w:pStyle w:val="Compact"/>
              <w:jc w:val="left"/>
            </w:pPr>
            <w:r>
              <w:t xml:space="preserve">CBP informed compliance publication</w:t>
            </w:r>
          </w:p>
        </w:tc>
        <w:tc>
          <w:tcPr>
            <w:tcW w:w="5300" w:type="dxa"/>
          </w:tcPr>
          <w:p>
            <w:pPr>
              <w:pStyle w:val="Compact"/>
              <w:jc w:val="left"/>
            </w:pPr>
            <w:hyperlink r:id="rId99">
              <w:r>
                <w:rPr>
                  <w:rStyle w:val="Hyperlink"/>
                </w:rPr>
                <w:t xml:space="preserve">https://www.cbp.gov/sites/default/files/assets/documents/2020-Feb/Prior%20Disclosure%20FINAL.pdf</w:t>
              </w:r>
            </w:hyperlink>
          </w:p>
        </w:tc>
      </w:tr>
      <w:tr>
        <w:tc>
          <w:tcPr>
            <w:tcW w:w="2219" w:type="dxa"/>
          </w:tcPr>
          <w:p>
            <w:pPr>
              <w:pStyle w:val="Compact"/>
              <w:jc w:val="left"/>
            </w:pPr>
            <w:r>
              <w:t xml:space="preserve">US rules of origin for marking (goods of Canada and Mexico)</w:t>
            </w:r>
          </w:p>
        </w:tc>
        <w:tc>
          <w:tcPr>
            <w:tcW w:w="1840" w:type="dxa"/>
          </w:tcPr>
          <w:p>
            <w:pPr>
              <w:pStyle w:val="Compact"/>
              <w:jc w:val="left"/>
            </w:pPr>
            <w:r>
              <w:t xml:space="preserve">19 CFR Part 102</w:t>
            </w:r>
          </w:p>
        </w:tc>
        <w:tc>
          <w:tcPr>
            <w:tcW w:w="5300" w:type="dxa"/>
          </w:tcPr>
          <w:p>
            <w:pPr>
              <w:pStyle w:val="Compact"/>
              <w:jc w:val="left"/>
            </w:pPr>
            <w:hyperlink r:id="rId100">
              <w:r>
                <w:rPr>
                  <w:rStyle w:val="Hyperlink"/>
                </w:rPr>
                <w:t xml:space="preserve">https://www.ecfr.gov/current/title-19/chapter-I/part-102</w:t>
              </w:r>
            </w:hyperlink>
          </w:p>
        </w:tc>
      </w:tr>
      <w:tr>
        <w:tc>
          <w:tcPr>
            <w:tcW w:w="2219" w:type="dxa"/>
          </w:tcPr>
          <w:p>
            <w:pPr>
              <w:pStyle w:val="Compact"/>
              <w:jc w:val="left"/>
            </w:pPr>
            <w:r>
              <w:t xml:space="preserve">US marking</w:t>
            </w:r>
          </w:p>
        </w:tc>
        <w:tc>
          <w:tcPr>
            <w:tcW w:w="1840" w:type="dxa"/>
          </w:tcPr>
          <w:p>
            <w:pPr>
              <w:pStyle w:val="Compact"/>
              <w:jc w:val="left"/>
            </w:pPr>
            <w:r>
              <w:t xml:space="preserve">19 CFR Part 134</w:t>
            </w:r>
          </w:p>
        </w:tc>
        <w:tc>
          <w:tcPr>
            <w:tcW w:w="5300" w:type="dxa"/>
          </w:tcPr>
          <w:p>
            <w:pPr>
              <w:pStyle w:val="Compact"/>
              <w:jc w:val="left"/>
            </w:pPr>
            <w:hyperlink r:id="rId101">
              <w:r>
                <w:rPr>
                  <w:rStyle w:val="Hyperlink"/>
                </w:rPr>
                <w:t xml:space="preserve">https://www.ecfr.gov/current/title-19/chapter-I/part-134</w:t>
              </w:r>
            </w:hyperlink>
          </w:p>
        </w:tc>
      </w:tr>
      <w:tr>
        <w:tc>
          <w:tcPr>
            <w:tcW w:w="2219" w:type="dxa"/>
          </w:tcPr>
          <w:p>
            <w:pPr>
              <w:pStyle w:val="Compact"/>
              <w:jc w:val="left"/>
            </w:pPr>
            <w:r>
              <w:t xml:space="preserve">US drawback</w:t>
            </w:r>
          </w:p>
        </w:tc>
        <w:tc>
          <w:tcPr>
            <w:tcW w:w="1840" w:type="dxa"/>
          </w:tcPr>
          <w:p>
            <w:pPr>
              <w:pStyle w:val="Compact"/>
              <w:jc w:val="left"/>
            </w:pPr>
            <w:r>
              <w:t xml:space="preserve">CBP drawback overview; 19 CFR Part 190</w:t>
            </w:r>
          </w:p>
        </w:tc>
        <w:tc>
          <w:tcPr>
            <w:tcW w:w="5300" w:type="dxa"/>
          </w:tcPr>
          <w:p>
            <w:pPr>
              <w:pStyle w:val="Compact"/>
              <w:jc w:val="left"/>
            </w:pPr>
            <w:hyperlink r:id="rId102">
              <w:r>
                <w:rPr>
                  <w:rStyle w:val="Hyperlink"/>
                </w:rPr>
                <w:t xml:space="preserve">https://www.cbp.gov/trade/programs-administration/entry-summary/drawback-overview</w:t>
              </w:r>
            </w:hyperlink>
          </w:p>
        </w:tc>
      </w:tr>
      <w:tr>
        <w:tc>
          <w:tcPr>
            <w:tcW w:w="2219" w:type="dxa"/>
          </w:tcPr>
          <w:p>
            <w:pPr>
              <w:pStyle w:val="Compact"/>
              <w:jc w:val="left"/>
            </w:pPr>
            <w:r>
              <w:t xml:space="preserve">US drawback recordkeeping</w:t>
            </w:r>
          </w:p>
        </w:tc>
        <w:tc>
          <w:tcPr>
            <w:tcW w:w="1840" w:type="dxa"/>
          </w:tcPr>
          <w:p>
            <w:pPr>
              <w:pStyle w:val="Compact"/>
              <w:jc w:val="left"/>
            </w:pPr>
            <w:r>
              <w:t xml:space="preserve">19 CFR 190.15</w:t>
            </w:r>
          </w:p>
        </w:tc>
        <w:tc>
          <w:tcPr>
            <w:tcW w:w="5300" w:type="dxa"/>
          </w:tcPr>
          <w:p>
            <w:pPr>
              <w:pStyle w:val="Compact"/>
              <w:jc w:val="left"/>
            </w:pPr>
            <w:hyperlink r:id="rId103">
              <w:r>
                <w:rPr>
                  <w:rStyle w:val="Hyperlink"/>
                </w:rPr>
                <w:t xml:space="preserve">https://www.ecfr.gov/current/title-19/chapter-I/part-190/subpart-A/section-190.15</w:t>
              </w:r>
            </w:hyperlink>
          </w:p>
        </w:tc>
      </w:tr>
      <w:tr>
        <w:tc>
          <w:tcPr>
            <w:tcW w:w="2219" w:type="dxa"/>
          </w:tcPr>
          <w:p>
            <w:pPr>
              <w:pStyle w:val="Compact"/>
              <w:jc w:val="left"/>
            </w:pPr>
            <w:r>
              <w:t xml:space="preserve">USMCA text (all chapters)</w:t>
            </w:r>
          </w:p>
        </w:tc>
        <w:tc>
          <w:tcPr>
            <w:tcW w:w="1840" w:type="dxa"/>
          </w:tcPr>
          <w:p>
            <w:pPr>
              <w:pStyle w:val="Compact"/>
              <w:jc w:val="left"/>
            </w:pPr>
            <w:r>
              <w:t xml:space="preserve">USTR</w:t>
            </w:r>
          </w:p>
        </w:tc>
        <w:tc>
          <w:tcPr>
            <w:tcW w:w="5300" w:type="dxa"/>
          </w:tcPr>
          <w:p>
            <w:pPr>
              <w:pStyle w:val="Compact"/>
              <w:jc w:val="left"/>
            </w:pPr>
            <w:hyperlink r:id="rId104">
              <w:r>
                <w:rPr>
                  <w:rStyle w:val="Hyperlink"/>
                </w:rPr>
                <w:t xml:space="preserve">https://ustr.gov/trade-agreements/free-trade-agreements/united-states-mexico-canada-agreement/agreement-between</w:t>
              </w:r>
            </w:hyperlink>
          </w:p>
        </w:tc>
      </w:tr>
      <w:tr>
        <w:tc>
          <w:tcPr>
            <w:tcW w:w="2219" w:type="dxa"/>
          </w:tcPr>
          <w:p>
            <w:pPr>
              <w:pStyle w:val="Compact"/>
              <w:jc w:val="left"/>
            </w:pPr>
            <w:r>
              <w:t xml:space="preserve">USMCA rules of origin (Chapter 4)</w:t>
            </w:r>
          </w:p>
        </w:tc>
        <w:tc>
          <w:tcPr>
            <w:tcW w:w="1840" w:type="dxa"/>
          </w:tcPr>
          <w:p>
            <w:pPr>
              <w:pStyle w:val="Compact"/>
              <w:jc w:val="left"/>
            </w:pPr>
            <w:r>
              <w:t xml:space="preserve">USTR</w:t>
            </w:r>
          </w:p>
        </w:tc>
        <w:tc>
          <w:tcPr>
            <w:tcW w:w="5300" w:type="dxa"/>
          </w:tcPr>
          <w:p>
            <w:pPr>
              <w:pStyle w:val="Compact"/>
              <w:jc w:val="left"/>
            </w:pPr>
            <w:hyperlink r:id="rId105">
              <w:r>
                <w:rPr>
                  <w:rStyle w:val="Hyperlink"/>
                </w:rPr>
                <w:t xml:space="preserve">https://ustr.gov/sites/default/files/files/agreements/FTA/USMCA/Text/04-Rules-of-Origin.pdf</w:t>
              </w:r>
            </w:hyperlink>
          </w:p>
        </w:tc>
      </w:tr>
      <w:tr>
        <w:tc>
          <w:tcPr>
            <w:tcW w:w="2219" w:type="dxa"/>
          </w:tcPr>
          <w:p>
            <w:pPr>
              <w:pStyle w:val="Compact"/>
              <w:jc w:val="left"/>
            </w:pPr>
            <w:r>
              <w:t xml:space="preserve">USMCA origin procedures (Chapter 5)</w:t>
            </w:r>
          </w:p>
        </w:tc>
        <w:tc>
          <w:tcPr>
            <w:tcW w:w="1840" w:type="dxa"/>
          </w:tcPr>
          <w:p>
            <w:pPr>
              <w:pStyle w:val="Compact"/>
              <w:jc w:val="left"/>
            </w:pPr>
            <w:r>
              <w:t xml:space="preserve">USTR</w:t>
            </w:r>
          </w:p>
        </w:tc>
        <w:tc>
          <w:tcPr>
            <w:tcW w:w="5300" w:type="dxa"/>
          </w:tcPr>
          <w:p>
            <w:pPr>
              <w:pStyle w:val="Compact"/>
              <w:jc w:val="left"/>
            </w:pPr>
            <w:hyperlink r:id="rId106">
              <w:r>
                <w:rPr>
                  <w:rStyle w:val="Hyperlink"/>
                </w:rPr>
                <w:t xml:space="preserve">https://ustr.gov/sites/default/files/files/agreements/FTA/USMCA/Text/05_Origin_Procedures.pdf</w:t>
              </w:r>
            </w:hyperlink>
          </w:p>
        </w:tc>
      </w:tr>
      <w:tr>
        <w:tc>
          <w:tcPr>
            <w:tcW w:w="2219" w:type="dxa"/>
          </w:tcPr>
          <w:p>
            <w:pPr>
              <w:pStyle w:val="Compact"/>
              <w:jc w:val="left"/>
            </w:pPr>
            <w:r>
              <w:t xml:space="preserve">USMCA in the US</w:t>
            </w:r>
          </w:p>
        </w:tc>
        <w:tc>
          <w:tcPr>
            <w:tcW w:w="1840" w:type="dxa"/>
          </w:tcPr>
          <w:p>
            <w:pPr>
              <w:pStyle w:val="Compact"/>
              <w:jc w:val="left"/>
            </w:pPr>
            <w:r>
              <w:t xml:space="preserve">CBP USMCA pages and FAQs</w:t>
            </w:r>
          </w:p>
        </w:tc>
        <w:tc>
          <w:tcPr>
            <w:tcW w:w="5300" w:type="dxa"/>
          </w:tcPr>
          <w:p>
            <w:pPr>
              <w:pStyle w:val="Compact"/>
              <w:jc w:val="left"/>
            </w:pPr>
            <w:hyperlink r:id="rId107">
              <w:r>
                <w:rPr>
                  <w:rStyle w:val="Hyperlink"/>
                </w:rPr>
                <w:t xml:space="preserve">https://www.cbp.gov/trade/priority-issues/trade-agreements/free-trade-agreements/USMCA</w:t>
              </w:r>
            </w:hyperlink>
          </w:p>
        </w:tc>
      </w:tr>
      <w:tr>
        <w:tc>
          <w:tcPr>
            <w:tcW w:w="2219" w:type="dxa"/>
          </w:tcPr>
          <w:p>
            <w:pPr>
              <w:pStyle w:val="Compact"/>
              <w:jc w:val="left"/>
            </w:pPr>
            <w:r>
              <w:t xml:space="preserve">USMCA post-importation claims and MPF refunds</w:t>
            </w:r>
          </w:p>
        </w:tc>
        <w:tc>
          <w:tcPr>
            <w:tcW w:w="1840" w:type="dxa"/>
          </w:tcPr>
          <w:p>
            <w:pPr>
              <w:pStyle w:val="Compact"/>
              <w:jc w:val="left"/>
            </w:pPr>
            <w:r>
              <w:t xml:space="preserve">CBP USMCA Implementation Instructions Addendum (January 2021)</w:t>
            </w:r>
          </w:p>
        </w:tc>
        <w:tc>
          <w:tcPr>
            <w:tcW w:w="5300" w:type="dxa"/>
          </w:tcPr>
          <w:p>
            <w:pPr>
              <w:pStyle w:val="Compact"/>
              <w:jc w:val="left"/>
            </w:pPr>
            <w:hyperlink r:id="rId108">
              <w:r>
                <w:rPr>
                  <w:rStyle w:val="Hyperlink"/>
                </w:rPr>
                <w:t xml:space="preserve">https://www.cbp.gov/document/guidance/usmca-implementation-instructions-addendum</w:t>
              </w:r>
            </w:hyperlink>
          </w:p>
        </w:tc>
      </w:tr>
      <w:tr>
        <w:tc>
          <w:tcPr>
            <w:tcW w:w="2219" w:type="dxa"/>
          </w:tcPr>
          <w:p>
            <w:pPr>
              <w:pStyle w:val="Compact"/>
              <w:jc w:val="left"/>
            </w:pPr>
            <w:r>
              <w:t xml:space="preserve">CARM</w:t>
            </w:r>
          </w:p>
        </w:tc>
        <w:tc>
          <w:tcPr>
            <w:tcW w:w="1840" w:type="dxa"/>
          </w:tcPr>
          <w:p>
            <w:pPr>
              <w:pStyle w:val="Compact"/>
              <w:jc w:val="left"/>
            </w:pPr>
            <w:r>
              <w:t xml:space="preserve">CBSA</w:t>
            </w:r>
          </w:p>
        </w:tc>
        <w:tc>
          <w:tcPr>
            <w:tcW w:w="5300" w:type="dxa"/>
          </w:tcPr>
          <w:p>
            <w:pPr>
              <w:pStyle w:val="Compact"/>
              <w:jc w:val="left"/>
            </w:pPr>
            <w:hyperlink r:id="rId109">
              <w:r>
                <w:rPr>
                  <w:rStyle w:val="Hyperlink"/>
                </w:rPr>
                <w:t xml:space="preserve">https://www.cbsa-asfc.gc.ca/services/carm-gcra/menu-eng.html</w:t>
              </w:r>
            </w:hyperlink>
          </w:p>
        </w:tc>
      </w:tr>
      <w:tr>
        <w:tc>
          <w:tcPr>
            <w:tcW w:w="2219" w:type="dxa"/>
          </w:tcPr>
          <w:p>
            <w:pPr>
              <w:pStyle w:val="Compact"/>
              <w:jc w:val="left"/>
            </w:pPr>
            <w:r>
              <w:t xml:space="preserve">Canada Customs Tariff</w:t>
            </w:r>
          </w:p>
        </w:tc>
        <w:tc>
          <w:tcPr>
            <w:tcW w:w="1840" w:type="dxa"/>
          </w:tcPr>
          <w:p>
            <w:pPr>
              <w:pStyle w:val="Compact"/>
              <w:jc w:val="left"/>
            </w:pPr>
            <w:r>
              <w:t xml:space="preserve">CBSA</w:t>
            </w:r>
          </w:p>
        </w:tc>
        <w:tc>
          <w:tcPr>
            <w:tcW w:w="5300" w:type="dxa"/>
          </w:tcPr>
          <w:p>
            <w:pPr>
              <w:pStyle w:val="Compact"/>
              <w:jc w:val="left"/>
            </w:pPr>
            <w:hyperlink r:id="rId110">
              <w:r>
                <w:rPr>
                  <w:rStyle w:val="Hyperlink"/>
                </w:rPr>
                <w:t xml:space="preserve">https://www.cbsa-asfc.gc.ca/trade-commerce/tariff-tarif/menu-eng.html</w:t>
              </w:r>
            </w:hyperlink>
          </w:p>
        </w:tc>
      </w:tr>
      <w:tr>
        <w:tc>
          <w:tcPr>
            <w:tcW w:w="2219" w:type="dxa"/>
          </w:tcPr>
          <w:p>
            <w:pPr>
              <w:pStyle w:val="Compact"/>
              <w:jc w:val="left"/>
            </w:pPr>
            <w:r>
              <w:t xml:space="preserve">Canada valuation</w:t>
            </w:r>
          </w:p>
        </w:tc>
        <w:tc>
          <w:tcPr>
            <w:tcW w:w="1840" w:type="dxa"/>
          </w:tcPr>
          <w:p>
            <w:pPr>
              <w:pStyle w:val="Compact"/>
              <w:jc w:val="left"/>
            </w:pPr>
            <w:r>
              <w:t xml:space="preserve">CBSA customs valuation handbook</w:t>
            </w:r>
          </w:p>
        </w:tc>
        <w:tc>
          <w:tcPr>
            <w:tcW w:w="5300" w:type="dxa"/>
          </w:tcPr>
          <w:p>
            <w:pPr>
              <w:pStyle w:val="Compact"/>
              <w:jc w:val="left"/>
            </w:pPr>
            <w:hyperlink r:id="rId111">
              <w:r>
                <w:rPr>
                  <w:rStyle w:val="Hyperlink"/>
                </w:rPr>
                <w:t xml:space="preserve">https://www.cbsa-asfc.gc.ca/import/valuation-valeur/customs-val-douane-eng.html</w:t>
              </w:r>
            </w:hyperlink>
          </w:p>
        </w:tc>
      </w:tr>
      <w:tr>
        <w:tc>
          <w:tcPr>
            <w:tcW w:w="2219" w:type="dxa"/>
          </w:tcPr>
          <w:p>
            <w:pPr>
              <w:pStyle w:val="Compact"/>
              <w:jc w:val="left"/>
            </w:pPr>
            <w:r>
              <w:t xml:space="preserve">Canada exchange rate for value for duty</w:t>
            </w:r>
          </w:p>
        </w:tc>
        <w:tc>
          <w:tcPr>
            <w:tcW w:w="1840" w:type="dxa"/>
          </w:tcPr>
          <w:p>
            <w:pPr>
              <w:pStyle w:val="Compact"/>
              <w:jc w:val="left"/>
            </w:pPr>
            <w:r>
              <w:t xml:space="preserve">Memorandum D13-2-3</w:t>
            </w:r>
          </w:p>
        </w:tc>
        <w:tc>
          <w:tcPr>
            <w:tcW w:w="5300" w:type="dxa"/>
          </w:tcPr>
          <w:p>
            <w:pPr>
              <w:pStyle w:val="Compact"/>
              <w:jc w:val="left"/>
            </w:pPr>
            <w:hyperlink r:id="rId112">
              <w:r>
                <w:rPr>
                  <w:rStyle w:val="Hyperlink"/>
                </w:rPr>
                <w:t xml:space="preserve">https://www.cbsa-asfc.gc.ca/publications/dm-md/d13/d13-2-3-eng.html</w:t>
              </w:r>
            </w:hyperlink>
          </w:p>
        </w:tc>
      </w:tr>
      <w:tr>
        <w:tc>
          <w:tcPr>
            <w:tcW w:w="2219" w:type="dxa"/>
          </w:tcPr>
          <w:p>
            <w:pPr>
              <w:pStyle w:val="Compact"/>
              <w:jc w:val="left"/>
            </w:pPr>
            <w:r>
              <w:t xml:space="preserve">Canada classification advance rulings</w:t>
            </w:r>
          </w:p>
        </w:tc>
        <w:tc>
          <w:tcPr>
            <w:tcW w:w="1840" w:type="dxa"/>
          </w:tcPr>
          <w:p>
            <w:pPr>
              <w:pStyle w:val="Compact"/>
              <w:jc w:val="left"/>
            </w:pPr>
            <w:r>
              <w:t xml:space="preserve">Memorandum D11-11-3</w:t>
            </w:r>
          </w:p>
        </w:tc>
        <w:tc>
          <w:tcPr>
            <w:tcW w:w="5300" w:type="dxa"/>
          </w:tcPr>
          <w:p>
            <w:pPr>
              <w:pStyle w:val="Compact"/>
              <w:jc w:val="left"/>
            </w:pPr>
            <w:hyperlink r:id="rId113">
              <w:r>
                <w:rPr>
                  <w:rStyle w:val="Hyperlink"/>
                </w:rPr>
                <w:t xml:space="preserve">https://www.cbsa-asfc.gc.ca/publications/dm-md/d11/d11-11-3-eng.html</w:t>
              </w:r>
            </w:hyperlink>
          </w:p>
        </w:tc>
      </w:tr>
      <w:tr>
        <w:tc>
          <w:tcPr>
            <w:tcW w:w="2219" w:type="dxa"/>
          </w:tcPr>
          <w:p>
            <w:pPr>
              <w:pStyle w:val="Compact"/>
              <w:jc w:val="left"/>
            </w:pPr>
            <w:r>
              <w:t xml:space="preserve">Canada origin advance rulings</w:t>
            </w:r>
          </w:p>
        </w:tc>
        <w:tc>
          <w:tcPr>
            <w:tcW w:w="1840" w:type="dxa"/>
          </w:tcPr>
          <w:p>
            <w:pPr>
              <w:pStyle w:val="Compact"/>
              <w:jc w:val="left"/>
            </w:pPr>
            <w:r>
              <w:t xml:space="preserve">Memorandum D11-4-16</w:t>
            </w:r>
          </w:p>
        </w:tc>
        <w:tc>
          <w:tcPr>
            <w:tcW w:w="5300" w:type="dxa"/>
          </w:tcPr>
          <w:p>
            <w:pPr>
              <w:pStyle w:val="Compact"/>
              <w:jc w:val="left"/>
            </w:pPr>
            <w:hyperlink r:id="rId114">
              <w:r>
                <w:rPr>
                  <w:rStyle w:val="Hyperlink"/>
                </w:rPr>
                <w:t xml:space="preserve">https://www.cbsa-asfc.gc.ca/publications/dm-md/d11/d11-4-16-eng.html</w:t>
              </w:r>
            </w:hyperlink>
          </w:p>
        </w:tc>
      </w:tr>
      <w:tr>
        <w:tc>
          <w:tcPr>
            <w:tcW w:w="2219" w:type="dxa"/>
          </w:tcPr>
          <w:p>
            <w:pPr>
              <w:pStyle w:val="Compact"/>
              <w:jc w:val="left"/>
            </w:pPr>
            <w:r>
              <w:t xml:space="preserve">Canada corrections (s. 32.2)</w:t>
            </w:r>
          </w:p>
        </w:tc>
        <w:tc>
          <w:tcPr>
            <w:tcW w:w="1840" w:type="dxa"/>
          </w:tcPr>
          <w:p>
            <w:pPr>
              <w:pStyle w:val="Compact"/>
              <w:jc w:val="left"/>
            </w:pPr>
            <w:r>
              <w:t xml:space="preserve">Memorandum D11-6-6</w:t>
            </w:r>
          </w:p>
        </w:tc>
        <w:tc>
          <w:tcPr>
            <w:tcW w:w="5300" w:type="dxa"/>
          </w:tcPr>
          <w:p>
            <w:pPr>
              <w:pStyle w:val="Compact"/>
              <w:jc w:val="left"/>
            </w:pPr>
            <w:hyperlink r:id="rId115">
              <w:r>
                <w:rPr>
                  <w:rStyle w:val="Hyperlink"/>
                </w:rPr>
                <w:t xml:space="preserve">https://www.cbsa-asfc.gc.ca/publications/dm-md/d11/d11-6-6-eng.html</w:t>
              </w:r>
            </w:hyperlink>
          </w:p>
        </w:tc>
      </w:tr>
      <w:tr>
        <w:tc>
          <w:tcPr>
            <w:tcW w:w="2219" w:type="dxa"/>
          </w:tcPr>
          <w:p>
            <w:pPr>
              <w:pStyle w:val="Compact"/>
              <w:jc w:val="left"/>
            </w:pPr>
            <w:r>
              <w:t xml:space="preserve">Canada AMPS</w:t>
            </w:r>
          </w:p>
        </w:tc>
        <w:tc>
          <w:tcPr>
            <w:tcW w:w="1840" w:type="dxa"/>
          </w:tcPr>
          <w:p>
            <w:pPr>
              <w:pStyle w:val="Compact"/>
              <w:jc w:val="left"/>
            </w:pPr>
            <w:r>
              <w:t xml:space="preserve">Memorandum D22-1-1</w:t>
            </w:r>
          </w:p>
        </w:tc>
        <w:tc>
          <w:tcPr>
            <w:tcW w:w="5300" w:type="dxa"/>
          </w:tcPr>
          <w:p>
            <w:pPr>
              <w:pStyle w:val="Compact"/>
              <w:jc w:val="left"/>
            </w:pPr>
            <w:hyperlink r:id="rId116">
              <w:r>
                <w:rPr>
                  <w:rStyle w:val="Hyperlink"/>
                </w:rPr>
                <w:t xml:space="preserve">https://www.cbsa-asfc.gc.ca/publications/dm-md/d22/d22-1-1-eng.html</w:t>
              </w:r>
            </w:hyperlink>
          </w:p>
        </w:tc>
      </w:tr>
      <w:tr>
        <w:tc>
          <w:tcPr>
            <w:tcW w:w="2219" w:type="dxa"/>
          </w:tcPr>
          <w:p>
            <w:pPr>
              <w:pStyle w:val="Compact"/>
              <w:jc w:val="left"/>
            </w:pPr>
            <w:r>
              <w:t xml:space="preserve">Mexico customs</w:t>
            </w:r>
          </w:p>
        </w:tc>
        <w:tc>
          <w:tcPr>
            <w:tcW w:w="1840" w:type="dxa"/>
          </w:tcPr>
          <w:p>
            <w:pPr>
              <w:pStyle w:val="Compact"/>
              <w:jc w:val="left"/>
            </w:pPr>
            <w:r>
              <w:t xml:space="preserve">ANAM</w:t>
            </w:r>
          </w:p>
        </w:tc>
        <w:tc>
          <w:tcPr>
            <w:tcW w:w="5300" w:type="dxa"/>
          </w:tcPr>
          <w:p>
            <w:pPr>
              <w:pStyle w:val="Compact"/>
              <w:jc w:val="left"/>
            </w:pPr>
            <w:hyperlink r:id="rId117">
              <w:r>
                <w:rPr>
                  <w:rStyle w:val="Hyperlink"/>
                </w:rPr>
                <w:t xml:space="preserve">https://www.anam.gob.mx/</w:t>
              </w:r>
            </w:hyperlink>
          </w:p>
        </w:tc>
      </w:tr>
      <w:tr>
        <w:tc>
          <w:tcPr>
            <w:tcW w:w="2219" w:type="dxa"/>
          </w:tcPr>
          <w:p>
            <w:pPr>
              <w:pStyle w:val="Compact"/>
              <w:jc w:val="left"/>
            </w:pPr>
            <w:r>
              <w:t xml:space="preserve">Mexico RGCE 2026 and annexes (Anexo 22 pedimento, Anexo 24, Anexo 30)</w:t>
            </w:r>
          </w:p>
        </w:tc>
        <w:tc>
          <w:tcPr>
            <w:tcW w:w="1840" w:type="dxa"/>
          </w:tcPr>
          <w:p>
            <w:pPr>
              <w:pStyle w:val="Compact"/>
              <w:jc w:val="left"/>
            </w:pPr>
            <w:r>
              <w:t xml:space="preserve">SAT</w:t>
            </w:r>
          </w:p>
        </w:tc>
        <w:tc>
          <w:tcPr>
            <w:tcW w:w="5300" w:type="dxa"/>
          </w:tcPr>
          <w:p>
            <w:pPr>
              <w:pStyle w:val="Compact"/>
              <w:jc w:val="left"/>
            </w:pPr>
            <w:hyperlink r:id="rId118">
              <w:r>
                <w:rPr>
                  <w:rStyle w:val="Hyperlink"/>
                </w:rPr>
                <w:t xml:space="preserve">https://www.sat.gob.mx/minisitio/NormatividadRMFyRGCE/normatividad_rmf_rgce2026.html</w:t>
              </w:r>
            </w:hyperlink>
          </w:p>
        </w:tc>
      </w:tr>
      <w:tr>
        <w:tc>
          <w:tcPr>
            <w:tcW w:w="2219" w:type="dxa"/>
          </w:tcPr>
          <w:p>
            <w:pPr>
              <w:pStyle w:val="Compact"/>
              <w:jc w:val="left"/>
            </w:pPr>
            <w:r>
              <w:t xml:space="preserve">Mexico padrón de importadores</w:t>
            </w:r>
          </w:p>
        </w:tc>
        <w:tc>
          <w:tcPr>
            <w:tcW w:w="1840" w:type="dxa"/>
          </w:tcPr>
          <w:p>
            <w:pPr>
              <w:pStyle w:val="Compact"/>
              <w:jc w:val="left"/>
            </w:pPr>
            <w:r>
              <w:t xml:space="preserve">SAT</w:t>
            </w:r>
          </w:p>
        </w:tc>
        <w:tc>
          <w:tcPr>
            <w:tcW w:w="5300" w:type="dxa"/>
          </w:tcPr>
          <w:p>
            <w:pPr>
              <w:pStyle w:val="Compact"/>
              <w:jc w:val="left"/>
            </w:pPr>
            <w:hyperlink r:id="rId119">
              <w:r>
                <w:rPr>
                  <w:rStyle w:val="Hyperlink"/>
                </w:rPr>
                <w:t xml:space="preserve">https://www.sat.gob.mx/minisitio/PadronImportadoresExportadores/pi_inscripcion.html</w:t>
              </w:r>
            </w:hyperlink>
          </w:p>
        </w:tc>
      </w:tr>
      <w:tr>
        <w:tc>
          <w:tcPr>
            <w:tcW w:w="2219" w:type="dxa"/>
          </w:tcPr>
          <w:p>
            <w:pPr>
              <w:pStyle w:val="Compact"/>
              <w:jc w:val="left"/>
            </w:pPr>
            <w:r>
              <w:t xml:space="preserve">Mexico official gazette</w:t>
            </w:r>
          </w:p>
        </w:tc>
        <w:tc>
          <w:tcPr>
            <w:tcW w:w="1840" w:type="dxa"/>
          </w:tcPr>
          <w:p>
            <w:pPr>
              <w:pStyle w:val="Compact"/>
              <w:jc w:val="left"/>
            </w:pPr>
            <w:r>
              <w:t xml:space="preserve">DOF</w:t>
            </w:r>
          </w:p>
        </w:tc>
        <w:tc>
          <w:tcPr>
            <w:tcW w:w="5300" w:type="dxa"/>
          </w:tcPr>
          <w:p>
            <w:pPr>
              <w:pStyle w:val="Compact"/>
              <w:jc w:val="left"/>
            </w:pPr>
            <w:hyperlink r:id="rId120">
              <w:r>
                <w:rPr>
                  <w:rStyle w:val="Hyperlink"/>
                </w:rPr>
                <w:t xml:space="preserve">https://www.dof.gob.mx/</w:t>
              </w:r>
            </w:hyperlink>
          </w:p>
        </w:tc>
      </w:tr>
      <w:tr>
        <w:tc>
          <w:tcPr>
            <w:tcW w:w="2219" w:type="dxa"/>
          </w:tcPr>
          <w:p>
            <w:pPr>
              <w:pStyle w:val="Compact"/>
              <w:jc w:val="left"/>
            </w:pPr>
            <w:r>
              <w:t xml:space="preserve">Mexico single window decree (4 May 2026)</w:t>
            </w:r>
          </w:p>
        </w:tc>
        <w:tc>
          <w:tcPr>
            <w:tcW w:w="1840" w:type="dxa"/>
          </w:tcPr>
          <w:p>
            <w:pPr>
              <w:pStyle w:val="Compact"/>
              <w:jc w:val="left"/>
            </w:pPr>
            <w:r>
              <w:t xml:space="preserve">DOF</w:t>
            </w:r>
          </w:p>
        </w:tc>
        <w:tc>
          <w:tcPr>
            <w:tcW w:w="5300" w:type="dxa"/>
          </w:tcPr>
          <w:p>
            <w:pPr>
              <w:pStyle w:val="Compact"/>
              <w:jc w:val="left"/>
            </w:pPr>
            <w:hyperlink r:id="rId121">
              <w:r>
                <w:rPr>
                  <w:rStyle w:val="Hyperlink"/>
                </w:rPr>
                <w:t xml:space="preserve">https://www.dof.gob.mx/nota_detalle.php?codigo=5786598&amp;fecha=04/05/2026</w:t>
              </w:r>
            </w:hyperlink>
          </w:p>
        </w:tc>
      </w:tr>
      <w:tr>
        <w:tc>
          <w:tcPr>
            <w:tcW w:w="2219" w:type="dxa"/>
          </w:tcPr>
          <w:p>
            <w:pPr>
              <w:pStyle w:val="Compact"/>
              <w:jc w:val="left"/>
            </w:pPr>
            <w:r>
              <w:t xml:space="preserve">IMMEX</w:t>
            </w:r>
          </w:p>
        </w:tc>
        <w:tc>
          <w:tcPr>
            <w:tcW w:w="1840" w:type="dxa"/>
          </w:tcPr>
          <w:p>
            <w:pPr>
              <w:pStyle w:val="Compact"/>
              <w:jc w:val="left"/>
            </w:pPr>
            <w:r>
              <w:t xml:space="preserve">SNICE (Secretaría de Economía)</w:t>
            </w:r>
          </w:p>
        </w:tc>
        <w:tc>
          <w:tcPr>
            <w:tcW w:w="5300" w:type="dxa"/>
          </w:tcPr>
          <w:p>
            <w:pPr>
              <w:pStyle w:val="Compact"/>
              <w:jc w:val="left"/>
            </w:pPr>
            <w:hyperlink r:id="rId122">
              <w:r>
                <w:rPr>
                  <w:rStyle w:val="Hyperlink"/>
                </w:rPr>
                <w:t xml:space="preserve">https://www.snice.gob.mx/cs/avi/snice/progfom.immex.acercade.html</w:t>
              </w:r>
            </w:hyperlink>
          </w:p>
        </w:tc>
      </w:tr>
      <w:tr>
        <w:tc>
          <w:tcPr>
            <w:tcW w:w="2219" w:type="dxa"/>
          </w:tcPr>
          <w:p>
            <w:pPr>
              <w:pStyle w:val="Compact"/>
              <w:jc w:val="left"/>
            </w:pPr>
            <w:r>
              <w:t xml:space="preserve">EAR</w:t>
            </w:r>
          </w:p>
        </w:tc>
        <w:tc>
          <w:tcPr>
            <w:tcW w:w="1840" w:type="dxa"/>
          </w:tcPr>
          <w:p>
            <w:pPr>
              <w:pStyle w:val="Compact"/>
              <w:jc w:val="left"/>
            </w:pPr>
            <w:r>
              <w:t xml:space="preserve">BIS</w:t>
            </w:r>
          </w:p>
        </w:tc>
        <w:tc>
          <w:tcPr>
            <w:tcW w:w="5300" w:type="dxa"/>
          </w:tcPr>
          <w:p>
            <w:pPr>
              <w:pStyle w:val="Compact"/>
              <w:jc w:val="left"/>
            </w:pPr>
            <w:hyperlink r:id="rId123">
              <w:r>
                <w:rPr>
                  <w:rStyle w:val="Hyperlink"/>
                </w:rPr>
                <w:t xml:space="preserve">https://www.bis.gov/regulations/ear</w:t>
              </w:r>
            </w:hyperlink>
          </w:p>
        </w:tc>
      </w:tr>
      <w:tr>
        <w:tc>
          <w:tcPr>
            <w:tcW w:w="2219" w:type="dxa"/>
          </w:tcPr>
          <w:p>
            <w:pPr>
              <w:pStyle w:val="Compact"/>
              <w:jc w:val="left"/>
            </w:pPr>
            <w:r>
              <w:t xml:space="preserve">EEI and AES</w:t>
            </w:r>
          </w:p>
        </w:tc>
        <w:tc>
          <w:tcPr>
            <w:tcW w:w="1840" w:type="dxa"/>
          </w:tcPr>
          <w:p>
            <w:pPr>
              <w:pStyle w:val="Compact"/>
              <w:jc w:val="left"/>
            </w:pPr>
            <w:r>
              <w:t xml:space="preserve">Census Bureau</w:t>
            </w:r>
          </w:p>
        </w:tc>
        <w:tc>
          <w:tcPr>
            <w:tcW w:w="5300" w:type="dxa"/>
          </w:tcPr>
          <w:p>
            <w:pPr>
              <w:pStyle w:val="Compact"/>
              <w:jc w:val="left"/>
            </w:pPr>
            <w:hyperlink r:id="rId124">
              <w:r>
                <w:rPr>
                  <w:rStyle w:val="Hyperlink"/>
                </w:rPr>
                <w:t xml:space="preserve">https://www.census.gov/foreign-trade/aes/index.html</w:t>
              </w:r>
            </w:hyperlink>
          </w:p>
        </w:tc>
      </w:tr>
      <w:tr>
        <w:tc>
          <w:tcPr>
            <w:tcW w:w="2219" w:type="dxa"/>
          </w:tcPr>
          <w:p>
            <w:pPr>
              <w:pStyle w:val="Compact"/>
              <w:jc w:val="left"/>
            </w:pPr>
            <w:r>
              <w:t xml:space="preserve">Foreign Trade Regulations</w:t>
            </w:r>
          </w:p>
        </w:tc>
        <w:tc>
          <w:tcPr>
            <w:tcW w:w="1840" w:type="dxa"/>
          </w:tcPr>
          <w:p>
            <w:pPr>
              <w:pStyle w:val="Compact"/>
              <w:jc w:val="left"/>
            </w:pPr>
            <w:r>
              <w:t xml:space="preserve">15 CFR Part 30</w:t>
            </w:r>
          </w:p>
        </w:tc>
        <w:tc>
          <w:tcPr>
            <w:tcW w:w="5300" w:type="dxa"/>
          </w:tcPr>
          <w:p>
            <w:pPr>
              <w:pStyle w:val="Compact"/>
              <w:jc w:val="left"/>
            </w:pPr>
            <w:hyperlink r:id="rId125">
              <w:r>
                <w:rPr>
                  <w:rStyle w:val="Hyperlink"/>
                </w:rPr>
                <w:t xml:space="preserve">https://www.ecfr.gov/current/title-15/subtitle-B/chapter-I/part-30</w:t>
              </w:r>
            </w:hyperlink>
          </w:p>
        </w:tc>
      </w:tr>
      <w:tr>
        <w:tc>
          <w:tcPr>
            <w:tcW w:w="2219" w:type="dxa"/>
          </w:tcPr>
          <w:p>
            <w:pPr>
              <w:pStyle w:val="Compact"/>
              <w:jc w:val="left"/>
            </w:pPr>
            <w:r>
              <w:t xml:space="preserve">Schedule B</w:t>
            </w:r>
          </w:p>
        </w:tc>
        <w:tc>
          <w:tcPr>
            <w:tcW w:w="1840" w:type="dxa"/>
          </w:tcPr>
          <w:p>
            <w:pPr>
              <w:pStyle w:val="Compact"/>
              <w:jc w:val="left"/>
            </w:pPr>
            <w:r>
              <w:t xml:space="preserve">Census Bureau</w:t>
            </w:r>
          </w:p>
        </w:tc>
        <w:tc>
          <w:tcPr>
            <w:tcW w:w="5300" w:type="dxa"/>
          </w:tcPr>
          <w:p>
            <w:pPr>
              <w:pStyle w:val="Compact"/>
              <w:jc w:val="left"/>
            </w:pPr>
            <w:hyperlink r:id="rId126">
              <w:r>
                <w:rPr>
                  <w:rStyle w:val="Hyperlink"/>
                </w:rPr>
                <w:t xml:space="preserve">https://www.census.gov/scheduleb</w:t>
              </w:r>
            </w:hyperlink>
          </w:p>
        </w:tc>
      </w:tr>
      <w:tr>
        <w:tc>
          <w:tcPr>
            <w:tcW w:w="2219" w:type="dxa"/>
          </w:tcPr>
          <w:p>
            <w:pPr>
              <w:pStyle w:val="Compact"/>
              <w:jc w:val="left"/>
            </w:pPr>
            <w:r>
              <w:t xml:space="preserve">Restricted party screening</w:t>
            </w:r>
          </w:p>
        </w:tc>
        <w:tc>
          <w:tcPr>
            <w:tcW w:w="1840" w:type="dxa"/>
          </w:tcPr>
          <w:p>
            <w:pPr>
              <w:pStyle w:val="Compact"/>
              <w:jc w:val="left"/>
            </w:pPr>
            <w:r>
              <w:t xml:space="preserve">Consolidated Screening List (trade.gov)</w:t>
            </w:r>
          </w:p>
        </w:tc>
        <w:tc>
          <w:tcPr>
            <w:tcW w:w="5300" w:type="dxa"/>
          </w:tcPr>
          <w:p>
            <w:pPr>
              <w:pStyle w:val="Compact"/>
              <w:jc w:val="left"/>
            </w:pPr>
            <w:hyperlink r:id="rId127">
              <w:r>
                <w:rPr>
                  <w:rStyle w:val="Hyperlink"/>
                </w:rPr>
                <w:t xml:space="preserve">https://www.trade.gov/consolidated-screening-list</w:t>
              </w:r>
            </w:hyperlink>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2026-10-17T03:51:33Z</dcterms:created>
  <dcterms:modified xsi:type="dcterms:W3CDTF">2026-10-17T03:51:33Z</dcterms:modified>
</cp:coreProperties>
</file>

<file path=docProps/custom.xml><?xml version="1.0" encoding="utf-8"?>
<Properties xmlns="http://schemas.openxmlformats.org/officeDocument/2006/custom-properties" xmlns:vt="http://schemas.openxmlformats.org/officeDocument/2006/docPropsVTypes"/>
</file>