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-mapping-specification-template"/>
    <w:p>
      <w:pPr>
        <w:pStyle w:val="Heading1"/>
      </w:pPr>
      <w:r>
        <w:t xml:space="preserve">Data Mapping Specification Template</w:t>
      </w:r>
    </w:p>
    <w:p>
      <w:pPr>
        <w:pStyle w:val="FirstParagraph"/>
      </w:pPr>
      <w:r>
        <w:t xml:space="preserve">Last updated: 2026-10-17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 field-by-field specification of how data moves from a source to a target: transformation rules, data quality rules, cleansing decisions, reconciliation and data-owner sign-off. Built for the AS400 trade system to e2open migration, and for Oracle and broker interfaces.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both hires as makers (day-90 criteria A90-3 for Research data and B90-3 for Standard Cost data); the Senior as checker (data quality, SQL, compliance meaning of fields); the data owner, who signs; the e2open project data or integration lead, who builds loads from it; UAT testers, who reuse the reconciliation.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first used in W7, when it is taught in M4 (in W2 the hires map system-level data flows with the table in</w:t>
      </w:r>
      <w:r>
        <w:t xml:space="preserve"> </w:t>
      </w:r>
      <w:r>
        <w:rPr>
          <w:rStyle w:val="VerbatimChar"/>
        </w:rPr>
        <w:t xml:space="preserve">docs/primers/trade-systems-gtm-e2open-primer.md</w:t>
      </w:r>
      <w:r>
        <w:t xml:space="preserve"> </w:t>
      </w:r>
      <w:r>
        <w:t xml:space="preserve">Section 7.3 instead). Drafted in W10 and W11, finished by W13, then kept current through the e2open build, test loads and cutover (M10).</w:t>
      </w:r>
    </w:p>
    <w:bookmarkStart w:id="21" w:name="how-to-fill-this-in"/>
    <w:p>
      <w:pPr>
        <w:pStyle w:val="Heading2"/>
      </w:pPr>
      <w:r>
        <w:t xml:space="preserve">How to fill this in</w:t>
      </w:r>
    </w:p>
    <w:p>
      <w:pPr>
        <w:pStyle w:val="FirstParagraph"/>
      </w:pPr>
      <w:r>
        <w:t xml:space="preserve">Text in [square brackets] is a prompt: replace it. [COMPANY: ...] is a company-specific value.</w:t>
      </w:r>
    </w:p>
    <w:p>
      <w:pPr>
        <w:numPr>
          <w:ilvl w:val="0"/>
          <w:numId w:val="1002"/>
        </w:numPr>
        <w:pStyle w:val="Compact"/>
      </w:pPr>
      <w:r>
        <w:t xml:space="preserve">Write one spec per object and direction, for example "Product classification master, AS400 to e2open". Do not mix objects in one spec.</w:t>
      </w:r>
    </w:p>
    <w:p>
      <w:pPr>
        <w:numPr>
          <w:ilvl w:val="0"/>
          <w:numId w:val="1002"/>
        </w:numPr>
        <w:pStyle w:val="Compact"/>
      </w:pPr>
      <w:r>
        <w:t xml:space="preserve">Fill the header (Part 1). Take target field names from the e2open project data dictionary or load templates ([COMPANY: location of e2open load templates]). Never guess a target field name. If you don't have the dictionary yet, map to the e2open concept and write "target field TBC".</w:t>
      </w:r>
    </w:p>
    <w:p>
      <w:pPr>
        <w:numPr>
          <w:ilvl w:val="0"/>
          <w:numId w:val="1002"/>
        </w:numPr>
        <w:pStyle w:val="Compact"/>
      </w:pPr>
      <w:r>
        <w:t xml:space="preserve">Profile the source before you map it (Part 5). Real values beat field names: a field labelled "HTS" may hold text, dots, or nothing.</w:t>
      </w:r>
    </w:p>
    <w:p>
      <w:pPr>
        <w:numPr>
          <w:ilvl w:val="0"/>
          <w:numId w:val="1002"/>
        </w:numPr>
        <w:pStyle w:val="Compact"/>
      </w:pPr>
      <w:r>
        <w:t xml:space="preserve">Fill mapping table A (field mapping), then table B (quality and open questions). Both use the same Map ID. Write one row per target field, so unmapped target fields are visible; the source can be "none (default)" or "derived".</w:t>
      </w:r>
    </w:p>
    <w:p>
      <w:pPr>
        <w:numPr>
          <w:ilvl w:val="0"/>
          <w:numId w:val="1002"/>
        </w:numPr>
        <w:pStyle w:val="Compact"/>
      </w:pPr>
      <w:r>
        <w:t xml:space="preserve">Build a value cross-reference (Part 3) for every coded field.</w:t>
      </w:r>
    </w:p>
    <w:p>
      <w:pPr>
        <w:numPr>
          <w:ilvl w:val="0"/>
          <w:numId w:val="1002"/>
        </w:numPr>
        <w:pStyle w:val="Compact"/>
      </w:pPr>
      <w:r>
        <w:t xml:space="preserve">Log every data issue in the cleansing log (Part 6) and agree the decision with the data owner.</w:t>
      </w:r>
    </w:p>
    <w:p>
      <w:pPr>
        <w:numPr>
          <w:ilvl w:val="0"/>
          <w:numId w:val="1002"/>
        </w:numPr>
        <w:pStyle w:val="Compact"/>
      </w:pPr>
      <w:r>
        <w:t xml:space="preserve">Reconcile after every test load (Part 7) and keep the queries and results.</w:t>
      </w:r>
    </w:p>
    <w:p>
      <w:pPr>
        <w:numPr>
          <w:ilvl w:val="0"/>
          <w:numId w:val="1002"/>
        </w:numPr>
        <w:pStyle w:val="Compact"/>
      </w:pPr>
      <w:r>
        <w:t xml:space="preserve">The data owner signs (Part 8). Any change after sign-off creates a new version and needs a new signature.</w:t>
      </w:r>
    </w:p>
    <w:bookmarkStart w:id="20" w:name="X0889e28aed1c4f5deabeb7028df8e44db5298bb"/>
    <w:p>
      <w:pPr>
        <w:pStyle w:val="Heading3"/>
      </w:pPr>
      <w:r>
        <w:t xml:space="preserve">Reading AS400 (IBM i) data: what trips people up</w:t>
      </w:r>
    </w:p>
    <w:p>
      <w:pPr>
        <w:numPr>
          <w:ilvl w:val="0"/>
          <w:numId w:val="1003"/>
        </w:numPr>
        <w:pStyle w:val="Compact"/>
      </w:pPr>
      <w:r>
        <w:t xml:space="preserve">A library is like a schema, a physical file like a table, a logical file like a view or index, and a field like a column. System names are 10 characters or fewer and often cryptic. Get each field's text description and type from the file's field description ([COMPANY: who can run DSPFFD or provide the AS400 data dictionary]).</w:t>
      </w:r>
    </w:p>
    <w:p>
      <w:pPr>
        <w:numPr>
          <w:ilvl w:val="0"/>
          <w:numId w:val="1003"/>
        </w:numPr>
        <w:pStyle w:val="Compact"/>
      </w:pPr>
      <w:r>
        <w:t xml:space="preserve">Numbers may be packed or zoned decimal with implied decimal places. Confirm the decimal positions of every numeric field before you convert it.</w:t>
      </w:r>
    </w:p>
    <w:p>
      <w:pPr>
        <w:numPr>
          <w:ilvl w:val="0"/>
          <w:numId w:val="1003"/>
        </w:numPr>
        <w:pStyle w:val="Compact"/>
      </w:pPr>
      <w:r>
        <w:t xml:space="preserve">Dates are often stored as numbers: YYYYMMDD, or CYYMMDD where C is 0 for the 1900s and 1 for the 2000s (1261019 is 2026-10-19). Values such as 0 or 9999999 often mean "no date". Confirm the convention field by field.</w:t>
      </w:r>
    </w:p>
    <w:p>
      <w:pPr>
        <w:numPr>
          <w:ilvl w:val="0"/>
          <w:numId w:val="1003"/>
        </w:numPr>
        <w:pStyle w:val="Compact"/>
      </w:pPr>
      <w:r>
        <w:t xml:space="preserve">Text is EBCDIC on the server and is converted by the extract. Check that French and Spanish characters (é, ñ, ü) survive.</w:t>
      </w:r>
    </w:p>
    <w:p>
      <w:pPr>
        <w:numPr>
          <w:ilvl w:val="0"/>
          <w:numId w:val="1003"/>
        </w:numPr>
        <w:pStyle w:val="Compact"/>
      </w:pPr>
      <w:r>
        <w:t xml:space="preserve">Character fields are padded with trailing blanks. Trim them.</w:t>
      </w:r>
    </w:p>
    <w:p>
      <w:pPr>
        <w:numPr>
          <w:ilvl w:val="0"/>
          <w:numId w:val="1003"/>
        </w:numPr>
        <w:pStyle w:val="Compact"/>
      </w:pPr>
      <w:r>
        <w:t xml:space="preserve">Codes often only make sense through a separate code file. Find it before you map the field.</w:t>
      </w:r>
    </w:p>
    <w:p>
      <w:pPr>
        <w:numPr>
          <w:ilvl w:val="0"/>
          <w:numId w:val="1003"/>
        </w:numPr>
        <w:pStyle w:val="Compact"/>
      </w:pPr>
      <w:r>
        <w:t xml:space="preserve">Opening an extract in Excel drops leading zeros and turns long numbers into scientific notation. Load extracts into SQL, or import CSV with the columns set to Text.</w:t>
      </w:r>
    </w:p>
    <w:bookmarkEnd w:id="20"/>
    <w:bookmarkEnd w:id="21"/>
    <w:bookmarkStart w:id="31" w:name="template"/>
    <w:p>
      <w:pPr>
        <w:pStyle w:val="Heading2"/>
      </w:pPr>
      <w:r>
        <w:t xml:space="preserve">Template</w:t>
      </w:r>
    </w:p>
    <w:bookmarkStart w:id="22" w:name="part-1-header"/>
    <w:p>
      <w:pPr>
        <w:pStyle w:val="Heading3"/>
      </w:pPr>
      <w:r>
        <w:t xml:space="preserve">Part 1: Header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314"/>
        <w:gridCol w:w="7045"/>
      </w:tblGrid>
      <w:tr>
        <w:trPr>
          <w:tblHeader w:val="true"/>
        </w:trP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Spec ID and version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[DM-RES-01 v0.1]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[Product classification master, tariff rates, USMCA qualification, landed-cost components, broker entry data, item cost interface]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Source system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[AS400 trade system: COMPANY library and file; Oracle; SQL Server or warehouse table; Excel file; external source]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Target system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[e2open GTM: COMPANY e2open object or load template; Oracle interface; broker file]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[One-time migration load, recurring interface, report feed]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Direction and frequency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[Source to target; once at cutover, daily, per cost cycle]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Record scope (filter)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[For example: active items, countries US, CA, MX]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[Unique identifier, for example item number + country]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Expected volume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[Rows; from profiling]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Data owner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[COMPANY: business data owner]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Maker and checker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[Hire A or B; Senior or Manager]</w:t>
            </w:r>
          </w:p>
        </w:tc>
      </w:tr>
      <w:tr>
        <w:tc>
          <w:tcPr>
            <w:tcW w:w="2314" w:type="dxa"/>
          </w:tcPr>
          <w:p>
            <w:pPr>
              <w:pStyle w:val="Compact"/>
              <w:jc w:val="left"/>
            </w:pPr>
            <w:r>
              <w:t xml:space="preserve">Related documents</w:t>
            </w:r>
          </w:p>
        </w:tc>
        <w:tc>
          <w:tcPr>
            <w:tcW w:w="7045" w:type="dxa"/>
          </w:tcPr>
          <w:p>
            <w:pPr>
              <w:pStyle w:val="Compact"/>
              <w:jc w:val="left"/>
            </w:pPr>
            <w:r>
              <w:t xml:space="preserve">[Requirements, as-is map, UAT plan, change requests]</w:t>
            </w:r>
          </w:p>
        </w:tc>
      </w:tr>
    </w:tbl>
    <w:bookmarkEnd w:id="22"/>
    <w:bookmarkStart w:id="23" w:name="part-2-mapping-tables"/>
    <w:p>
      <w:pPr>
        <w:pStyle w:val="Heading3"/>
      </w:pPr>
      <w:r>
        <w:t xml:space="preserve">Part 2: Mapping tables</w:t>
      </w:r>
    </w:p>
    <w:p>
      <w:pPr>
        <w:pStyle w:val="FirstParagraph"/>
      </w:pPr>
      <w:r>
        <w:t xml:space="preserve">Table A: field mapping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035"/>
        <w:gridCol w:w="1380"/>
        <w:gridCol w:w="2695"/>
        <w:gridCol w:w="2139"/>
        <w:gridCol w:w="2109"/>
      </w:tblGrid>
      <w:tr>
        <w:trPr>
          <w:tblHeader w:val="true"/>
        </w:trP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1380" w:type="dxa"/>
          </w:tcPr>
          <w:p>
            <w:pPr>
              <w:pStyle w:val="Compact"/>
              <w:jc w:val="left"/>
            </w:pPr>
            <w:r>
              <w:t xml:space="preserve">Source file/table</w:t>
            </w:r>
          </w:p>
        </w:tc>
        <w:tc>
          <w:tcPr>
            <w:tcW w:w="2695" w:type="dxa"/>
          </w:tcPr>
          <w:p>
            <w:pPr>
              <w:pStyle w:val="Compact"/>
              <w:jc w:val="left"/>
            </w:pPr>
            <w:r>
              <w:t xml:space="preserve">Source field (type)</w:t>
            </w:r>
          </w:p>
        </w:tc>
        <w:tc>
          <w:tcPr>
            <w:tcW w:w="2139" w:type="dxa"/>
          </w:tcPr>
          <w:p>
            <w:pPr>
              <w:pStyle w:val="Compact"/>
              <w:jc w:val="left"/>
            </w:pPr>
            <w:r>
              <w:t xml:space="preserve">Target field (type, required?)</w:t>
            </w:r>
          </w:p>
        </w:tc>
        <w:tc>
          <w:tcPr>
            <w:tcW w:w="2109" w:type="dxa"/>
          </w:tcPr>
          <w:p>
            <w:pPr>
              <w:pStyle w:val="Compact"/>
              <w:jc w:val="left"/>
            </w:pPr>
            <w:r>
              <w:t xml:space="preserve">Transform rule</w:t>
            </w:r>
          </w:p>
        </w:tc>
      </w:tr>
      <w:t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[XX-01]</w:t>
            </w:r>
          </w:p>
        </w:tc>
        <w:tc>
          <w:tcPr>
            <w:tcW w:w="1380" w:type="dxa"/>
          </w:tcPr>
          <w:p>
            <w:pPr>
              <w:pStyle w:val="Compact"/>
              <w:jc w:val="left"/>
            </w:pPr>
            <w:r>
              <w:t xml:space="preserve">[File or table]</w:t>
            </w:r>
          </w:p>
        </w:tc>
        <w:tc>
          <w:tcPr>
            <w:tcW w:w="2695" w:type="dxa"/>
          </w:tcPr>
          <w:p>
            <w:pPr>
              <w:pStyle w:val="Compact"/>
              <w:jc w:val="left"/>
            </w:pPr>
            <w:r>
              <w:t xml:space="preserve">[Field name and description (type, length)]</w:t>
            </w:r>
          </w:p>
        </w:tc>
        <w:tc>
          <w:tcPr>
            <w:tcW w:w="2139" w:type="dxa"/>
          </w:tcPr>
          <w:p>
            <w:pPr>
              <w:pStyle w:val="Compact"/>
              <w:jc w:val="left"/>
            </w:pPr>
            <w:r>
              <w:t xml:space="preserve">[Target field (type, Y/N)]</w:t>
            </w:r>
          </w:p>
        </w:tc>
        <w:tc>
          <w:tcPr>
            <w:tcW w:w="2109" w:type="dxa"/>
          </w:tcPr>
          <w:p>
            <w:pPr>
              <w:pStyle w:val="Compact"/>
              <w:jc w:val="left"/>
            </w:pPr>
            <w:r>
              <w:t xml:space="preserve">[Rule, using the vocabulary below]</w:t>
            </w:r>
          </w:p>
        </w:tc>
      </w:tr>
    </w:tbl>
    <w:p>
      <w:pPr>
        <w:pStyle w:val="BodyText"/>
      </w:pPr>
      <w:r>
        <w:t xml:space="preserve">Table B: data quality and open questions (same Map IDs)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035"/>
        <w:gridCol w:w="3973"/>
        <w:gridCol w:w="1539"/>
        <w:gridCol w:w="920"/>
        <w:gridCol w:w="1892"/>
      </w:tblGrid>
      <w:tr>
        <w:trPr>
          <w:tblHeader w:val="true"/>
        </w:trP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3973" w:type="dxa"/>
          </w:tcPr>
          <w:p>
            <w:pPr>
              <w:pStyle w:val="Compact"/>
              <w:jc w:val="left"/>
            </w:pPr>
            <w:r>
              <w:t xml:space="preserve">Data quality rule</w:t>
            </w:r>
          </w:p>
        </w:tc>
        <w:tc>
          <w:tcPr>
            <w:tcW w:w="1539" w:type="dxa"/>
          </w:tcPr>
          <w:p>
            <w:pPr>
              <w:pStyle w:val="Compact"/>
              <w:jc w:val="left"/>
            </w:pPr>
            <w:r>
              <w:t xml:space="preserve">Open question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w="1892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[XX-01]</w:t>
            </w:r>
          </w:p>
        </w:tc>
        <w:tc>
          <w:tcPr>
            <w:tcW w:w="3973" w:type="dxa"/>
          </w:tcPr>
          <w:p>
            <w:pPr>
              <w:pStyle w:val="Compact"/>
              <w:jc w:val="left"/>
            </w:pPr>
            <w:r>
              <w:t xml:space="preserve">[What a valid value looks like; what happens to invalid ones]</w:t>
            </w:r>
          </w:p>
        </w:tc>
        <w:tc>
          <w:tcPr>
            <w:tcW w:w="1539" w:type="dxa"/>
          </w:tcPr>
          <w:p>
            <w:pPr>
              <w:pStyle w:val="Compact"/>
              <w:jc w:val="left"/>
            </w:pPr>
            <w:r>
              <w:t xml:space="preserve">[Question, or "none"]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>
            <w:tcW w:w="1892" w:type="dxa"/>
          </w:tcPr>
          <w:p>
            <w:pPr>
              <w:pStyle w:val="Compact"/>
              <w:jc w:val="left"/>
            </w:pPr>
            <w:r>
              <w:t xml:space="preserve">[Draft, Open question, Agreed]</w:t>
            </w:r>
          </w:p>
        </w:tc>
      </w:tr>
    </w:tbl>
    <w:p>
      <w:pPr>
        <w:pStyle w:val="BodyText"/>
      </w:pPr>
      <w:r>
        <w:t xml:space="preserve">Transform rule vocabulary (use these words so rules are read the same way by everyone):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150"/>
        <w:gridCol w:w="4326"/>
        <w:gridCol w:w="3883"/>
      </w:tblGrid>
      <w:tr>
        <w:trPr>
          <w:tblHeader w:val="true"/>
        </w:trP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Copy as is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Origin country code to origin country code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Remove leading or trailing blanks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Item number padded to 15 characters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Pad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Left-pad with zeros to a fixed length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US HTS 9 digits to 10 digits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Change the presentation only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Remove the periods from 8471.30.0100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Convert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Change type, unit or date format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CYYMMDD to YYYY-MM-DD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Lookup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Translate a code through a value map (Part 3)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AS400 status code to e2open status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Derive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Calculate from other fields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Effective-to date = next row's effective-from minus 1 day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Constant value when the source is empty (data owner must approve)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Classification status = "Active"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Not migrated</w:t>
            </w:r>
          </w:p>
        </w:tc>
        <w:tc>
          <w:tcPr>
            <w:tcW w:w="4326" w:type="dxa"/>
          </w:tcPr>
          <w:p>
            <w:pPr>
              <w:pStyle w:val="Compact"/>
              <w:jc w:val="left"/>
            </w:pPr>
            <w:r>
              <w:t xml:space="preserve">Deliberately left behind, with the reason and the archive plan</w:t>
            </w:r>
          </w:p>
        </w:tc>
        <w:tc>
          <w:tcPr>
            <w:tcW w:w="3883" w:type="dxa"/>
          </w:tcPr>
          <w:p>
            <w:pPr>
              <w:pStyle w:val="Compact"/>
              <w:jc w:val="left"/>
            </w:pPr>
            <w:r>
              <w:t xml:space="preserve">Obsolete legacy note field</w:t>
            </w:r>
          </w:p>
        </w:tc>
      </w:tr>
    </w:tbl>
    <w:bookmarkEnd w:id="23"/>
    <w:bookmarkStart w:id="24" w:name="part-3-value-cross-reference"/>
    <w:p>
      <w:pPr>
        <w:pStyle w:val="Heading3"/>
      </w:pPr>
      <w:r>
        <w:t xml:space="preserve">Part 3: Value cross-reference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271"/>
        <w:gridCol w:w="2561"/>
        <w:gridCol w:w="1518"/>
        <w:gridCol w:w="2041"/>
        <w:gridCol w:w="1967"/>
      </w:tblGrid>
      <w:tr>
        <w:trPr>
          <w:tblHeader w:val="true"/>
        </w:trPr>
        <w:tc>
          <w:tcPr>
            <w:tcW w:w="1271" w:type="dxa"/>
          </w:tcPr>
          <w:p>
            <w:pPr>
              <w:pStyle w:val="Compact"/>
              <w:jc w:val="left"/>
            </w:pPr>
            <w:r>
              <w:t xml:space="preserve">Value map ID</w:t>
            </w:r>
          </w:p>
        </w:tc>
        <w:tc>
          <w:tcPr>
            <w:tcW w:w="2561" w:type="dxa"/>
          </w:tcPr>
          <w:p>
            <w:pPr>
              <w:pStyle w:val="Compact"/>
              <w:jc w:val="left"/>
            </w:pPr>
            <w:r>
              <w:t xml:space="preserve">Source value</w:t>
            </w:r>
          </w:p>
        </w:tc>
        <w:tc>
          <w:tcPr>
            <w:tcW w:w="1518" w:type="dxa"/>
          </w:tcPr>
          <w:p>
            <w:pPr>
              <w:pStyle w:val="Compact"/>
              <w:jc w:val="left"/>
            </w:pPr>
            <w:r>
              <w:t xml:space="preserve">Target value</w:t>
            </w:r>
          </w:p>
        </w:tc>
        <w:tc>
          <w:tcPr>
            <w:tcW w:w="2041" w:type="dxa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W w:w="1967" w:type="dxa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>
            <w:tcW w:w="1271" w:type="dxa"/>
          </w:tcPr>
          <w:p>
            <w:pPr>
              <w:pStyle w:val="Compact"/>
              <w:jc w:val="left"/>
            </w:pPr>
            <w:r>
              <w:t xml:space="preserve">[VM-01]</w:t>
            </w:r>
          </w:p>
        </w:tc>
        <w:tc>
          <w:tcPr>
            <w:tcW w:w="2561" w:type="dxa"/>
          </w:tcPr>
          <w:p>
            <w:pPr>
              <w:pStyle w:val="Compact"/>
              <w:jc w:val="left"/>
            </w:pPr>
            <w:r>
              <w:t xml:space="preserve">[Code found in profiling]</w:t>
            </w:r>
          </w:p>
        </w:tc>
        <w:tc>
          <w:tcPr>
            <w:tcW w:w="1518" w:type="dxa"/>
          </w:tcPr>
          <w:p>
            <w:pPr>
              <w:pStyle w:val="Compact"/>
              <w:jc w:val="left"/>
            </w:pPr>
            <w:r>
              <w:t xml:space="preserve">[Target code]</w:t>
            </w:r>
          </w:p>
        </w:tc>
        <w:tc>
          <w:tcPr>
            <w:tcW w:w="2041" w:type="dxa"/>
          </w:tcPr>
          <w:p>
            <w:pPr>
              <w:pStyle w:val="Compact"/>
              <w:jc w:val="left"/>
            </w:pPr>
            <w:r>
              <w:t xml:space="preserve">[Plain-words meaning]</w:t>
            </w:r>
          </w:p>
        </w:tc>
        <w:tc>
          <w:tcPr>
            <w:tcW w:w="1967" w:type="dxa"/>
          </w:tcPr>
          <w:p>
            <w:pPr>
              <w:pStyle w:val="Compact"/>
              <w:jc w:val="left"/>
            </w:pPr>
            <w:r>
              <w:t xml:space="preserve">[Who confirmed; date]</w:t>
            </w:r>
          </w:p>
        </w:tc>
      </w:tr>
    </w:tbl>
    <w:p>
      <w:pPr>
        <w:pStyle w:val="BodyText"/>
      </w:pPr>
      <w:r>
        <w:t xml:space="preserve">List every distinct source value found in profiling, including blanks and oddities. A value with no row here is an open question.</w:t>
      </w:r>
    </w:p>
    <w:bookmarkEnd w:id="24"/>
    <w:bookmarkStart w:id="25" w:name="X796e0fd6f4bb296583398a2ccec443c1b8d2bb3"/>
    <w:p>
      <w:pPr>
        <w:pStyle w:val="Heading3"/>
      </w:pPr>
      <w:r>
        <w:t xml:space="preserve">Part 4: Interface details (Oracle and broker interfaces)</w:t>
      </w:r>
    </w:p>
    <w:p>
      <w:pPr>
        <w:pStyle w:val="FirstParagraph"/>
      </w:pPr>
      <w:r>
        <w:t xml:space="preserve">Fill this part for any recurring interface, not for a one-time load.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885"/>
        <w:gridCol w:w="6474"/>
      </w:tblGrid>
      <w:tr>
        <w:trPr>
          <w:tblHeader w:val="true"/>
        </w:trP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Trigger and schedule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[Time, event, or manual run]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Format and layout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[CSV, fixed width, EDI, API; layout version; COMPANY: layout document]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[SFTP, email, portal, API; COMPANY: location]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Control records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[Header or trailer with record count and totals]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[Reject file, who is alerted, how fast, who fixes]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[Who checks that it ran and the counts make sense]</w:t>
            </w:r>
          </w:p>
        </w:tc>
      </w:tr>
      <w:tr>
        <w:tc>
          <w:tcPr>
            <w:tcW w:w="2885" w:type="dxa"/>
          </w:tcPr>
          <w:p>
            <w:pPr>
              <w:pStyle w:val="Compact"/>
              <w:jc w:val="left"/>
            </w:pPr>
            <w:r>
              <w:t xml:space="preserve">Change notice to the receiver</w:t>
            </w:r>
          </w:p>
        </w:tc>
        <w:tc>
          <w:tcPr>
            <w:tcW w:w="6474" w:type="dxa"/>
          </w:tcPr>
          <w:p>
            <w:pPr>
              <w:pStyle w:val="Compact"/>
              <w:jc w:val="left"/>
            </w:pPr>
            <w:r>
              <w:t xml:space="preserve">[Lead time; for brokers, agree a test file before any layout change]</w:t>
            </w:r>
          </w:p>
        </w:tc>
      </w:tr>
    </w:tbl>
    <w:p>
      <w:pPr>
        <w:pStyle w:val="BodyText"/>
      </w:pPr>
      <w:r>
        <w:t xml:space="preserve">Points to confirm for each interface: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Oracle item and cost data.</w:t>
      </w:r>
      <w:r>
        <w:t xml:space="preserve"> </w:t>
      </w:r>
      <w:r>
        <w:t xml:space="preserve">Which system is the master for item number, description and unit of measure ([COMPANY: confirm Oracle is the item master]). Which cost elements receive duty, freight and fees ([COMPANY: Oracle EBS cost elements and sub-elements]). Finance owns the cost load; the BSA prepares and checks the input.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Broker classification or parts files (data out).</w:t>
      </w:r>
      <w:r>
        <w:t xml:space="preserve"> </w:t>
      </w:r>
      <w:r>
        <w:t xml:space="preserve">Per country and per broker: item, description, HTS number, country of origin, preference claim data, unit of measure ([COMPANY: broker file layout for each broker]).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Broker entry data (data back).</w:t>
      </w:r>
      <w:r>
        <w:t xml:space="preserve"> </w:t>
      </w:r>
      <w:r>
        <w:t xml:space="preserve">Entry number and line, HTS number, entered value, duty, fees, preference claimed, origin. Used to audit broker filings and as actual duty for PPV.</w:t>
      </w:r>
    </w:p>
    <w:bookmarkEnd w:id="25"/>
    <w:bookmarkStart w:id="26" w:name="X70906f0ec14c0a5b7c8c4f00337f524ad2bc953"/>
    <w:p>
      <w:pPr>
        <w:pStyle w:val="Heading3"/>
      </w:pPr>
      <w:r>
        <w:t xml:space="preserve">Starter object list for the day-90 data maps</w:t>
      </w:r>
    </w:p>
    <w:p>
      <w:pPr>
        <w:pStyle w:val="FirstParagraph"/>
      </w:pPr>
      <w:r>
        <w:t xml:space="preserve">The e2open concepts below are generic. Confirm each against the project's scope and data model ([COMPANY: e2open scope document]).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150"/>
        <w:gridCol w:w="2384"/>
        <w:gridCol w:w="1941"/>
        <w:gridCol w:w="1840"/>
        <w:gridCol w:w="2044"/>
      </w:tblGrid>
      <w:tr>
        <w:trPr>
          <w:tblHeader w:val="true"/>
        </w:trP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Source today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e2open concept (confirm)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Watch for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Product classification (HTS per country)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AS400 classification master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Product classification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History and effective dates; leading zeros; expired numbers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Tariff rates and additional duties (for example HTSUS Chapter 99)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National tariff schedules, Tariff-Impact Briefs, Excel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Trade content and duty rates ([COMPANY: in scope?])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Effective and end dates; stacking rules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USMCA qualification and supplier certifications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AS400 flags, certification files, bills of material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Trade agreement qualification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Blanket periods; missing certifications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Standard Cost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Duty rates used in standard cost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[COMPANY: name of std-cost tool]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Landed cost or duty calculation ([COMPANY: in scope?])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Rates without dates; hard-coded rates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Standard Cost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Landed-cost components (freight, fees, brokerage factors)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[COMPANY: name of std-cost tool], Oracle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Landed cost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Allocation basis; currency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Standard Cost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Broker entry data (actual duty)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Broker files, data warehouse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Import declaration history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Line-level matching to items</w:t>
            </w:r>
          </w:p>
        </w:tc>
      </w:tr>
      <w:tr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>
            <w:tcW w:w="2384" w:type="dxa"/>
          </w:tcPr>
          <w:p>
            <w:pPr>
              <w:pStyle w:val="Compact"/>
              <w:jc w:val="left"/>
            </w:pPr>
            <w:r>
              <w:t xml:space="preserve">Parties (suppliers, producers, brokers, importer of record)</w:t>
            </w:r>
          </w:p>
        </w:tc>
        <w:tc>
          <w:tcPr>
            <w:tcW w:w="1941" w:type="dxa"/>
          </w:tcPr>
          <w:p>
            <w:pPr>
              <w:pStyle w:val="Compact"/>
              <w:jc w:val="left"/>
            </w:pPr>
            <w:r>
              <w:t xml:space="preserve">Oracle supplier master, AS400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Party master</w:t>
            </w:r>
          </w:p>
        </w:tc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Duplicates; addresses for certifications</w:t>
            </w:r>
          </w:p>
        </w:tc>
      </w:tr>
    </w:tbl>
    <w:bookmarkEnd w:id="26"/>
    <w:bookmarkStart w:id="27" w:name="part-5-data-profiling-checklist"/>
    <w:p>
      <w:pPr>
        <w:pStyle w:val="Heading3"/>
      </w:pPr>
      <w:r>
        <w:t xml:space="preserve">Part 5: Data profiling checklist</w:t>
      </w:r>
    </w:p>
    <w:p>
      <w:pPr>
        <w:pStyle w:val="FirstParagraph"/>
      </w:pPr>
      <w:r>
        <w:t xml:space="preserve">Run on the full extract, save the queries and results with the date, and repeat on each new extract.</w:t>
      </w:r>
    </w:p>
    <w:p>
      <w:pPr>
        <w:numPr>
          <w:ilvl w:val="0"/>
          <w:numId w:val="1005"/>
        </w:numPr>
        <w:pStyle w:val="Compact"/>
      </w:pPr>
      <w:r>
        <w:t xml:space="preserve">☐ Row count matches the source system's own count for the same filter and date.</w:t>
      </w:r>
    </w:p>
    <w:p>
      <w:pPr>
        <w:numPr>
          <w:ilvl w:val="0"/>
          <w:numId w:val="1005"/>
        </w:numPr>
        <w:pStyle w:val="Compact"/>
      </w:pPr>
      <w:r>
        <w:t xml:space="preserve">☐ The key is unique (no duplicate item + country); duplicates are listed.</w:t>
      </w:r>
    </w:p>
    <w:p>
      <w:pPr>
        <w:numPr>
          <w:ilvl w:val="0"/>
          <w:numId w:val="1005"/>
        </w:numPr>
        <w:pStyle w:val="Compact"/>
      </w:pPr>
      <w:r>
        <w:t xml:space="preserve">☐ Blank and null counts per field; no blanks in fields the target requires.</w:t>
      </w:r>
    </w:p>
    <w:p>
      <w:pPr>
        <w:numPr>
          <w:ilvl w:val="0"/>
          <w:numId w:val="1005"/>
        </w:numPr>
        <w:pStyle w:val="Compact"/>
      </w:pPr>
      <w:r>
        <w:t xml:space="preserve">☐ HTS length by country: US 10 digits (8-digit subheading + 2-digit statistical suffix), Canada 10 digits (8-digit tariff item + 2-digit statistical suffix), Mexico 10 digits (8-digit fracción + 2-digit NICO).</w:t>
      </w:r>
    </w:p>
    <w:p>
      <w:pPr>
        <w:numPr>
          <w:ilvl w:val="0"/>
          <w:numId w:val="1005"/>
        </w:numPr>
        <w:pStyle w:val="Compact"/>
      </w:pPr>
      <w:r>
        <w:t xml:space="preserve">☐ Leading zeros are intact for chapters 01 to 09; no periods, spaces or scientific notation.</w:t>
      </w:r>
    </w:p>
    <w:p>
      <w:pPr>
        <w:numPr>
          <w:ilvl w:val="0"/>
          <w:numId w:val="1005"/>
        </w:numPr>
        <w:pStyle w:val="Compact"/>
      </w:pPr>
      <w:r>
        <w:t xml:space="preserve">☐ Each HTS number exists in the current national schedule for its country (HTSUS, Canada Customs Tariff, TIGIE with NICO). Expired numbers are listed for Research.</w:t>
      </w:r>
    </w:p>
    <w:p>
      <w:pPr>
        <w:numPr>
          <w:ilvl w:val="0"/>
          <w:numId w:val="1005"/>
        </w:numPr>
        <w:pStyle w:val="Compact"/>
      </w:pPr>
      <w:r>
        <w:t xml:space="preserve">☐ The first 6 digits agree across US, CA and MX for the same item. Differences are usually errors but not always; list them for Research review.</w:t>
      </w:r>
    </w:p>
    <w:p>
      <w:pPr>
        <w:numPr>
          <w:ilvl w:val="0"/>
          <w:numId w:val="1005"/>
        </w:numPr>
        <w:pStyle w:val="Compact"/>
      </w:pPr>
      <w:r>
        <w:t xml:space="preserve">☐ Country codes are valid ISO 3166 alpha-2; units of measure and status codes all appear in the value map.</w:t>
      </w:r>
    </w:p>
    <w:p>
      <w:pPr>
        <w:numPr>
          <w:ilvl w:val="0"/>
          <w:numId w:val="1005"/>
        </w:numPr>
        <w:pStyle w:val="Compact"/>
      </w:pPr>
      <w:r>
        <w:t xml:space="preserve">☐ Dates are valid and in range; "no date" values (0, 9999999) are identified.</w:t>
      </w:r>
    </w:p>
    <w:p>
      <w:pPr>
        <w:numPr>
          <w:ilvl w:val="0"/>
          <w:numId w:val="1005"/>
        </w:numPr>
        <w:pStyle w:val="Compact"/>
      </w:pPr>
      <w:r>
        <w:t xml:space="preserve">☐ Every item exists in the item master ([COMPANY: Oracle]); orphans are listed.</w:t>
      </w:r>
    </w:p>
    <w:p>
      <w:pPr>
        <w:numPr>
          <w:ilvl w:val="0"/>
          <w:numId w:val="1005"/>
        </w:numPr>
        <w:pStyle w:val="Compact"/>
      </w:pPr>
      <w:r>
        <w:t xml:space="preserve">☐ Active and inactive records are counted; the scope decision is written down.</w:t>
      </w:r>
    </w:p>
    <w:p>
      <w:pPr>
        <w:numPr>
          <w:ilvl w:val="0"/>
          <w:numId w:val="1005"/>
        </w:numPr>
        <w:pStyle w:val="Compact"/>
      </w:pPr>
      <w:r>
        <w:t xml:space="preserve">☐ Coded fields contain no free text; special characters and encoding are checked.</w:t>
      </w:r>
    </w:p>
    <w:p>
      <w:pPr>
        <w:numPr>
          <w:ilvl w:val="0"/>
          <w:numId w:val="1005"/>
        </w:numPr>
        <w:pStyle w:val="Compact"/>
      </w:pPr>
      <w:r>
        <w:t xml:space="preserve">☐ USMCA data: every item flagged as qualifying has a qualification record and a certification whose blanket period is 12 months or less and still current.</w:t>
      </w:r>
    </w:p>
    <w:p>
      <w:pPr>
        <w:numPr>
          <w:ilvl w:val="0"/>
          <w:numId w:val="1005"/>
        </w:numPr>
        <w:pStyle w:val="Compact"/>
      </w:pPr>
      <w:r>
        <w:t xml:space="preserve">☐ Numeric fields: decimal places confirmed; negatives and outliers checked (a duty rate above 100% can be real with stacked additional duties; verify it against the brief).</w:t>
      </w:r>
    </w:p>
    <w:p>
      <w:pPr>
        <w:pStyle w:val="FirstParagraph"/>
      </w:pPr>
      <w:r>
        <w:t xml:space="preserve">A starting query for SQL Server (replace stg_classification and the column names with your staging table):</w:t>
      </w:r>
    </w:p>
    <w:p>
      <w:pPr>
        <w:pStyle w:val="SourceCode"/>
      </w:pPr>
      <w:r>
        <w:rPr>
          <w:rStyle w:val="CommentTok"/>
        </w:rPr>
        <w:t xml:space="preserve">-- Rows, distinct keys and duplicates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(item_no,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, country))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distinct_keys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stg_classification;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item_no, country,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stg_classification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item_no, country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HTS length by country (LEN ignores trailing blanks; use DATALENGTH to see them)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country, LEN(hts)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hts_len,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stg_classification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country, LEN(hts)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country, hts_len;</w:t>
      </w:r>
    </w:p>
    <w:bookmarkEnd w:id="27"/>
    <w:bookmarkStart w:id="28" w:name="part-6-cleansing-log"/>
    <w:p>
      <w:pPr>
        <w:pStyle w:val="Heading3"/>
      </w:pPr>
      <w:r>
        <w:t xml:space="preserve">Part 6: Cleansing log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035"/>
        <w:gridCol w:w="1035"/>
        <w:gridCol w:w="1918"/>
        <w:gridCol w:w="2616"/>
        <w:gridCol w:w="920"/>
        <w:gridCol w:w="1834"/>
      </w:tblGrid>
      <w:tr>
        <w:trPr>
          <w:tblHeader w:val="true"/>
        </w:trP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1918" w:type="dxa"/>
          </w:tcPr>
          <w:p>
            <w:pPr>
              <w:pStyle w:val="Compact"/>
              <w:jc w:val="left"/>
            </w:pPr>
            <w:r>
              <w:t xml:space="preserve">Issue and record count</w:t>
            </w:r>
          </w:p>
        </w:tc>
        <w:tc>
          <w:tcPr>
            <w:tcW w:w="2616" w:type="dxa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w="1834" w:type="dxa"/>
          </w:tcPr>
          <w:p>
            <w:pPr>
              <w:pStyle w:val="Compact"/>
              <w:jc w:val="left"/>
            </w:pPr>
            <w:r>
              <w:t xml:space="preserve">Status and date</w:t>
            </w:r>
          </w:p>
        </w:tc>
      </w:tr>
      <w:tr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[DQ-01]</w:t>
            </w:r>
          </w:p>
        </w:tc>
        <w:tc>
          <w:tcPr>
            <w:tcW w:w="1035" w:type="dxa"/>
          </w:tcPr>
          <w:p>
            <w:pPr>
              <w:pStyle w:val="Compact"/>
              <w:jc w:val="left"/>
            </w:pPr>
            <w:r>
              <w:t xml:space="preserve">[XX-03]</w:t>
            </w:r>
          </w:p>
        </w:tc>
        <w:tc>
          <w:tcPr>
            <w:tcW w:w="1918" w:type="dxa"/>
          </w:tcPr>
          <w:p>
            <w:pPr>
              <w:pStyle w:val="Compact"/>
              <w:jc w:val="left"/>
            </w:pPr>
            <w:r>
              <w:t xml:space="preserve">[What is wrong; how many rows]</w:t>
            </w:r>
          </w:p>
        </w:tc>
        <w:tc>
          <w:tcPr>
            <w:tcW w:w="2616" w:type="dxa"/>
          </w:tcPr>
          <w:p>
            <w:pPr>
              <w:pStyle w:val="Compact"/>
              <w:jc w:val="left"/>
            </w:pPr>
            <w:r>
              <w:t xml:space="preserve">[Fix at source, Fix in transform, Accept, Exclude]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>
            <w:tcW w:w="1834" w:type="dxa"/>
          </w:tcPr>
          <w:p>
            <w:pPr>
              <w:pStyle w:val="Compact"/>
              <w:jc w:val="left"/>
            </w:pPr>
            <w:r>
              <w:t xml:space="preserve">[Open, In progress, Done; date]</w:t>
            </w:r>
          </w:p>
        </w:tc>
      </w:tr>
    </w:tbl>
    <w:p>
      <w:pPr>
        <w:pStyle w:val="BodyText"/>
      </w:pPr>
      <w:r>
        <w:t xml:space="preserve">Decision rules: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 at source</w:t>
      </w:r>
      <w:r>
        <w:t xml:space="preserve"> </w:t>
      </w:r>
      <w:r>
        <w:t xml:space="preserve">is the default. It keeps the AS400 data, the broker feeds and e2open in agreement during any parallel run.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 in transform</w:t>
      </w:r>
      <w:r>
        <w:t xml:space="preserve"> </w:t>
      </w:r>
      <w:r>
        <w:t xml:space="preserve">only for mechanical, rule-based fixes (for example zero-padding), written into table 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Accept</w:t>
      </w:r>
      <w:r>
        <w:t xml:space="preserve"> </w:t>
      </w:r>
      <w:r>
        <w:t xml:space="preserve">only with a written reason from the data owner.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Exclude</w:t>
      </w:r>
      <w:r>
        <w:t xml:space="preserve"> </w:t>
      </w:r>
      <w:r>
        <w:t xml:space="preserve">only with data-owner approval and an archive plan for the excluded records.</w:t>
      </w:r>
    </w:p>
    <w:p>
      <w:pPr>
        <w:numPr>
          <w:ilvl w:val="0"/>
          <w:numId w:val="1006"/>
        </w:numPr>
        <w:pStyle w:val="Compact"/>
      </w:pPr>
      <w:r>
        <w:t xml:space="preserve">A correction to classification, value or origin data is a compliance change. Research is maker, the Senior is checker, and it goes through a change request (</w:t>
      </w:r>
      <w:r>
        <w:rPr>
          <w:rStyle w:val="VerbatimChar"/>
        </w:rPr>
        <w:t xml:space="preserve">docs/templates/bsa/06-change-request.md</w:t>
      </w:r>
      <w:r>
        <w:t xml:space="preserve">). If past entries may have used the wrong data, tell the Manager; any correction of a past entry is filed by the broker on [COMPANY: trade compliance lead]'s decision.</w:t>
      </w:r>
    </w:p>
    <w:bookmarkEnd w:id="28"/>
    <w:bookmarkStart w:id="29" w:name="part-7-reconciliation"/>
    <w:p>
      <w:pPr>
        <w:pStyle w:val="Heading3"/>
      </w:pPr>
      <w:r>
        <w:t xml:space="preserve">Part 7: Reconciliation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1150"/>
        <w:gridCol w:w="1265"/>
        <w:gridCol w:w="1610"/>
        <w:gridCol w:w="1612"/>
        <w:gridCol w:w="1265"/>
      </w:tblGrid>
      <w:tr>
        <w:trPr>
          <w:tblHeader w:val="true"/>
        </w:trP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Source result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Target result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Total records (same filter)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0, or explained by excluded records in the cleansing log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Records by country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[n per country]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[n per country]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Distinct keys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Control total (sum of a numeric field, or of HTS numbers as a hash total)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0, or [COMPANY: tolerance] for amounts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Blanks in required target fields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457" w:type="dxa"/>
          </w:tcPr>
          <w:p>
            <w:pPr>
              <w:pStyle w:val="Compact"/>
              <w:jc w:val="left"/>
            </w:pPr>
            <w:r>
              <w:t xml:space="preserve">Sample check, field by field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[25 random + all edge cases]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[Matches]</w:t>
            </w:r>
          </w:p>
        </w:tc>
        <w:tc>
          <w:tcPr>
            <w:tcW w:w="1610" w:type="dxa"/>
          </w:tcPr>
          <w:p>
            <w:pPr>
              <w:pStyle w:val="Compact"/>
              <w:jc w:val="left"/>
            </w:pPr>
            <w:r>
              <w:t xml:space="preserve">[Mismatches]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Edge cases to include in every sample: HTS chapters 01 to 09; descriptions with accented characters; the longest descriptions (truncation); items classified in all three countries; USMCA-flagged items; classifications changed in the last 90 days; the earliest and latest dates.</w:t>
      </w:r>
    </w:p>
    <w:p>
      <w:pPr>
        <w:pStyle w:val="BodyText"/>
      </w:pPr>
      <w:r>
        <w:t xml:space="preserve">Re-run every check after each test load and at cutover. Keep the queries, results, date and load ID together; they are UAT and audit evidence.</w:t>
      </w:r>
    </w:p>
    <w:bookmarkEnd w:id="29"/>
    <w:bookmarkStart w:id="30" w:name="part-8-sign-off"/>
    <w:p>
      <w:pPr>
        <w:pStyle w:val="Heading3"/>
      </w:pPr>
      <w:r>
        <w:t xml:space="preserve">Part 8: Sign-off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380"/>
        <w:gridCol w:w="1619"/>
        <w:gridCol w:w="3310"/>
        <w:gridCol w:w="900"/>
        <w:gridCol w:w="1150"/>
      </w:tblGrid>
      <w:tr>
        <w:trPr>
          <w:tblHeader w:val="true"/>
        </w:trP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Version reviewed</w:t>
            </w:r>
          </w:p>
        </w:tc>
      </w:tr>
      <w:t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Data owner (business)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[COMPANY: data owner]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[Approved, Approved with conditions, Rejected]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BSA maker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[Senior]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[Review complete; findings closed]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e2open data or integration lead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[COMPANY: name]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w="2380" w:type="dxa"/>
          </w:tcPr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>
            <w:tcW w:w="1619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331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30"/>
    <w:bookmarkEnd w:id="31"/>
    <w:bookmarkStart w:id="32" w:name="filled-example-illustrative"/>
    <w:p>
      <w:pPr>
        <w:pStyle w:val="Heading2"/>
      </w:pPr>
      <w:r>
        <w:t xml:space="preserve">Filled example (illustrative)</w:t>
      </w:r>
    </w:p>
    <w:p>
      <w:pPr>
        <w:pStyle w:val="FirstParagraph"/>
      </w:pPr>
      <w:r>
        <w:t xml:space="preserve">Product classification master, AS400 to e2open. Field and file names stay as [COMPANY: ...] until the AS400 data dictionary and the e2open load template are in hand. Counts are illustrative.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842"/>
        <w:gridCol w:w="6517"/>
      </w:tblGrid>
      <w:tr>
        <w:trPr>
          <w:tblHeader w:val="true"/>
        </w:trP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Spec ID and version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DM-RES-01 v0.3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Product classification master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Source system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AS400 trade system: [COMPANY: item classification file]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Target system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e2open GTM: [COMPANY: product classification load template]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One-time migration load, then e2open becomes the master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Record scope (filter)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Active items; countries US, CA, MX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Item number + country</w:t>
            </w:r>
          </w:p>
        </w:tc>
      </w:tr>
      <w:tr>
        <w:tc>
          <w:tcPr>
            <w:tcW w:w="2842" w:type="dxa"/>
          </w:tcPr>
          <w:p>
            <w:pPr>
              <w:pStyle w:val="Compact"/>
              <w:jc w:val="left"/>
            </w:pPr>
            <w:r>
              <w:t xml:space="preserve">Maker and checker</w:t>
            </w:r>
          </w:p>
        </w:tc>
        <w:tc>
          <w:tcPr>
            <w:tcW w:w="6517" w:type="dxa"/>
          </w:tcPr>
          <w:p>
            <w:pPr>
              <w:pStyle w:val="Compact"/>
              <w:jc w:val="left"/>
            </w:pPr>
            <w:r>
              <w:t xml:space="preserve">Hire A; Senior</w:t>
            </w:r>
          </w:p>
        </w:tc>
      </w:tr>
    </w:tbl>
    <w:p>
      <w:pPr>
        <w:pStyle w:val="BodyText"/>
      </w:pPr>
      <w:r>
        <w:t xml:space="preserve">Table A: field mapping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1840"/>
        <w:gridCol w:w="2601"/>
        <w:gridCol w:w="2088"/>
        <w:gridCol w:w="1929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Source file/table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Source field (type)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Target field (type, required?)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Transform rule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CL-01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[COMPANY: item classification file]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item number field] (CHAR 15)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Product ID (text, Y)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Trim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CL-02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country field] (CHAR 2)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Classification country (code, Y)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Lookup VM-01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CL-03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HTS field] (numeric, 10 digits, 0 decimals)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Tariff number (text 10, Y)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Convert to text; Pad to 10 digits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CL-04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classification date field] (numeric 7, CYYMMDD)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Effective-from date (date, N)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Convert CYYMMDD to YYYY-MM-DD; 0 becomes blank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CL-05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[COMPANY: item master file]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origin field] (CHAR 2)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Country of origin (code, Y)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CL-06</w:t>
            </w:r>
          </w:p>
        </w:tc>
        <w:tc>
          <w:tcPr>
            <w:tcW w:w="1840" w:type="dxa"/>
          </w:tcPr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2601" w:type="dxa"/>
          </w:tcPr>
          <w:p>
            <w:pPr>
              <w:pStyle w:val="Compact"/>
              <w:jc w:val="left"/>
            </w:pPr>
            <w:r>
              <w:t xml:space="preserve">[COMPANY: USMCA flag] (CHAR 1, Y or N)</w:t>
            </w:r>
          </w:p>
        </w:tc>
        <w:tc>
          <w:tcPr>
            <w:tcW w:w="2088" w:type="dxa"/>
          </w:tcPr>
          <w:p>
            <w:pPr>
              <w:pStyle w:val="Compact"/>
              <w:jc w:val="left"/>
            </w:pPr>
            <w:r>
              <w:t xml:space="preserve">Trade agreement qualification (separate object)</w:t>
            </w:r>
          </w:p>
        </w:tc>
        <w:tc>
          <w:tcPr>
            <w:tcW w:w="1929" w:type="dxa"/>
          </w:tcPr>
          <w:p>
            <w:pPr>
              <w:pStyle w:val="Compact"/>
              <w:jc w:val="left"/>
            </w:pPr>
            <w:r>
              <w:t xml:space="preserve">Not migrated as a flag; see VM-02 and open question</w:t>
            </w:r>
          </w:p>
        </w:tc>
      </w:tr>
    </w:tbl>
    <w:p>
      <w:pPr>
        <w:pStyle w:val="BodyText"/>
      </w:pPr>
      <w:r>
        <w:t xml:space="preserve">Table B: data quality and open questions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2965"/>
        <w:gridCol w:w="3079"/>
        <w:gridCol w:w="1265"/>
        <w:gridCol w:w="1150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Data quality rule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Open question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CL-01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Unique with country; must exist in the Oracle item master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Hire A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Agreed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CL-02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Only US, CA, MX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None (profiling found only those three)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Hire A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Agreed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CL-03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10 digits after padding; exists in the current schedule for that country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Is HTS numeric for all three countries, or only for US?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AS400 system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CL-04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Valid date, not in the future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Does 0 mean "never set" or "set before the field existed"?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data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CL-05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Valid ISO code; not blank for active items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item data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Agreed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CL-06</w:t>
            </w:r>
          </w:p>
        </w:tc>
        <w:tc>
          <w:tcPr>
            <w:tcW w:w="2965" w:type="dxa"/>
          </w:tcPr>
          <w:p>
            <w:pPr>
              <w:pStyle w:val="Compact"/>
              <w:jc w:val="left"/>
            </w:pPr>
            <w:r>
              <w:t xml:space="preserve">Every Y needs a qualification record and a current certification</w:t>
            </w:r>
          </w:p>
        </w:tc>
        <w:tc>
          <w:tcPr>
            <w:tcW w:w="3079" w:type="dxa"/>
          </w:tcPr>
          <w:p>
            <w:pPr>
              <w:pStyle w:val="Compact"/>
              <w:jc w:val="left"/>
            </w:pPr>
            <w:r>
              <w:t xml:space="preserve">Does the e2open scope include USMCA qualification and supplier certification collection?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e2open project lead]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</w:tbl>
    <w:p>
      <w:pPr>
        <w:pStyle w:val="BodyText"/>
      </w:pPr>
      <w:r>
        <w:t xml:space="preserve">Value map VM-02 shows why a single Y/N flag cannot move as is: the same claim is coded differently in each country.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920"/>
        <w:gridCol w:w="2751"/>
        <w:gridCol w:w="2070"/>
        <w:gridCol w:w="2718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Value map ID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Source value</w:t>
            </w:r>
          </w:p>
        </w:tc>
        <w:tc>
          <w:tcPr>
            <w:tcW w:w="2751" w:type="dxa"/>
          </w:tcPr>
          <w:p>
            <w:pPr>
              <w:pStyle w:val="Compact"/>
              <w:jc w:val="left"/>
            </w:pPr>
            <w:r>
              <w:t xml:space="preserve">Target value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W w:w="2718" w:type="dxa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VM-02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tcW w:w="2751" w:type="dxa"/>
          </w:tcPr>
          <w:p>
            <w:pPr>
              <w:pStyle w:val="Compact"/>
              <w:jc w:val="left"/>
            </w:pPr>
            <w:r>
              <w:t xml:space="preserve">US: SPI "S", or "S+" where the HTSUS gives different treatment by partner country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USMCA claim on the US entry</w:t>
            </w:r>
          </w:p>
        </w:tc>
        <w:tc>
          <w:tcPr>
            <w:tcW w:w="2718" w:type="dxa"/>
          </w:tcPr>
          <w:p>
            <w:pPr>
              <w:pStyle w:val="Compact"/>
              <w:jc w:val="left"/>
            </w:pPr>
            <w:r>
              <w:t xml:space="preserve">HTSUS General Note 3(c)(i); the broker enters it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VM-02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tcW w:w="2751" w:type="dxa"/>
          </w:tcPr>
          <w:p>
            <w:pPr>
              <w:pStyle w:val="Compact"/>
              <w:jc w:val="left"/>
            </w:pPr>
            <w:r>
              <w:t xml:space="preserve">CA: tariff treatment code 10 (UST) or 11 (MXT)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CUSMA claim on the Canadian accounting declaration</w:t>
            </w:r>
          </w:p>
        </w:tc>
        <w:tc>
          <w:tcPr>
            <w:tcW w:w="2718" w:type="dxa"/>
          </w:tcPr>
          <w:p>
            <w:pPr>
              <w:pStyle w:val="Compact"/>
              <w:jc w:val="left"/>
            </w:pPr>
            <w:r>
              <w:t xml:space="preserve">UST or MXT depends on the CUSMA Tariff Preference Regulations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VM-02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tcW w:w="2751" w:type="dxa"/>
          </w:tcPr>
          <w:p>
            <w:pPr>
              <w:pStyle w:val="Compact"/>
              <w:jc w:val="left"/>
            </w:pPr>
            <w:r>
              <w:t xml:space="preserve">MX: [COMPANY: pedimento coding, confirmed with the agente aduanal by the Senior]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T-MEC claim on the pedimento</w:t>
            </w:r>
          </w:p>
        </w:tc>
        <w:tc>
          <w:tcPr>
            <w:tcW w:w="2718" w:type="dxa"/>
          </w:tcPr>
          <w:p>
            <w:pPr>
              <w:pStyle w:val="Compact"/>
              <w:jc w:val="left"/>
            </w:pPr>
            <w:r>
              <w:t xml:space="preserve">Not confirmed here. Before day 60, the hire asks the Senior, not the agente aduanal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VM-02</w:t>
            </w:r>
          </w:p>
        </w:tc>
        <w:tc>
          <w:tcPr>
            <w:tcW w:w="920" w:type="dxa"/>
          </w:tcPr>
          <w:p>
            <w:pPr>
              <w:pStyle w:val="Compact"/>
              <w:jc w:val="left"/>
            </w:pPr>
            <w:r>
              <w:t xml:space="preserve">N or blank</w:t>
            </w:r>
          </w:p>
        </w:tc>
        <w:tc>
          <w:tcPr>
            <w:tcW w:w="2751" w:type="dxa"/>
          </w:tcPr>
          <w:p>
            <w:pPr>
              <w:pStyle w:val="Compact"/>
              <w:jc w:val="left"/>
            </w:pPr>
            <w:r>
              <w:t xml:space="preserve">No preference</w:t>
            </w:r>
          </w:p>
        </w:tc>
        <w:tc>
          <w:tcPr>
            <w:tcW w:w="2070" w:type="dxa"/>
          </w:tcPr>
          <w:p>
            <w:pPr>
              <w:pStyle w:val="Compact"/>
              <w:jc w:val="left"/>
            </w:pPr>
            <w:r>
              <w:t xml:space="preserve">Pay the non-preferential rate</w:t>
            </w:r>
          </w:p>
        </w:tc>
        <w:tc>
          <w:tcPr>
            <w:tcW w:w="2718" w:type="dxa"/>
          </w:tcPr>
          <w:p>
            <w:pPr>
              <w:pStyle w:val="Compact"/>
              <w:jc w:val="left"/>
            </w:pPr>
            <w:r>
              <w:t xml:space="preserve">Blank needs a source fix</w:t>
            </w:r>
          </w:p>
        </w:tc>
      </w:tr>
    </w:tbl>
    <w:p>
      <w:pPr>
        <w:pStyle w:val="BodyText"/>
      </w:pPr>
      <w:r>
        <w:t xml:space="preserve">Cleansing log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900"/>
        <w:gridCol w:w="900"/>
        <w:gridCol w:w="2526"/>
        <w:gridCol w:w="2618"/>
        <w:gridCol w:w="1265"/>
        <w:gridCol w:w="1150"/>
      </w:tblGrid>
      <w:tr>
        <w:trPr>
          <w:tblHeader w:val="true"/>
        </w:trP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>
            <w:tcW w:w="2526" w:type="dxa"/>
          </w:tcPr>
          <w:p>
            <w:pPr>
              <w:pStyle w:val="Compact"/>
              <w:jc w:val="left"/>
            </w:pPr>
            <w:r>
              <w:t xml:space="preserve">Issue and record count</w:t>
            </w:r>
          </w:p>
        </w:tc>
        <w:tc>
          <w:tcPr>
            <w:tcW w:w="2618" w:type="dxa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Status and date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DQ-01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CL-03</w:t>
            </w:r>
          </w:p>
        </w:tc>
        <w:tc>
          <w:tcPr>
            <w:tcW w:w="2526" w:type="dxa"/>
          </w:tcPr>
          <w:p>
            <w:pPr>
              <w:pStyle w:val="Compact"/>
              <w:jc w:val="left"/>
            </w:pPr>
            <w:r>
              <w:t xml:space="preserve">312 US rows with 9 digits (leading zero lost, chapters 01 to 09)</w:t>
            </w:r>
          </w:p>
        </w:tc>
        <w:tc>
          <w:tcPr>
            <w:tcW w:w="2618" w:type="dxa"/>
          </w:tcPr>
          <w:p>
            <w:pPr>
              <w:pStyle w:val="Compact"/>
              <w:jc w:val="left"/>
            </w:pPr>
            <w:r>
              <w:t xml:space="preserve">Fix in transform (Pad); also fix the source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Hire A; [COMPANY: AS400 system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DQ-02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CL-03</w:t>
            </w:r>
          </w:p>
        </w:tc>
        <w:tc>
          <w:tcPr>
            <w:tcW w:w="2526" w:type="dxa"/>
          </w:tcPr>
          <w:p>
            <w:pPr>
              <w:pStyle w:val="Compact"/>
              <w:jc w:val="left"/>
            </w:pPr>
            <w:r>
              <w:t xml:space="preserve">47 rows whose HTS number is not in the current schedule</w:t>
            </w:r>
          </w:p>
        </w:tc>
        <w:tc>
          <w:tcPr>
            <w:tcW w:w="2618" w:type="dxa"/>
          </w:tcPr>
          <w:p>
            <w:pPr>
              <w:pStyle w:val="Compact"/>
              <w:jc w:val="left"/>
            </w:pPr>
            <w:r>
              <w:t xml:space="preserve">Fix at source: Research reclassifies (Hire A maker, Senior checker, change request)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Hire A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DQ-03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CL-05</w:t>
            </w:r>
          </w:p>
        </w:tc>
        <w:tc>
          <w:tcPr>
            <w:tcW w:w="2526" w:type="dxa"/>
          </w:tcPr>
          <w:p>
            <w:pPr>
              <w:pStyle w:val="Compact"/>
              <w:jc w:val="left"/>
            </w:pPr>
            <w:r>
              <w:t xml:space="preserve">18 active items with blank origin</w:t>
            </w:r>
          </w:p>
        </w:tc>
        <w:tc>
          <w:tcPr>
            <w:tcW w:w="2618" w:type="dxa"/>
          </w:tcPr>
          <w:p>
            <w:pPr>
              <w:pStyle w:val="Compact"/>
              <w:jc w:val="left"/>
            </w:pPr>
            <w:r>
              <w:t xml:space="preserve">Fix at source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item data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DQ-04</w:t>
            </w:r>
          </w:p>
        </w:tc>
        <w:tc>
          <w:tcPr>
            <w:tcW w:w="900" w:type="dxa"/>
          </w:tcPr>
          <w:p>
            <w:pPr>
              <w:pStyle w:val="Compact"/>
              <w:jc w:val="left"/>
            </w:pPr>
            <w:r>
              <w:t xml:space="preserve">CL-01</w:t>
            </w:r>
          </w:p>
        </w:tc>
        <w:tc>
          <w:tcPr>
            <w:tcW w:w="2526" w:type="dxa"/>
          </w:tcPr>
          <w:p>
            <w:pPr>
              <w:pStyle w:val="Compact"/>
              <w:jc w:val="left"/>
            </w:pPr>
            <w:r>
              <w:t xml:space="preserve">6 items (18 rows) not in the Oracle item master</w:t>
            </w:r>
          </w:p>
        </w:tc>
        <w:tc>
          <w:tcPr>
            <w:tcW w:w="2618" w:type="dxa"/>
          </w:tcPr>
          <w:p>
            <w:pPr>
              <w:pStyle w:val="Compact"/>
              <w:jc w:val="left"/>
            </w:pPr>
            <w:r>
              <w:t xml:space="preserve">Exclude; list archived with the spec</w:t>
            </w:r>
          </w:p>
        </w:tc>
        <w:tc>
          <w:tcPr>
            <w:tcW w:w="1265" w:type="dxa"/>
          </w:tcPr>
          <w:p>
            <w:pPr>
              <w:pStyle w:val="Compact"/>
              <w:jc w:val="left"/>
            </w:pPr>
            <w:r>
              <w:t xml:space="preserve">[COMPANY: data owner]</w:t>
            </w:r>
          </w:p>
        </w:tc>
        <w:tc>
          <w:tcPr>
            <w:tcW w:w="1150" w:type="dxa"/>
          </w:tcPr>
          <w:p>
            <w:pPr>
              <w:pStyle w:val="Compact"/>
              <w:jc w:val="left"/>
            </w:pPr>
            <w:r>
              <w:t xml:space="preserve">Done, approved</w:t>
            </w:r>
          </w:p>
        </w:tc>
      </w:tr>
    </w:tbl>
    <w:p>
      <w:pPr>
        <w:pStyle w:val="BodyText"/>
      </w:pPr>
      <w:r>
        <w:t xml:space="preserve">Reconciliation after test load 1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106"/>
        <w:gridCol w:w="919"/>
        <w:gridCol w:w="919"/>
        <w:gridCol w:w="1379"/>
        <w:gridCol w:w="1264"/>
        <w:gridCol w:w="2768"/>
      </w:tblGrid>
      <w:tr>
        <w:trPr>
          <w:tblHeader w:val="true"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Source result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Target result</w:t>
            </w:r>
          </w:p>
        </w:tc>
        <w:tc>
          <w:tcPr>
            <w:tcW w:w="1379" w:type="dxa"/>
          </w:tcPr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>
            <w:tcW w:w="2768" w:type="dxa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>
            <w:tcW w:w="2106" w:type="dxa"/>
          </w:tcPr>
          <w:p>
            <w:pPr>
              <w:pStyle w:val="Compact"/>
              <w:jc w:val="left"/>
            </w:pPr>
            <w:r>
              <w:t xml:space="preserve">Total records (active, 3 countries)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41,250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41,232</w:t>
            </w:r>
          </w:p>
        </w:tc>
        <w:tc>
          <w:tcPr>
            <w:tcW w:w="1379" w:type="dxa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Explained by DQ-04</w:t>
            </w:r>
          </w:p>
        </w:tc>
        <w:tc>
          <w:tcPr>
            <w:tcW w:w="2768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2106" w:type="dxa"/>
          </w:tcPr>
          <w:p>
            <w:pPr>
              <w:pStyle w:val="Compact"/>
              <w:jc w:val="left"/>
            </w:pPr>
            <w:r>
              <w:t xml:space="preserve">Records for US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13,750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13,744</w:t>
            </w:r>
          </w:p>
        </w:tc>
        <w:tc>
          <w:tcPr>
            <w:tcW w:w="1379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Explained by DQ-04</w:t>
            </w:r>
          </w:p>
        </w:tc>
        <w:tc>
          <w:tcPr>
            <w:tcW w:w="2768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2106" w:type="dxa"/>
          </w:tcPr>
          <w:p>
            <w:pPr>
              <w:pStyle w:val="Compact"/>
              <w:jc w:val="left"/>
            </w:pPr>
            <w:r>
              <w:t xml:space="preserve">Blanks in required target fields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37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8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>
            <w:tcW w:w="2106" w:type="dxa"/>
          </w:tcPr>
          <w:p>
            <w:pPr>
              <w:pStyle w:val="Compact"/>
              <w:jc w:val="left"/>
            </w:pPr>
            <w:r>
              <w:t xml:space="preserve">Sample: 25 random + 15 edge cases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w="919" w:type="dxa"/>
          </w:tcPr>
          <w:p>
            <w:pPr>
              <w:pStyle w:val="Compact"/>
              <w:jc w:val="left"/>
            </w:pPr>
            <w:r>
              <w:t xml:space="preserve">39 match</w:t>
            </w:r>
          </w:p>
        </w:tc>
        <w:tc>
          <w:tcPr>
            <w:tcW w:w="1379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8" w:type="dxa"/>
          </w:tcPr>
          <w:p>
            <w:pPr>
              <w:pStyle w:val="Compact"/>
              <w:jc w:val="left"/>
            </w:pPr>
            <w:r>
              <w:t xml:space="preserve">Fail: a 1990s date loaded as 2090s (century digit misread). Logged as DQ-05</w:t>
            </w:r>
          </w:p>
        </w:tc>
      </w:tr>
    </w:tbl>
    <w:bookmarkEnd w:id="32"/>
    <w:bookmarkStart w:id="33" w:name="quality-checklist-before-you-send"/>
    <w:p>
      <w:pPr>
        <w:pStyle w:val="Heading2"/>
      </w:pPr>
      <w:r>
        <w:t xml:space="preserve">Quality checklist before you send</w:t>
      </w:r>
    </w:p>
    <w:p>
      <w:pPr>
        <w:numPr>
          <w:ilvl w:val="0"/>
          <w:numId w:val="1007"/>
        </w:numPr>
        <w:pStyle w:val="Compact"/>
      </w:pPr>
      <w:r>
        <w:t xml:space="preserve">☐ One object and one direction per spec; header complete, including key, scope and data owner.</w:t>
      </w:r>
    </w:p>
    <w:p>
      <w:pPr>
        <w:numPr>
          <w:ilvl w:val="0"/>
          <w:numId w:val="1007"/>
        </w:numPr>
        <w:pStyle w:val="Compact"/>
      </w:pPr>
      <w:r>
        <w:t xml:space="preserve">☐ Target field names come from the e2open data dictionary or load template, or are marked TBC.</w:t>
      </w:r>
    </w:p>
    <w:p>
      <w:pPr>
        <w:numPr>
          <w:ilvl w:val="0"/>
          <w:numId w:val="1007"/>
        </w:numPr>
        <w:pStyle w:val="Compact"/>
      </w:pPr>
      <w:r>
        <w:t xml:space="preserve">☐ The source was profiled before mapping, and the profiling results are saved with their date.</w:t>
      </w:r>
    </w:p>
    <w:p>
      <w:pPr>
        <w:numPr>
          <w:ilvl w:val="0"/>
          <w:numId w:val="1007"/>
        </w:numPr>
        <w:pStyle w:val="Compact"/>
      </w:pPr>
      <w:r>
        <w:t xml:space="preserve">☐ Every target field has a row (mapped, derived, defaulted or not migrated, with a reason).</w:t>
      </w:r>
    </w:p>
    <w:p>
      <w:pPr>
        <w:numPr>
          <w:ilvl w:val="0"/>
          <w:numId w:val="1007"/>
        </w:numPr>
        <w:pStyle w:val="Compact"/>
      </w:pPr>
      <w:r>
        <w:t xml:space="preserve">☐ Transform rules use the standard vocabulary and are specific enough to code from.</w:t>
      </w:r>
    </w:p>
    <w:p>
      <w:pPr>
        <w:numPr>
          <w:ilvl w:val="0"/>
          <w:numId w:val="1007"/>
        </w:numPr>
        <w:pStyle w:val="Compact"/>
      </w:pPr>
      <w:r>
        <w:t xml:space="preserve">☐ Every coded field has a complete value map, including blanks.</w:t>
      </w:r>
    </w:p>
    <w:p>
      <w:pPr>
        <w:numPr>
          <w:ilvl w:val="0"/>
          <w:numId w:val="1007"/>
        </w:numPr>
        <w:pStyle w:val="Compact"/>
      </w:pPr>
      <w:r>
        <w:t xml:space="preserve">☐ Every Map ID has a data quality rule; open questions have an owner.</w:t>
      </w:r>
    </w:p>
    <w:p>
      <w:pPr>
        <w:numPr>
          <w:ilvl w:val="0"/>
          <w:numId w:val="1007"/>
        </w:numPr>
        <w:pStyle w:val="Compact"/>
      </w:pPr>
      <w:r>
        <w:t xml:space="preserve">☐ HTS numbers are text, the right length per country, with leading zeros kept.</w:t>
      </w:r>
    </w:p>
    <w:p>
      <w:pPr>
        <w:numPr>
          <w:ilvl w:val="0"/>
          <w:numId w:val="1007"/>
        </w:numPr>
        <w:pStyle w:val="Compact"/>
      </w:pPr>
      <w:r>
        <w:t xml:space="preserve">☐ Classification, value and origin corrections are routed through Research, a checker and a change request.</w:t>
      </w:r>
    </w:p>
    <w:p>
      <w:pPr>
        <w:numPr>
          <w:ilvl w:val="0"/>
          <w:numId w:val="1007"/>
        </w:numPr>
        <w:pStyle w:val="Compact"/>
      </w:pPr>
      <w:r>
        <w:t xml:space="preserve">☐ The reconciliation covers counts, a control total and a sample with edge cases, and every difference is explained.</w:t>
      </w:r>
    </w:p>
    <w:p>
      <w:pPr>
        <w:numPr>
          <w:ilvl w:val="0"/>
          <w:numId w:val="1007"/>
        </w:numPr>
        <w:pStyle w:val="Compact"/>
      </w:pPr>
      <w:r>
        <w:t xml:space="preserve">☐ The Senior's review is recorded and the data owner has signed the current version.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2026-10-17T03:51:35Z</dcterms:created>
  <dcterms:modified xsi:type="dcterms:W3CDTF">2026-10-17T03:51:35Z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