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tandard-cost-update-checklist"/>
    <w:p>
      <w:pPr>
        <w:pStyle w:val="Heading1"/>
      </w:pPr>
      <w:r>
        <w:t xml:space="preserve">Standard Cost Update Checklist</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run one periodic standard cost update for duty and landed-cost inputs, end to end, with the same steps and evidence every time: plan with Finance, collect inputs, calculate, validate, maker-checker review and Finance approval, load to Oracle, verify, communicate, archive. It is also the control record: a cycle without this completed checklist did not happen properly.</w:t>
      </w:r>
    </w:p>
    <w:p>
      <w:pPr>
        <w:numPr>
          <w:ilvl w:val="0"/>
          <w:numId w:val="1001"/>
        </w:numPr>
        <w:pStyle w:val="Compact"/>
      </w:pPr>
      <w:r>
        <w:rPr>
          <w:bCs/>
          <w:b/>
        </w:rPr>
        <w:t xml:space="preserve">Who uses it:</w:t>
      </w:r>
      <w:r>
        <w:t xml:space="preserve"> </w:t>
      </w:r>
      <w:r>
        <w:t xml:space="preserve">Hire B (Standard Cost) as maker. The Manager as checker (the Senior checks duty-rate and classification questions). [COMPANY: Finance cost accounting contact] plans the calendar and approves before any Oracle load. Hire A (Research) supplies tariff actions through checked Tariff-Impact Briefs.</w:t>
      </w:r>
    </w:p>
    <w:p>
      <w:pPr>
        <w:numPr>
          <w:ilvl w:val="0"/>
          <w:numId w:val="1001"/>
        </w:numPr>
        <w:pStyle w:val="Compact"/>
      </w:pPr>
      <w:r>
        <w:rPr>
          <w:bCs/>
          <w:b/>
        </w:rPr>
        <w:t xml:space="preserve">When:</w:t>
      </w:r>
      <w:r>
        <w:t xml:space="preserve"> </w:t>
      </w:r>
      <w:r>
        <w:t xml:space="preserve">every cost cycle ([COMPANY: cycle frequency]) and every interim tariff-driven update. Training use: walkthrough in W5, dry run on a copy for B60-2 (W8 to W9), and one cycle as maker for B90-1, using one of the options in</w:t>
      </w:r>
      <w:r>
        <w:t xml:space="preserve"> </w:t>
      </w:r>
      <w:r>
        <w:rPr>
          <w:rStyle w:val="VerbatimChar"/>
        </w:rPr>
        <w:t xml:space="preserve">docs/01-30-60-90-plan.md</w:t>
      </w:r>
      <w:r>
        <w:t xml:space="preserve">: a live cycle, a full parallel run or an interim update. A live cycle counts only if T falls between Mon 1/4 and Wed 1/13 (W12 or W13), so its Phase 1 starts in W5 to W7 ("B90-1 with a live cycle", below the cycle calendar): the Manager checks the [COMPANY: cost calendar] by the W4 1:1 (Fri 11/13). If no live cycle counts, the parallel run or interim update uses the compressed calendar below: pick the option provisionally in the W8 1:1 (Fri 12/11) so Finance can book holiday-week time, and confirm it at the day-60 review (Fri 12/18), as the plan says. Module M5C. Hire B: the cost data is the part to push hardest; the business context is a refresher for you.</w:t>
      </w:r>
    </w:p>
    <w:bookmarkStart w:id="21" w:name="how-to-use-this-checklist"/>
    <w:p>
      <w:pPr>
        <w:pStyle w:val="Heading2"/>
      </w:pPr>
      <w:r>
        <w:t xml:space="preserve">How to use this checklist</w:t>
      </w:r>
    </w:p>
    <w:p>
      <w:pPr>
        <w:numPr>
          <w:ilvl w:val="0"/>
          <w:numId w:val="1002"/>
        </w:numPr>
        <w:pStyle w:val="Compact"/>
      </w:pPr>
      <w:r>
        <w:t xml:space="preserve">Copy this page for each cycle into [COMPANY: cost cycle folder] and name it</w:t>
      </w:r>
      <w:r>
        <w:t xml:space="preserve"> </w:t>
      </w:r>
      <w:r>
        <w:rPr>
          <w:rStyle w:val="VerbatimChar"/>
        </w:rPr>
        <w:t xml:space="preserve">SCU_[cycle ID]_checklist</w:t>
      </w:r>
      <w:r>
        <w:t xml:space="preserve">. Create one Jira epic per cycle.</w:t>
      </w:r>
    </w:p>
    <w:p>
      <w:pPr>
        <w:numPr>
          <w:ilvl w:val="0"/>
          <w:numId w:val="1002"/>
        </w:numPr>
        <w:pStyle w:val="Compact"/>
      </w:pPr>
      <w:r>
        <w:rPr>
          <w:bCs/>
          <w:b/>
        </w:rPr>
        <w:t xml:space="preserve">T</w:t>
      </w:r>
      <w:r>
        <w:t xml:space="preserve"> </w:t>
      </w:r>
      <w:r>
        <w:t xml:space="preserve">is the Oracle cost update date: the day the new standards take effect. Timings are in working days relative to T (T-10 = 10 working days before).</w:t>
      </w:r>
    </w:p>
    <w:p>
      <w:pPr>
        <w:numPr>
          <w:ilvl w:val="0"/>
          <w:numId w:val="1002"/>
        </w:numPr>
        <w:pStyle w:val="Compact"/>
      </w:pPr>
      <w:r>
        <w:t xml:space="preserve">Tick each item when done and add the evidence link next to it. An item without evidence is not done.</w:t>
      </w:r>
    </w:p>
    <w:p>
      <w:pPr>
        <w:numPr>
          <w:ilvl w:val="0"/>
          <w:numId w:val="1002"/>
        </w:numPr>
        <w:pStyle w:val="Compact"/>
      </w:pPr>
      <w:r>
        <w:t xml:space="preserve">The maker never approves their own work. The checker and Finance sign before anything loads to Oracle production. This continues after day 90.</w:t>
      </w:r>
    </w:p>
    <w:p>
      <w:pPr>
        <w:numPr>
          <w:ilvl w:val="0"/>
          <w:numId w:val="1002"/>
        </w:numPr>
        <w:pStyle w:val="Compact"/>
      </w:pPr>
      <w:r>
        <w:t xml:space="preserve">Do not run a live cycle in W6, W10 or W11 without named trainer and Finance coverage (</w:t>
      </w:r>
      <w:r>
        <w:rPr>
          <w:rStyle w:val="VerbatimChar"/>
        </w:rPr>
        <w:t xml:space="preserve">docs/01-30-60-90-plan.md</w:t>
      </w:r>
      <w:r>
        <w:t xml:space="preserve">, risk register).</w:t>
      </w:r>
    </w:p>
    <w:bookmarkStart w:id="20" w:name="company-settings-fill-once-review-yearly"/>
    <w:p>
      <w:pPr>
        <w:pStyle w:val="Heading3"/>
      </w:pPr>
      <w:r>
        <w:t xml:space="preserve">Company settings (fill once, review yearly)</w:t>
      </w:r>
    </w:p>
    <w:tbl>
      <w:tblPr>
        <w:tblStyle w:val="Table"/>
        <w:tblW w:type="dxa" w:w="9360"/>
        <w:tblLook w:firstRow="1" w:lastRow="0" w:firstColumn="0" w:lastColumn="0" w:noHBand="0" w:noVBand="0" w:val="0020"/>
        <w:jc w:val="start"/>
        <w:tblLayout w:type="fixed"/>
      </w:tblPr>
      <w:tblGrid>
        <w:gridCol w:w="2984"/>
        <w:gridCol w:w="6375"/>
      </w:tblGrid>
      <w:tr>
        <w:trPr>
          <w:tblHeader w:val="true"/>
        </w:trPr>
        <w:tc>
          <w:tcPr>
            <w:tcW w:w="2984" w:type="dxa"/>
          </w:tcPr>
          <w:p>
            <w:pPr>
              <w:pStyle w:val="Compact"/>
              <w:jc w:val="left"/>
            </w:pPr>
            <w:r>
              <w:t xml:space="preserve">Setting</w:t>
            </w:r>
          </w:p>
        </w:tc>
        <w:tc>
          <w:tcPr>
            <w:tcW w:w="6375" w:type="dxa"/>
          </w:tcPr>
          <w:p>
            <w:pPr>
              <w:pStyle w:val="Compact"/>
              <w:jc w:val="left"/>
            </w:pPr>
            <w:r>
              <w:t xml:space="preserve">Value</w:t>
            </w:r>
          </w:p>
        </w:tc>
      </w:tr>
      <w:tr>
        <w:tc>
          <w:tcPr>
            <w:tcW w:w="2984" w:type="dxa"/>
          </w:tcPr>
          <w:p>
            <w:pPr>
              <w:pStyle w:val="Compact"/>
              <w:jc w:val="left"/>
            </w:pPr>
            <w:r>
              <w:t xml:space="preserve">Cycle frequency and next cycle dates</w:t>
            </w:r>
          </w:p>
        </w:tc>
        <w:tc>
          <w:tcPr>
            <w:tcW w:w="6375" w:type="dxa"/>
          </w:tcPr>
          <w:p>
            <w:pPr>
              <w:pStyle w:val="Compact"/>
              <w:jc w:val="left"/>
            </w:pPr>
            <w:r>
              <w:t xml:space="preserve">[COMPANY: for example annual full update plus interim duty updates]</w:t>
            </w:r>
          </w:p>
        </w:tc>
      </w:tr>
      <w:tr>
        <w:tc>
          <w:tcPr>
            <w:tcW w:w="2984" w:type="dxa"/>
          </w:tcPr>
          <w:p>
            <w:pPr>
              <w:pStyle w:val="Compact"/>
              <w:jc w:val="left"/>
            </w:pPr>
            <w:r>
              <w:t xml:space="preserve">Oracle product</w:t>
            </w:r>
          </w:p>
        </w:tc>
        <w:tc>
          <w:tcPr>
            <w:tcW w:w="6375" w:type="dxa"/>
          </w:tcPr>
          <w:p>
            <w:pPr>
              <w:pStyle w:val="Compact"/>
              <w:jc w:val="left"/>
            </w:pPr>
            <w:r>
              <w:t xml:space="preserve">Oracle EBS</w:t>
            </w:r>
          </w:p>
        </w:tc>
      </w:tr>
      <w:tr>
        <w:tc>
          <w:tcPr>
            <w:tcW w:w="2984" w:type="dxa"/>
          </w:tcPr>
          <w:p>
            <w:pPr>
              <w:pStyle w:val="Compact"/>
              <w:jc w:val="left"/>
            </w:pPr>
            <w:r>
              <w:t xml:space="preserve">Where pending costs are held before the update</w:t>
            </w:r>
          </w:p>
        </w:tc>
        <w:tc>
          <w:tcPr>
            <w:tcW w:w="6375" w:type="dxa"/>
          </w:tcPr>
          <w:p>
            <w:pPr>
              <w:pStyle w:val="Compact"/>
              <w:jc w:val="left"/>
            </w:pPr>
            <w:r>
              <w:t xml:space="preserve">[COMPANY: EBS pending cost type name, or Fusion cost scenario naming rule]</w:t>
            </w:r>
          </w:p>
        </w:tc>
      </w:tr>
      <w:tr>
        <w:tc>
          <w:tcPr>
            <w:tcW w:w="2984" w:type="dxa"/>
          </w:tcPr>
          <w:p>
            <w:pPr>
              <w:pStyle w:val="Compact"/>
              <w:jc w:val="left"/>
            </w:pPr>
            <w:r>
              <w:t xml:space="preserve">Cost elements and sub-elements for landed cost</w:t>
            </w:r>
          </w:p>
        </w:tc>
        <w:tc>
          <w:tcPr>
            <w:tcW w:w="6375" w:type="dxa"/>
          </w:tcPr>
          <w:p>
            <w:pPr>
              <w:pStyle w:val="Compact"/>
              <w:jc w:val="left"/>
            </w:pPr>
            <w:r>
              <w:t xml:space="preserve">[COMPANY: for example material plus material overhead sub-elements for freight, duty, brokerage]</w:t>
            </w:r>
          </w:p>
        </w:tc>
      </w:tr>
      <w:tr>
        <w:tc>
          <w:tcPr>
            <w:tcW w:w="2984" w:type="dxa"/>
          </w:tcPr>
          <w:p>
            <w:pPr>
              <w:pStyle w:val="Compact"/>
              <w:jc w:val="left"/>
            </w:pPr>
            <w:r>
              <w:t xml:space="preserve">Basis of each landed-cost sub-element</w:t>
            </w:r>
          </w:p>
        </w:tc>
        <w:tc>
          <w:tcPr>
            <w:tcW w:w="6375" w:type="dxa"/>
          </w:tcPr>
          <w:p>
            <w:pPr>
              <w:pStyle w:val="Compact"/>
              <w:jc w:val="left"/>
            </w:pPr>
            <w:r>
              <w:t xml:space="preserve">[COMPANY: per unit amount, or % of material value (EBS basis type Item, Lot or Total Value; Fusion equivalent)]. If duty is held as a % of material value, record how the rate is converted from the customs value: Oracle applies it to the material cost, not to the duty base</w:t>
            </w:r>
          </w:p>
        </w:tc>
      </w:tr>
      <w:tr>
        <w:tc>
          <w:tcPr>
            <w:tcW w:w="2984" w:type="dxa"/>
          </w:tcPr>
          <w:p>
            <w:pPr>
              <w:pStyle w:val="Compact"/>
              <w:jc w:val="left"/>
            </w:pPr>
            <w:r>
              <w:t xml:space="preserve">How duty reaches item cost and variance</w:t>
            </w:r>
          </w:p>
        </w:tc>
        <w:tc>
          <w:tcPr>
            <w:tcW w:w="6375" w:type="dxa"/>
          </w:tcPr>
          <w:p>
            <w:pPr>
              <w:pStyle w:val="Compact"/>
              <w:jc w:val="left"/>
            </w:pPr>
            <w:r>
              <w:t xml:space="preserve">[COMPANY: on the receipt through Oracle Landed Cost Management estimated charges, so duty differences show in PPV; or absorbed as a material overhead sub-element at standard, with actual duty from broker invoices posted to [COMPANY: duty account], so differences show as absorption versus actual]</w:t>
            </w:r>
          </w:p>
        </w:tc>
      </w:tr>
      <w:tr>
        <w:tc>
          <w:tcPr>
            <w:tcW w:w="2984" w:type="dxa"/>
          </w:tcPr>
          <w:p>
            <w:pPr>
              <w:pStyle w:val="Compact"/>
              <w:jc w:val="left"/>
            </w:pPr>
            <w:r>
              <w:t xml:space="preserve">Load method</w:t>
            </w:r>
          </w:p>
        </w:tc>
        <w:tc>
          <w:tcPr>
            <w:tcW w:w="6375" w:type="dxa"/>
          </w:tcPr>
          <w:p>
            <w:pPr>
              <w:pStyle w:val="Compact"/>
              <w:jc w:val="left"/>
            </w:pPr>
            <w:r>
              <w:t xml:space="preserve">[COMPANY: cost interface, file-based import, Web ADI, custom tool]</w:t>
            </w:r>
          </w:p>
        </w:tc>
      </w:tr>
      <w:tr>
        <w:tc>
          <w:tcPr>
            <w:tcW w:w="2984" w:type="dxa"/>
          </w:tcPr>
          <w:p>
            <w:pPr>
              <w:pStyle w:val="Compact"/>
              <w:jc w:val="left"/>
            </w:pPr>
            <w:r>
              <w:t xml:space="preserve">Who loads, who runs the update</w:t>
            </w:r>
          </w:p>
        </w:tc>
        <w:tc>
          <w:tcPr>
            <w:tcW w:w="6375" w:type="dxa"/>
          </w:tcPr>
          <w:p>
            <w:pPr>
              <w:pStyle w:val="Compact"/>
              <w:jc w:val="left"/>
            </w:pPr>
            <w:r>
              <w:t xml:space="preserve">[COMPANY: roles; segregation of duties confirmed with Finance]</w:t>
            </w:r>
          </w:p>
        </w:tc>
      </w:tr>
      <w:tr>
        <w:tc>
          <w:tcPr>
            <w:tcW w:w="2984" w:type="dxa"/>
          </w:tcPr>
          <w:p>
            <w:pPr>
              <w:pStyle w:val="Compact"/>
              <w:jc w:val="left"/>
            </w:pPr>
            <w:r>
              <w:t xml:space="preserve">Variance review thresholds</w:t>
            </w:r>
          </w:p>
        </w:tc>
        <w:tc>
          <w:tcPr>
            <w:tcW w:w="6375" w:type="dxa"/>
          </w:tcPr>
          <w:p>
            <w:pPr>
              <w:pStyle w:val="Compact"/>
              <w:jc w:val="left"/>
            </w:pPr>
            <w:r>
              <w:t xml:space="preserve">[COMPANY: % change per unit] and [COMPANY: $ annual impact per item]</w:t>
            </w:r>
          </w:p>
        </w:tc>
      </w:tr>
      <w:tr>
        <w:tc>
          <w:tcPr>
            <w:tcW w:w="2984" w:type="dxa"/>
          </w:tcPr>
          <w:p>
            <w:pPr>
              <w:pStyle w:val="Compact"/>
              <w:jc w:val="left"/>
            </w:pPr>
            <w:r>
              <w:t xml:space="preserve">Materiality threshold</w:t>
            </w:r>
          </w:p>
        </w:tc>
        <w:tc>
          <w:tcPr>
            <w:tcW w:w="6375" w:type="dxa"/>
          </w:tcPr>
          <w:p>
            <w:pPr>
              <w:pStyle w:val="Compact"/>
              <w:jc w:val="left"/>
            </w:pPr>
            <w:r>
              <w:t xml:space="preserve">[COMPANY: materiality threshold] (same value as in</w:t>
            </w:r>
            <w:r>
              <w:t xml:space="preserve"> </w:t>
            </w:r>
            <w:r>
              <w:rPr>
                <w:rStyle w:val="VerbatimChar"/>
              </w:rPr>
              <w:t xml:space="preserve">docs/01-30-60-90-plan.md</w:t>
            </w:r>
            <w:r>
              <w:t xml:space="preserve">)</w:t>
            </w:r>
          </w:p>
        </w:tc>
      </w:tr>
      <w:tr>
        <w:tc>
          <w:tcPr>
            <w:tcW w:w="2984" w:type="dxa"/>
          </w:tcPr>
          <w:p>
            <w:pPr>
              <w:pStyle w:val="Compact"/>
              <w:jc w:val="left"/>
            </w:pPr>
            <w:r>
              <w:t xml:space="preserve">FX rate for costing</w:t>
            </w:r>
          </w:p>
        </w:tc>
        <w:tc>
          <w:tcPr>
            <w:tcW w:w="6375" w:type="dxa"/>
          </w:tcPr>
          <w:p>
            <w:pPr>
              <w:pStyle w:val="Compact"/>
              <w:jc w:val="left"/>
            </w:pPr>
            <w:r>
              <w:t xml:space="preserve">[COMPANY: Finance costing rate source and date rule]</w:t>
            </w:r>
          </w:p>
        </w:tc>
      </w:tr>
      <w:tr>
        <w:tc>
          <w:tcPr>
            <w:tcW w:w="2984" w:type="dxa"/>
          </w:tcPr>
          <w:p>
            <w:pPr>
              <w:pStyle w:val="Compact"/>
              <w:jc w:val="left"/>
            </w:pPr>
            <w:r>
              <w:t xml:space="preserve">Tariff action policy</w:t>
            </w:r>
          </w:p>
        </w:tc>
        <w:tc>
          <w:tcPr>
            <w:tcW w:w="6375" w:type="dxa"/>
          </w:tcPr>
          <w:p>
            <w:pPr>
              <w:pStyle w:val="Compact"/>
              <w:jc w:val="left"/>
            </w:pPr>
            <w:r>
              <w:t xml:space="preserve">[COMPANY: which actions go into the standard: effective on or before the cost-effective date only, or also announced actions]</w:t>
            </w:r>
          </w:p>
        </w:tc>
      </w:tr>
      <w:tr>
        <w:tc>
          <w:tcPr>
            <w:tcW w:w="2984" w:type="dxa"/>
          </w:tcPr>
          <w:p>
            <w:pPr>
              <w:pStyle w:val="Compact"/>
              <w:jc w:val="left"/>
            </w:pPr>
            <w:r>
              <w:t xml:space="preserve">Finance approver</w:t>
            </w:r>
          </w:p>
        </w:tc>
        <w:tc>
          <w:tcPr>
            <w:tcW w:w="6375" w:type="dxa"/>
          </w:tcPr>
          <w:p>
            <w:pPr>
              <w:pStyle w:val="Compact"/>
              <w:jc w:val="left"/>
            </w:pPr>
            <w:r>
              <w:t xml:space="preserve">[COMPANY: role]</w:t>
            </w:r>
          </w:p>
        </w:tc>
      </w:tr>
      <w:tr>
        <w:tc>
          <w:tcPr>
            <w:tcW w:w="2984" w:type="dxa"/>
          </w:tcPr>
          <w:p>
            <w:pPr>
              <w:pStyle w:val="Compact"/>
              <w:jc w:val="left"/>
            </w:pPr>
            <w:r>
              <w:t xml:space="preserve">Evidence archive and retention</w:t>
            </w:r>
          </w:p>
        </w:tc>
        <w:tc>
          <w:tcPr>
            <w:tcW w:w="6375" w:type="dxa"/>
          </w:tcPr>
          <w:p>
            <w:pPr>
              <w:pStyle w:val="Compact"/>
              <w:jc w:val="left"/>
            </w:pPr>
            <w:r>
              <w:t xml:space="preserve">[COMPANY: folder] and [COMPANY: retention period]</w:t>
            </w:r>
          </w:p>
        </w:tc>
      </w:tr>
    </w:tbl>
    <w:bookmarkEnd w:id="20"/>
    <w:bookmarkEnd w:id="21"/>
    <w:bookmarkStart w:id="22" w:name="landed-cost-components"/>
    <w:p>
      <w:pPr>
        <w:pStyle w:val="Heading2"/>
      </w:pPr>
      <w:r>
        <w:t xml:space="preserve">Landed-cost components</w:t>
      </w:r>
    </w:p>
    <w:tbl>
      <w:tblPr>
        <w:tblStyle w:val="Table"/>
        <w:tblW w:type="dxa" w:w="9360"/>
        <w:tblLook w:firstRow="1" w:lastRow="0" w:firstColumn="0" w:lastColumn="0" w:noHBand="0" w:noVBand="0" w:val="0020"/>
        <w:jc w:val="start"/>
        <w:tblLayout w:type="fixed"/>
      </w:tblPr>
      <w:tblGrid>
        <w:gridCol w:w="1725"/>
        <w:gridCol w:w="2343"/>
        <w:gridCol w:w="1681"/>
        <w:gridCol w:w="3609"/>
      </w:tblGrid>
      <w:tr>
        <w:trPr>
          <w:tblHeader w:val="true"/>
        </w:trPr>
        <w:tc>
          <w:tcPr>
            <w:tcW w:w="1725" w:type="dxa"/>
          </w:tcPr>
          <w:p>
            <w:pPr>
              <w:pStyle w:val="Compact"/>
              <w:jc w:val="left"/>
            </w:pPr>
            <w:r>
              <w:t xml:space="preserve">Component</w:t>
            </w:r>
          </w:p>
        </w:tc>
        <w:tc>
          <w:tcPr>
            <w:tcW w:w="2343" w:type="dxa"/>
          </w:tcPr>
          <w:p>
            <w:pPr>
              <w:pStyle w:val="Compact"/>
              <w:jc w:val="left"/>
            </w:pPr>
            <w:r>
              <w:t xml:space="preserve">Typical source</w:t>
            </w:r>
          </w:p>
        </w:tc>
        <w:tc>
          <w:tcPr>
            <w:tcW w:w="1681" w:type="dxa"/>
          </w:tcPr>
          <w:p>
            <w:pPr>
              <w:pStyle w:val="Compact"/>
              <w:jc w:val="left"/>
            </w:pPr>
            <w:r>
              <w:t xml:space="preserve">Per-unit basis</w:t>
            </w:r>
          </w:p>
        </w:tc>
        <w:tc>
          <w:tcPr>
            <w:tcW w:w="3609" w:type="dxa"/>
          </w:tcPr>
          <w:p>
            <w:pPr>
              <w:pStyle w:val="Compact"/>
              <w:jc w:val="left"/>
            </w:pPr>
            <w:r>
              <w:t xml:space="preserve">Watch-outs</w:t>
            </w:r>
          </w:p>
        </w:tc>
      </w:tr>
      <w:tr>
        <w:tc>
          <w:tcPr>
            <w:tcW w:w="1725" w:type="dxa"/>
          </w:tcPr>
          <w:p>
            <w:pPr>
              <w:pStyle w:val="Compact"/>
              <w:jc w:val="left"/>
            </w:pPr>
            <w:r>
              <w:t xml:space="preserve">Purchase price</w:t>
            </w:r>
          </w:p>
        </w:tc>
        <w:tc>
          <w:tcPr>
            <w:tcW w:w="2343" w:type="dxa"/>
          </w:tcPr>
          <w:p>
            <w:pPr>
              <w:pStyle w:val="Compact"/>
              <w:jc w:val="left"/>
            </w:pPr>
            <w:r>
              <w:t xml:space="preserve">Oracle PO or contract price</w:t>
            </w:r>
          </w:p>
        </w:tc>
        <w:tc>
          <w:tcPr>
            <w:tcW w:w="1681" w:type="dxa"/>
          </w:tcPr>
          <w:p>
            <w:pPr>
              <w:pStyle w:val="Compact"/>
              <w:jc w:val="left"/>
            </w:pPr>
            <w:r>
              <w:t xml:space="preserve">Price per Oracle primary unit of measure</w:t>
            </w:r>
          </w:p>
        </w:tc>
        <w:tc>
          <w:tcPr>
            <w:tcW w:w="3609" w:type="dxa"/>
          </w:tcPr>
          <w:p>
            <w:pPr>
              <w:pStyle w:val="Compact"/>
              <w:jc w:val="left"/>
            </w:pPr>
            <w:r>
              <w:t xml:space="preserve">Currency and FX date; price unit vs stocking unit</w:t>
            </w:r>
          </w:p>
        </w:tc>
      </w:tr>
      <w:tr>
        <w:tc>
          <w:tcPr>
            <w:tcW w:w="1725" w:type="dxa"/>
          </w:tcPr>
          <w:p>
            <w:pPr>
              <w:pStyle w:val="Compact"/>
              <w:jc w:val="left"/>
            </w:pPr>
            <w:r>
              <w:t xml:space="preserve">International freight and insurance</w:t>
            </w:r>
          </w:p>
        </w:tc>
        <w:tc>
          <w:tcPr>
            <w:tcW w:w="2343" w:type="dxa"/>
          </w:tcPr>
          <w:p>
            <w:pPr>
              <w:pStyle w:val="Compact"/>
              <w:jc w:val="left"/>
            </w:pPr>
            <w:r>
              <w:t xml:space="preserve">[COMPANY: freight rate file or contracts]</w:t>
            </w:r>
          </w:p>
        </w:tc>
        <w:tc>
          <w:tcPr>
            <w:tcW w:w="1681" w:type="dxa"/>
          </w:tcPr>
          <w:p>
            <w:pPr>
              <w:pStyle w:val="Compact"/>
              <w:jc w:val="left"/>
            </w:pPr>
            <w:r>
              <w:t xml:space="preserve">Allocated by weight, volume or value ([COMPANY: rule])</w:t>
            </w:r>
          </w:p>
        </w:tc>
        <w:tc>
          <w:tcPr>
            <w:tcW w:w="3609" w:type="dxa"/>
          </w:tcPr>
          <w:p>
            <w:pPr>
              <w:pStyle w:val="Compact"/>
              <w:jc w:val="left"/>
            </w:pPr>
            <w:r>
              <w:t xml:space="preserve">Allocation basis drives the result; keep it the same between cycles unless agreed</w:t>
            </w:r>
          </w:p>
        </w:tc>
      </w:tr>
      <w:tr>
        <w:tc>
          <w:tcPr>
            <w:tcW w:w="1725" w:type="dxa"/>
          </w:tcPr>
          <w:p>
            <w:pPr>
              <w:pStyle w:val="Compact"/>
              <w:jc w:val="left"/>
            </w:pPr>
            <w:r>
              <w:t xml:space="preserve">Duty (base rate)</w:t>
            </w:r>
          </w:p>
        </w:tc>
        <w:tc>
          <w:tcPr>
            <w:tcW w:w="2343" w:type="dxa"/>
          </w:tcPr>
          <w:p>
            <w:pPr>
              <w:pStyle w:val="Compact"/>
              <w:jc w:val="left"/>
            </w:pPr>
            <w:r>
              <w:t xml:space="preserve">Rate by HTS, import country and origin from [COMPANY: duty rate table or tool]</w:t>
            </w:r>
          </w:p>
        </w:tc>
        <w:tc>
          <w:tcPr>
            <w:tcW w:w="1681" w:type="dxa"/>
          </w:tcPr>
          <w:p>
            <w:pPr>
              <w:pStyle w:val="Compact"/>
              <w:jc w:val="left"/>
            </w:pPr>
            <w:r>
              <w:t xml:space="preserve">Duty base x rate</w:t>
            </w:r>
          </w:p>
        </w:tc>
        <w:tc>
          <w:tcPr>
            <w:tcW w:w="3609" w:type="dxa"/>
          </w:tcPr>
          <w:p>
            <w:pPr>
              <w:pStyle w:val="Compact"/>
              <w:jc w:val="left"/>
            </w:pPr>
            <w:r>
              <w:t xml:space="preserve">US duty base is the customs value, which excludes international freight and insurance when identified separately. Mexico's valor en aduana includes freight and insurance to the point of entry. Canada uses value for duty. See</w:t>
            </w:r>
            <w:r>
              <w:t xml:space="preserve"> </w:t>
            </w:r>
            <w:r>
              <w:rPr>
                <w:rStyle w:val="VerbatimChar"/>
              </w:rPr>
              <w:t xml:space="preserve">docs/primers/customs-trade-compliance-primer.md</w:t>
            </w:r>
          </w:p>
        </w:tc>
      </w:tr>
      <w:tr>
        <w:tc>
          <w:tcPr>
            <w:tcW w:w="1725" w:type="dxa"/>
          </w:tcPr>
          <w:p>
            <w:pPr>
              <w:pStyle w:val="Compact"/>
              <w:jc w:val="left"/>
            </w:pPr>
            <w:r>
              <w:t xml:space="preserve">Additional duties and surtaxes</w:t>
            </w:r>
          </w:p>
        </w:tc>
        <w:tc>
          <w:tcPr>
            <w:tcW w:w="2343" w:type="dxa"/>
          </w:tcPr>
          <w:p>
            <w:pPr>
              <w:pStyle w:val="Compact"/>
              <w:jc w:val="left"/>
            </w:pPr>
            <w:r>
              <w:t xml:space="preserve">Checked Tariff-Impact Briefs (</w:t>
            </w:r>
            <w:r>
              <w:rPr>
                <w:rStyle w:val="VerbatimChar"/>
              </w:rPr>
              <w:t xml:space="preserve">docs/templates/domain/tariff-impact-brief.md</w:t>
            </w:r>
            <w:r>
              <w:t xml:space="preserve">)</w:t>
            </w:r>
          </w:p>
        </w:tc>
        <w:tc>
          <w:tcPr>
            <w:tcW w:w="1681" w:type="dxa"/>
          </w:tcPr>
          <w:p>
            <w:pPr>
              <w:pStyle w:val="Compact"/>
              <w:jc w:val="left"/>
            </w:pPr>
            <w:r>
              <w:t xml:space="preserve">Duty base x additional rate, stacked as the brief says</w:t>
            </w:r>
          </w:p>
        </w:tc>
        <w:tc>
          <w:tcPr>
            <w:tcW w:w="3609" w:type="dxa"/>
          </w:tcPr>
          <w:p>
            <w:pPr>
              <w:pStyle w:val="Compact"/>
              <w:jc w:val="left"/>
            </w:pPr>
            <w:r>
              <w:t xml:space="preserve">Only checked brief versions; effective dates vs the cost-effective date. Include any duty the action switches off (brief 6.6) and any partial duty base, such as metal or non-US content (brief Part 7)</w:t>
            </w:r>
          </w:p>
        </w:tc>
      </w:tr>
      <w:tr>
        <w:tc>
          <w:tcPr>
            <w:tcW w:w="1725" w:type="dxa"/>
          </w:tcPr>
          <w:p>
            <w:pPr>
              <w:pStyle w:val="Compact"/>
              <w:jc w:val="left"/>
            </w:pPr>
            <w:r>
              <w:t xml:space="preserve">Preference (USMCA)</w:t>
            </w:r>
          </w:p>
        </w:tc>
        <w:tc>
          <w:tcPr>
            <w:tcW w:w="2343" w:type="dxa"/>
          </w:tcPr>
          <w:p>
            <w:pPr>
              <w:pStyle w:val="Compact"/>
              <w:jc w:val="left"/>
            </w:pPr>
            <w:r>
              <w:t xml:space="preserve">Classification master plus certification on file</w:t>
            </w:r>
          </w:p>
        </w:tc>
        <w:tc>
          <w:tcPr>
            <w:tcW w:w="1681" w:type="dxa"/>
          </w:tcPr>
          <w:p>
            <w:pPr>
              <w:pStyle w:val="Compact"/>
              <w:jc w:val="left"/>
            </w:pPr>
            <w:r>
              <w:t xml:space="preserve">Preferential rate only where the claim is supported</w:t>
            </w:r>
          </w:p>
        </w:tc>
        <w:tc>
          <w:tcPr>
            <w:tcW w:w="3609" w:type="dxa"/>
          </w:tcPr>
          <w:p>
            <w:pPr>
              <w:pStyle w:val="Compact"/>
              <w:jc w:val="left"/>
            </w:pPr>
            <w:r>
              <w:t xml:space="preserve">A "qualifying" flag without a current certification is a data error</w:t>
            </w:r>
          </w:p>
        </w:tc>
      </w:tr>
      <w:tr>
        <w:tc>
          <w:tcPr>
            <w:tcW w:w="1725" w:type="dxa"/>
          </w:tcPr>
          <w:p>
            <w:pPr>
              <w:pStyle w:val="Compact"/>
              <w:jc w:val="left"/>
            </w:pPr>
            <w:r>
              <w:t xml:space="preserve">Customs fees</w:t>
            </w:r>
          </w:p>
        </w:tc>
        <w:tc>
          <w:tcPr>
            <w:tcW w:w="2343" w:type="dxa"/>
          </w:tcPr>
          <w:p>
            <w:pPr>
              <w:pStyle w:val="Compact"/>
              <w:jc w:val="left"/>
            </w:pPr>
            <w:r>
              <w:t xml:space="preserve">US: MPF on formal entries (ad valorem with a per-entry minimum and maximum); HMF on ocean shipments. Other countries: [COMPANY: fees in use]</w:t>
            </w:r>
          </w:p>
        </w:tc>
        <w:tc>
          <w:tcPr>
            <w:tcW w:w="1681" w:type="dxa"/>
          </w:tcPr>
          <w:p>
            <w:pPr>
              <w:pStyle w:val="Compact"/>
              <w:jc w:val="left"/>
            </w:pPr>
            <w:r>
              <w:t xml:space="preserve">Allocated per unit using average entry size ([COMPANY: rule])</w:t>
            </w:r>
          </w:p>
        </w:tc>
        <w:tc>
          <w:tcPr>
            <w:tcW w:w="3609" w:type="dxa"/>
          </w:tcPr>
          <w:p>
            <w:pPr>
              <w:pStyle w:val="Compact"/>
              <w:jc w:val="left"/>
            </w:pPr>
            <w:r>
              <w:t xml:space="preserve">Amounts change (the MPF minimum and maximum are adjusted each US fiscal year): use</w:t>
            </w:r>
            <w:r>
              <w:t xml:space="preserve"> </w:t>
            </w:r>
            <w:r>
              <w:rPr>
                <w:rStyle w:val="VerbatimChar"/>
              </w:rPr>
              <w:t xml:space="preserve">docs/primers/current-tariff-landscape.md</w:t>
            </w:r>
            <w:r>
              <w:t xml:space="preserve"> </w:t>
            </w:r>
            <w:r>
              <w:t xml:space="preserve">and record the date. No MPF on USMCA-originating goods of Canada or Mexico when the preference is properly claimed on the entry (19 CFR 24.23(c)); on a mixed entry it applies to the non-originating goods only. Tie this to the same certification check as the Preference row</w:t>
            </w:r>
          </w:p>
        </w:tc>
      </w:tr>
      <w:tr>
        <w:tc>
          <w:tcPr>
            <w:tcW w:w="1725" w:type="dxa"/>
          </w:tcPr>
          <w:p>
            <w:pPr>
              <w:pStyle w:val="Compact"/>
              <w:jc w:val="left"/>
            </w:pPr>
            <w:r>
              <w:t xml:space="preserve">Brokerage</w:t>
            </w:r>
          </w:p>
        </w:tc>
        <w:tc>
          <w:tcPr>
            <w:tcW w:w="2343" w:type="dxa"/>
          </w:tcPr>
          <w:p>
            <w:pPr>
              <w:pStyle w:val="Compact"/>
              <w:jc w:val="left"/>
            </w:pPr>
            <w:r>
              <w:t xml:space="preserve">Broker invoices ([COMPANY: source])</w:t>
            </w:r>
          </w:p>
        </w:tc>
        <w:tc>
          <w:tcPr>
            <w:tcW w:w="1681" w:type="dxa"/>
          </w:tcPr>
          <w:p>
            <w:pPr>
              <w:pStyle w:val="Compact"/>
              <w:jc w:val="left"/>
            </w:pPr>
            <w:r>
              <w:t xml:space="preserve">Fee per entry divided by average units per entry</w:t>
            </w:r>
          </w:p>
        </w:tc>
        <w:tc>
          <w:tcPr>
            <w:tcW w:w="3609" w:type="dxa"/>
          </w:tcPr>
          <w:p>
            <w:pPr>
              <w:pStyle w:val="Compact"/>
              <w:jc w:val="left"/>
            </w:pPr>
            <w:r>
              <w:t xml:space="preserve">Extra lines for new Chapter 99 numbers can change fees</w:t>
            </w:r>
          </w:p>
        </w:tc>
      </w:tr>
      <w:tr>
        <w:tc>
          <w:tcPr>
            <w:tcW w:w="1725" w:type="dxa"/>
          </w:tcPr>
          <w:p>
            <w:pPr>
              <w:pStyle w:val="Compact"/>
              <w:jc w:val="left"/>
            </w:pPr>
            <w:r>
              <w:t xml:space="preserve">Inland freight and other</w:t>
            </w:r>
          </w:p>
        </w:tc>
        <w:tc>
          <w:tcPr>
            <w:tcW w:w="2343" w:type="dxa"/>
          </w:tcPr>
          <w:p>
            <w:pPr>
              <w:pStyle w:val="Compact"/>
              <w:jc w:val="left"/>
            </w:pPr>
            <w:r>
              <w:t xml:space="preserve">[COMPANY: sources]</w:t>
            </w:r>
          </w:p>
        </w:tc>
        <w:tc>
          <w:tcPr>
            <w:tcW w:w="1681" w:type="dxa"/>
          </w:tcPr>
          <w:p>
            <w:pPr>
              <w:pStyle w:val="Compact"/>
              <w:jc w:val="left"/>
            </w:pPr>
            <w:r>
              <w:t xml:space="preserve">[COMPANY: rule]</w:t>
            </w:r>
          </w:p>
        </w:tc>
        <w:tc>
          <w:tcPr>
            <w:tcW w:w="3609" w:type="dxa"/>
          </w:tcPr>
          <w:p>
            <w:pPr>
              <w:pStyle w:val="Compact"/>
              <w:jc w:val="left"/>
            </w:pPr>
            <w:r>
              <w:t xml:space="preserve">[COMPANY: components in scope]</w:t>
            </w:r>
          </w:p>
        </w:tc>
      </w:tr>
      <w:tr>
        <w:tc>
          <w:tcPr>
            <w:tcW w:w="1725" w:type="dxa"/>
          </w:tcPr>
          <w:p>
            <w:pPr>
              <w:pStyle w:val="Compact"/>
              <w:jc w:val="left"/>
            </w:pPr>
            <w:r>
              <w:t xml:space="preserve">Recoverable taxes</w:t>
            </w:r>
          </w:p>
        </w:tc>
        <w:tc>
          <w:tcPr>
            <w:tcW w:w="2343" w:type="dxa"/>
          </w:tcPr>
          <w:p>
            <w:pPr>
              <w:pStyle w:val="Compact"/>
              <w:jc w:val="left"/>
            </w:pPr>
            <w:r>
              <w:t xml:space="preserve">Canada GST and Mexico IVA on imports</w:t>
            </w:r>
          </w:p>
        </w:tc>
        <w:tc>
          <w:tcPr>
            <w:tcW w:w="1681" w:type="dxa"/>
          </w:tcPr>
          <w:p>
            <w:pPr>
              <w:pStyle w:val="Compact"/>
              <w:jc w:val="left"/>
            </w:pPr>
            <w:r>
              <w:t xml:space="preserve">Normally not a cost when recoverable</w:t>
            </w:r>
          </w:p>
        </w:tc>
        <w:tc>
          <w:tcPr>
            <w:tcW w:w="3609" w:type="dxa"/>
          </w:tcPr>
          <w:p>
            <w:pPr>
              <w:pStyle w:val="Compact"/>
              <w:jc w:val="left"/>
            </w:pPr>
            <w:r>
              <w:t xml:space="preserve">Confirm treatment with Finance; never add them by default</w:t>
            </w:r>
          </w:p>
        </w:tc>
      </w:tr>
    </w:tbl>
    <w:bookmarkEnd w:id="22"/>
    <w:bookmarkStart w:id="24" w:name="cycle-calendar"/>
    <w:p>
      <w:pPr>
        <w:pStyle w:val="Heading2"/>
      </w:pPr>
      <w:r>
        <w:t xml:space="preserve">Cycle calendar</w:t>
      </w:r>
    </w:p>
    <w:tbl>
      <w:tblPr>
        <w:tblStyle w:val="Table"/>
        <w:tblW w:type="dxa" w:w="9360"/>
        <w:tblLook w:firstRow="1" w:lastRow="0" w:firstColumn="0" w:lastColumn="0" w:noHBand="0" w:noVBand="0" w:val="0020"/>
        <w:jc w:val="start"/>
        <w:tblLayout w:type="fixed"/>
      </w:tblPr>
      <w:tblGrid>
        <w:gridCol w:w="1745"/>
        <w:gridCol w:w="1557"/>
        <w:gridCol w:w="1953"/>
        <w:gridCol w:w="920"/>
        <w:gridCol w:w="3182"/>
      </w:tblGrid>
      <w:tr>
        <w:trPr>
          <w:tblHeader w:val="true"/>
        </w:trPr>
        <w:tc>
          <w:tcPr>
            <w:tcW w:w="1745" w:type="dxa"/>
          </w:tcPr>
          <w:p>
            <w:pPr>
              <w:pStyle w:val="Compact"/>
              <w:jc w:val="left"/>
            </w:pPr>
            <w:r>
              <w:t xml:space="preserve">Phase</w:t>
            </w:r>
          </w:p>
        </w:tc>
        <w:tc>
          <w:tcPr>
            <w:tcW w:w="1557" w:type="dxa"/>
          </w:tcPr>
          <w:p>
            <w:pPr>
              <w:pStyle w:val="Compact"/>
              <w:jc w:val="left"/>
            </w:pPr>
            <w:r>
              <w:t xml:space="preserve">Maker</w:t>
            </w:r>
          </w:p>
        </w:tc>
        <w:tc>
          <w:tcPr>
            <w:tcW w:w="1953" w:type="dxa"/>
          </w:tcPr>
          <w:p>
            <w:pPr>
              <w:pStyle w:val="Compact"/>
              <w:jc w:val="left"/>
            </w:pPr>
            <w:r>
              <w:t xml:space="preserve">Checker or approver</w:t>
            </w:r>
          </w:p>
        </w:tc>
        <w:tc>
          <w:tcPr>
            <w:tcW w:w="920" w:type="dxa"/>
          </w:tcPr>
          <w:p>
            <w:pPr>
              <w:pStyle w:val="Compact"/>
              <w:jc w:val="left"/>
            </w:pPr>
            <w:r>
              <w:t xml:space="preserve">Timing</w:t>
            </w:r>
          </w:p>
        </w:tc>
        <w:tc>
          <w:tcPr>
            <w:tcW w:w="3182" w:type="dxa"/>
          </w:tcPr>
          <w:p>
            <w:pPr>
              <w:pStyle w:val="Compact"/>
              <w:jc w:val="left"/>
            </w:pPr>
            <w:r>
              <w:t xml:space="preserve">Output</w:t>
            </w:r>
          </w:p>
        </w:tc>
      </w:tr>
      <w:tr>
        <w:tc>
          <w:tcPr>
            <w:tcW w:w="1745" w:type="dxa"/>
          </w:tcPr>
          <w:p>
            <w:pPr>
              <w:pStyle w:val="Compact"/>
              <w:jc w:val="left"/>
            </w:pPr>
            <w:r>
              <w:t xml:space="preserve">1 Plan with Finance</w:t>
            </w:r>
          </w:p>
        </w:tc>
        <w:tc>
          <w:tcPr>
            <w:tcW w:w="1557" w:type="dxa"/>
          </w:tcPr>
          <w:p>
            <w:pPr>
              <w:pStyle w:val="Compact"/>
              <w:jc w:val="left"/>
            </w:pPr>
            <w:r>
              <w:t xml:space="preserve">Hire B</w:t>
            </w:r>
          </w:p>
        </w:tc>
        <w:tc>
          <w:tcPr>
            <w:tcW w:w="1953" w:type="dxa"/>
          </w:tcPr>
          <w:p>
            <w:pPr>
              <w:pStyle w:val="Compact"/>
              <w:jc w:val="left"/>
            </w:pPr>
            <w:r>
              <w:t xml:space="preserve">Finance; Manager</w:t>
            </w:r>
          </w:p>
        </w:tc>
        <w:tc>
          <w:tcPr>
            <w:tcW w:w="920" w:type="dxa"/>
          </w:tcPr>
          <w:p>
            <w:pPr>
              <w:pStyle w:val="Compact"/>
              <w:jc w:val="left"/>
            </w:pPr>
            <w:r>
              <w:t xml:space="preserve">T-30 to T-25</w:t>
            </w:r>
          </w:p>
        </w:tc>
        <w:tc>
          <w:tcPr>
            <w:tcW w:w="3182" w:type="dxa"/>
          </w:tcPr>
          <w:p>
            <w:pPr>
              <w:pStyle w:val="Compact"/>
              <w:jc w:val="left"/>
            </w:pPr>
            <w:r>
              <w:t xml:space="preserve">Agreed date, scope, freeze date, thresholds</w:t>
            </w:r>
          </w:p>
        </w:tc>
      </w:tr>
      <w:tr>
        <w:tc>
          <w:tcPr>
            <w:tcW w:w="1745" w:type="dxa"/>
          </w:tcPr>
          <w:p>
            <w:pPr>
              <w:pStyle w:val="Compact"/>
              <w:jc w:val="left"/>
            </w:pPr>
            <w:r>
              <w:t xml:space="preserve">2 Collect inputs</w:t>
            </w:r>
          </w:p>
        </w:tc>
        <w:tc>
          <w:tcPr>
            <w:tcW w:w="1557" w:type="dxa"/>
          </w:tcPr>
          <w:p>
            <w:pPr>
              <w:pStyle w:val="Compact"/>
              <w:jc w:val="left"/>
            </w:pPr>
            <w:r>
              <w:t xml:space="preserve">Hire B (tariff actions: Hire A)</w:t>
            </w:r>
          </w:p>
        </w:tc>
        <w:tc>
          <w:tcPr>
            <w:tcW w:w="1953" w:type="dxa"/>
          </w:tcPr>
          <w:p>
            <w:pPr>
              <w:pStyle w:val="Compact"/>
              <w:jc w:val="left"/>
            </w:pPr>
            <w:r>
              <w:t xml:space="preserve">Manager</w:t>
            </w:r>
          </w:p>
        </w:tc>
        <w:tc>
          <w:tcPr>
            <w:tcW w:w="920" w:type="dxa"/>
          </w:tcPr>
          <w:p>
            <w:pPr>
              <w:pStyle w:val="Compact"/>
              <w:jc w:val="left"/>
            </w:pPr>
            <w:r>
              <w:t xml:space="preserve">T-25 to T-15</w:t>
            </w:r>
          </w:p>
        </w:tc>
        <w:tc>
          <w:tcPr>
            <w:tcW w:w="3182" w:type="dxa"/>
          </w:tcPr>
          <w:p>
            <w:pPr>
              <w:pStyle w:val="Compact"/>
              <w:jc w:val="left"/>
            </w:pPr>
            <w:r>
              <w:t xml:space="preserve">Frozen input pack</w:t>
            </w:r>
          </w:p>
        </w:tc>
      </w:tr>
      <w:tr>
        <w:tc>
          <w:tcPr>
            <w:tcW w:w="1745" w:type="dxa"/>
          </w:tcPr>
          <w:p>
            <w:pPr>
              <w:pStyle w:val="Compact"/>
              <w:jc w:val="left"/>
            </w:pPr>
            <w:r>
              <w:t xml:space="preserve">3 Calculate</w:t>
            </w:r>
          </w:p>
        </w:tc>
        <w:tc>
          <w:tcPr>
            <w:tcW w:w="1557" w:type="dxa"/>
          </w:tcPr>
          <w:p>
            <w:pPr>
              <w:pStyle w:val="Compact"/>
              <w:jc w:val="left"/>
            </w:pPr>
            <w:r>
              <w:t xml:space="preserve">Hire B</w:t>
            </w:r>
          </w:p>
        </w:tc>
        <w:tc>
          <w:tcPr>
            <w:tcW w:w="1953" w:type="dxa"/>
          </w:tcPr>
          <w:p>
            <w:pPr>
              <w:pStyle w:val="Compact"/>
              <w:jc w:val="left"/>
            </w:pPr>
            <w:r>
              <w:t xml:space="preserve">none yet</w:t>
            </w:r>
          </w:p>
        </w:tc>
        <w:tc>
          <w:tcPr>
            <w:tcW w:w="920" w:type="dxa"/>
          </w:tcPr>
          <w:p>
            <w:pPr>
              <w:pStyle w:val="Compact"/>
              <w:jc w:val="left"/>
            </w:pPr>
            <w:r>
              <w:t xml:space="preserve">T-15 to T-12</w:t>
            </w:r>
          </w:p>
        </w:tc>
        <w:tc>
          <w:tcPr>
            <w:tcW w:w="3182" w:type="dxa"/>
          </w:tcPr>
          <w:p>
            <w:pPr>
              <w:pStyle w:val="Compact"/>
              <w:jc w:val="left"/>
            </w:pPr>
            <w:r>
              <w:t xml:space="preserve">Cost file v0.x</w:t>
            </w:r>
          </w:p>
        </w:tc>
      </w:tr>
      <w:tr>
        <w:tc>
          <w:tcPr>
            <w:tcW w:w="1745" w:type="dxa"/>
          </w:tcPr>
          <w:p>
            <w:pPr>
              <w:pStyle w:val="Compact"/>
              <w:jc w:val="left"/>
            </w:pPr>
            <w:r>
              <w:t xml:space="preserve">4 Validate</w:t>
            </w:r>
          </w:p>
        </w:tc>
        <w:tc>
          <w:tcPr>
            <w:tcW w:w="1557" w:type="dxa"/>
          </w:tcPr>
          <w:p>
            <w:pPr>
              <w:pStyle w:val="Compact"/>
              <w:jc w:val="left"/>
            </w:pPr>
            <w:r>
              <w:t xml:space="preserve">Hire B</w:t>
            </w:r>
          </w:p>
        </w:tc>
        <w:tc>
          <w:tcPr>
            <w:tcW w:w="1953" w:type="dxa"/>
          </w:tcPr>
          <w:p>
            <w:pPr>
              <w:pStyle w:val="Compact"/>
              <w:jc w:val="left"/>
            </w:pPr>
            <w:r>
              <w:t xml:space="preserve">none yet</w:t>
            </w:r>
          </w:p>
        </w:tc>
        <w:tc>
          <w:tcPr>
            <w:tcW w:w="920" w:type="dxa"/>
          </w:tcPr>
          <w:p>
            <w:pPr>
              <w:pStyle w:val="Compact"/>
              <w:jc w:val="left"/>
            </w:pPr>
            <w:r>
              <w:t xml:space="preserve">T-12 to T-10</w:t>
            </w:r>
          </w:p>
        </w:tc>
        <w:tc>
          <w:tcPr>
            <w:tcW w:w="3182" w:type="dxa"/>
          </w:tcPr>
          <w:p>
            <w:pPr>
              <w:pStyle w:val="Compact"/>
              <w:jc w:val="left"/>
            </w:pPr>
            <w:r>
              <w:t xml:space="preserve">Exception list, all explained</w:t>
            </w:r>
          </w:p>
        </w:tc>
      </w:tr>
      <w:tr>
        <w:tc>
          <w:tcPr>
            <w:tcW w:w="1745" w:type="dxa"/>
          </w:tcPr>
          <w:p>
            <w:pPr>
              <w:pStyle w:val="Compact"/>
              <w:jc w:val="left"/>
            </w:pPr>
            <w:r>
              <w:t xml:space="preserve">5 Review and approve</w:t>
            </w:r>
          </w:p>
        </w:tc>
        <w:tc>
          <w:tcPr>
            <w:tcW w:w="1557" w:type="dxa"/>
          </w:tcPr>
          <w:p>
            <w:pPr>
              <w:pStyle w:val="Compact"/>
              <w:jc w:val="left"/>
            </w:pPr>
            <w:r>
              <w:t xml:space="preserve">Hire B submits</w:t>
            </w:r>
          </w:p>
        </w:tc>
        <w:tc>
          <w:tcPr>
            <w:tcW w:w="1953" w:type="dxa"/>
          </w:tcPr>
          <w:p>
            <w:pPr>
              <w:pStyle w:val="Compact"/>
              <w:jc w:val="left"/>
            </w:pPr>
            <w:r>
              <w:t xml:space="preserve">Manager (checker); Finance (approver)</w:t>
            </w:r>
          </w:p>
        </w:tc>
        <w:tc>
          <w:tcPr>
            <w:tcW w:w="920" w:type="dxa"/>
          </w:tcPr>
          <w:p>
            <w:pPr>
              <w:pStyle w:val="Compact"/>
              <w:jc w:val="left"/>
            </w:pPr>
            <w:r>
              <w:t xml:space="preserve">T-10 to T-5</w:t>
            </w:r>
          </w:p>
        </w:tc>
        <w:tc>
          <w:tcPr>
            <w:tcW w:w="3182" w:type="dxa"/>
          </w:tcPr>
          <w:p>
            <w:pPr>
              <w:pStyle w:val="Compact"/>
              <w:jc w:val="left"/>
            </w:pPr>
            <w:r>
              <w:t xml:space="preserve">Approved cost file v1.0, sign-offs</w:t>
            </w:r>
          </w:p>
        </w:tc>
      </w:tr>
      <w:tr>
        <w:tc>
          <w:tcPr>
            <w:tcW w:w="1745" w:type="dxa"/>
          </w:tcPr>
          <w:p>
            <w:pPr>
              <w:pStyle w:val="Compact"/>
              <w:jc w:val="left"/>
            </w:pPr>
            <w:r>
              <w:t xml:space="preserve">6 Load and update in Oracle</w:t>
            </w:r>
          </w:p>
        </w:tc>
        <w:tc>
          <w:tcPr>
            <w:tcW w:w="1557" w:type="dxa"/>
          </w:tcPr>
          <w:p>
            <w:pPr>
              <w:pStyle w:val="Compact"/>
              <w:jc w:val="left"/>
            </w:pPr>
            <w:r>
              <w:t xml:space="preserve">[COMPANY: who loads]</w:t>
            </w:r>
          </w:p>
        </w:tc>
        <w:tc>
          <w:tcPr>
            <w:tcW w:w="1953" w:type="dxa"/>
          </w:tcPr>
          <w:p>
            <w:pPr>
              <w:pStyle w:val="Compact"/>
              <w:jc w:val="left"/>
            </w:pPr>
            <w:r>
              <w:t xml:space="preserve">Finance; Hire B verifies</w:t>
            </w:r>
          </w:p>
        </w:tc>
        <w:tc>
          <w:tcPr>
            <w:tcW w:w="920" w:type="dxa"/>
          </w:tcPr>
          <w:p>
            <w:pPr>
              <w:pStyle w:val="Compact"/>
              <w:jc w:val="left"/>
            </w:pPr>
            <w:r>
              <w:t xml:space="preserve">T-3 to T</w:t>
            </w:r>
          </w:p>
        </w:tc>
        <w:tc>
          <w:tcPr>
            <w:tcW w:w="3182" w:type="dxa"/>
          </w:tcPr>
          <w:p>
            <w:pPr>
              <w:pStyle w:val="Compact"/>
              <w:jc w:val="left"/>
            </w:pPr>
            <w:r>
              <w:t xml:space="preserve">Pending costs loaded, simulation approved, update run</w:t>
            </w:r>
          </w:p>
        </w:tc>
      </w:tr>
      <w:tr>
        <w:tc>
          <w:tcPr>
            <w:tcW w:w="1745" w:type="dxa"/>
          </w:tcPr>
          <w:p>
            <w:pPr>
              <w:pStyle w:val="Compact"/>
              <w:jc w:val="left"/>
            </w:pPr>
            <w:r>
              <w:t xml:space="preserve">7 Post-load verification</w:t>
            </w:r>
          </w:p>
        </w:tc>
        <w:tc>
          <w:tcPr>
            <w:tcW w:w="1557" w:type="dxa"/>
          </w:tcPr>
          <w:p>
            <w:pPr>
              <w:pStyle w:val="Compact"/>
              <w:jc w:val="left"/>
            </w:pPr>
            <w:r>
              <w:t xml:space="preserve">Hire B</w:t>
            </w:r>
          </w:p>
        </w:tc>
        <w:tc>
          <w:tcPr>
            <w:tcW w:w="1953" w:type="dxa"/>
          </w:tcPr>
          <w:p>
            <w:pPr>
              <w:pStyle w:val="Compact"/>
              <w:jc w:val="left"/>
            </w:pPr>
            <w:r>
              <w:t xml:space="preserve">Manager</w:t>
            </w:r>
          </w:p>
        </w:tc>
        <w:tc>
          <w:tcPr>
            <w:tcW w:w="920" w:type="dxa"/>
          </w:tcPr>
          <w:p>
            <w:pPr>
              <w:pStyle w:val="Compact"/>
              <w:jc w:val="left"/>
            </w:pPr>
            <w:r>
              <w:t xml:space="preserve">T to T+1</w:t>
            </w:r>
          </w:p>
        </w:tc>
        <w:tc>
          <w:tcPr>
            <w:tcW w:w="3182" w:type="dxa"/>
          </w:tcPr>
          <w:p>
            <w:pPr>
              <w:pStyle w:val="Compact"/>
              <w:jc w:val="left"/>
            </w:pPr>
            <w:r>
              <w:t xml:space="preserve">100% tie-out</w:t>
            </w:r>
          </w:p>
        </w:tc>
      </w:tr>
      <w:tr>
        <w:tc>
          <w:tcPr>
            <w:tcW w:w="1745" w:type="dxa"/>
          </w:tcPr>
          <w:p>
            <w:pPr>
              <w:pStyle w:val="Compact"/>
              <w:jc w:val="left"/>
            </w:pPr>
            <w:r>
              <w:t xml:space="preserve">8 Communicate</w:t>
            </w:r>
          </w:p>
        </w:tc>
        <w:tc>
          <w:tcPr>
            <w:tcW w:w="1557" w:type="dxa"/>
          </w:tcPr>
          <w:p>
            <w:pPr>
              <w:pStyle w:val="Compact"/>
              <w:jc w:val="left"/>
            </w:pPr>
            <w:r>
              <w:t xml:space="preserve">Hire B drafts</w:t>
            </w:r>
          </w:p>
        </w:tc>
        <w:tc>
          <w:tcPr>
            <w:tcW w:w="1953" w:type="dxa"/>
          </w:tcPr>
          <w:p>
            <w:pPr>
              <w:pStyle w:val="Compact"/>
              <w:jc w:val="left"/>
            </w:pPr>
            <w:r>
              <w:t xml:space="preserve">Manager approves</w:t>
            </w:r>
          </w:p>
        </w:tc>
        <w:tc>
          <w:tcPr>
            <w:tcW w:w="920" w:type="dxa"/>
          </w:tcPr>
          <w:p>
            <w:pPr>
              <w:pStyle w:val="Compact"/>
              <w:jc w:val="left"/>
            </w:pPr>
            <w:r>
              <w:t xml:space="preserve">T+1 to T+2</w:t>
            </w:r>
          </w:p>
        </w:tc>
        <w:tc>
          <w:tcPr>
            <w:tcW w:w="3182" w:type="dxa"/>
          </w:tcPr>
          <w:p>
            <w:pPr>
              <w:pStyle w:val="Compact"/>
              <w:jc w:val="left"/>
            </w:pPr>
            <w:r>
              <w:t xml:space="preserve">Finance and business notes sent</w:t>
            </w:r>
          </w:p>
        </w:tc>
      </w:tr>
      <w:tr>
        <w:tc>
          <w:tcPr>
            <w:tcW w:w="1745" w:type="dxa"/>
          </w:tcPr>
          <w:p>
            <w:pPr>
              <w:pStyle w:val="Compact"/>
              <w:jc w:val="left"/>
            </w:pPr>
            <w:r>
              <w:t xml:space="preserve">9 Archive evidence</w:t>
            </w:r>
          </w:p>
        </w:tc>
        <w:tc>
          <w:tcPr>
            <w:tcW w:w="1557" w:type="dxa"/>
          </w:tcPr>
          <w:p>
            <w:pPr>
              <w:pStyle w:val="Compact"/>
              <w:jc w:val="left"/>
            </w:pPr>
            <w:r>
              <w:t xml:space="preserve">Hire B</w:t>
            </w:r>
          </w:p>
        </w:tc>
        <w:tc>
          <w:tcPr>
            <w:tcW w:w="1953" w:type="dxa"/>
          </w:tcPr>
          <w:p>
            <w:pPr>
              <w:pStyle w:val="Compact"/>
              <w:jc w:val="left"/>
            </w:pPr>
            <w:r>
              <w:t xml:space="preserve">Manager</w:t>
            </w:r>
          </w:p>
        </w:tc>
        <w:tc>
          <w:tcPr>
            <w:tcW w:w="920" w:type="dxa"/>
          </w:tcPr>
          <w:p>
            <w:pPr>
              <w:pStyle w:val="Compact"/>
              <w:jc w:val="left"/>
            </w:pPr>
            <w:r>
              <w:t xml:space="preserve">By T+5</w:t>
            </w:r>
          </w:p>
        </w:tc>
        <w:tc>
          <w:tcPr>
            <w:tcW w:w="3182" w:type="dxa"/>
          </w:tcPr>
          <w:p>
            <w:pPr>
              <w:pStyle w:val="Compact"/>
              <w:jc w:val="left"/>
            </w:pPr>
            <w:r>
              <w:t xml:space="preserve">Complete evidence folder; Jira closed</w:t>
            </w:r>
          </w:p>
        </w:tc>
      </w:tr>
    </w:tbl>
    <w:p>
      <w:pPr>
        <w:pStyle w:val="BodyText"/>
      </w:pPr>
      <w:r>
        <w:t xml:space="preserve">B90-1 with a live cycle: the day-90 evidence needs Phases 1 to 7 done before the day-90 review (Fri 1/15), so a live cycle counts only if T falls between Mon 1/4 and Wed 1/13 (W12 or W13). With the example holidays of the compressed calendar below (Thu 11/26, Fri 11/27, Fri 12/25, Fri 1/1):</w:t>
      </w:r>
    </w:p>
    <w:p>
      <w:pPr>
        <w:numPr>
          <w:ilvl w:val="0"/>
          <w:numId w:val="1003"/>
        </w:numPr>
        <w:pStyle w:val="Compact"/>
      </w:pPr>
      <w:r>
        <w:t xml:space="preserve">Phase 1 (T-30) starts between Tue 11/17 (W5, for T = Mon 1/4) and Mon 11/30 (W7, for T = Wed 1/13). Hire B joins it from Phase 1 as maker, with the Manager as checker. When Phase 1 starts in W5 (T = Mon 1/4 to Thu 1/7), hold the W5 cycle walkthrough no later than the day it starts.</w:t>
      </w:r>
    </w:p>
    <w:p>
      <w:pPr>
        <w:numPr>
          <w:ilvl w:val="0"/>
          <w:numId w:val="1003"/>
        </w:numPr>
        <w:pStyle w:val="Compact"/>
      </w:pPr>
      <w:r>
        <w:t xml:space="preserve">The Phase 5 review falls between Thu 12/17 (W9, for T = Mon 1/4) and Wed 1/6 (W12, for T = Wed 1/13), so it can cross the day-60 review and the holiday weeks. Keep it off milestone review days.</w:t>
      </w:r>
    </w:p>
    <w:p>
      <w:pPr>
        <w:numPr>
          <w:ilvl w:val="0"/>
          <w:numId w:val="1003"/>
        </w:numPr>
        <w:pStyle w:val="Compact"/>
      </w:pPr>
      <w:r>
        <w:t xml:space="preserve">Phase 9 can finish after day 90 (T+5 is Wed 1/20 for T = Wed 1/13).</w:t>
      </w:r>
    </w:p>
    <w:p>
      <w:pPr>
        <w:numPr>
          <w:ilvl w:val="0"/>
          <w:numId w:val="1003"/>
        </w:numPr>
        <w:pStyle w:val="Compact"/>
      </w:pPr>
      <w:r>
        <w:t xml:space="preserve">A cycle with T in W10 or W11 does not count: its Phase 1 would start between Thu 11/5 (W3) and Mon 11/16 (W5), too early for Hire B to run it as maker. Hire B shadows it, and B90-1 uses the parallel run or the interim update. A cycle with T on Thu 1/14 or later does not count either.</w:t>
      </w:r>
    </w:p>
    <w:p>
      <w:pPr>
        <w:pStyle w:val="FirstParagraph"/>
      </w:pPr>
      <w:r>
        <w:t xml:space="preserve">Work out every phase date from the real T as soon as Finance publishes the cost calendar, and name the checker and Finance cover before Phase 1 (rule 5).</w:t>
      </w:r>
    </w:p>
    <w:bookmarkStart w:id="23" w:name="Xca66fe91a93ab877bf96b73db6f836a119ffb03"/>
    <w:p>
      <w:pPr>
        <w:pStyle w:val="Heading3"/>
      </w:pPr>
      <w:r>
        <w:t xml:space="preserve">Compressed calendar (interim tariff-driven update or parallel run; B90-1 option)</w:t>
      </w:r>
    </w:p>
    <w:p>
      <w:pPr>
        <w:pStyle w:val="FirstParagraph"/>
      </w:pPr>
      <w:r>
        <w:t xml:space="preserve">Use it for an interim duty update after a tariff action (only the affected items change) or for a parallel run on the latest cycle's data. Same phases, same controls, shorter timings. Working days exclude [COMPANY: holiday calendar]; the example treats Thu 11/26, Fri 11/27, Fri 12/25 and Fri 1/1 as holidays. For B90-1, T can be no later than Mon 1/11, so that Phases 8 and 9 end before the day-90 review (Fri 1/15).</w:t>
      </w:r>
    </w:p>
    <w:tbl>
      <w:tblPr>
        <w:tblStyle w:val="Table"/>
        <w:tblW w:type="dxa" w:w="9360"/>
        <w:tblLook w:firstRow="1" w:lastRow="0" w:firstColumn="0" w:lastColumn="0" w:noHBand="0" w:noVBand="0" w:val="0020"/>
        <w:jc w:val="start"/>
        <w:tblLayout w:type="fixed"/>
      </w:tblPr>
      <w:tblGrid>
        <w:gridCol w:w="1603"/>
        <w:gridCol w:w="920"/>
        <w:gridCol w:w="1501"/>
        <w:gridCol w:w="5335"/>
      </w:tblGrid>
      <w:tr>
        <w:trPr>
          <w:tblHeader w:val="true"/>
        </w:trPr>
        <w:tc>
          <w:tcPr>
            <w:tcW w:w="1603" w:type="dxa"/>
          </w:tcPr>
          <w:p>
            <w:pPr>
              <w:pStyle w:val="Compact"/>
              <w:jc w:val="left"/>
            </w:pPr>
            <w:r>
              <w:t xml:space="preserve">Phase</w:t>
            </w:r>
          </w:p>
        </w:tc>
        <w:tc>
          <w:tcPr>
            <w:tcW w:w="920" w:type="dxa"/>
          </w:tcPr>
          <w:p>
            <w:pPr>
              <w:pStyle w:val="Compact"/>
              <w:jc w:val="left"/>
            </w:pPr>
            <w:r>
              <w:t xml:space="preserve">Timing</w:t>
            </w:r>
          </w:p>
        </w:tc>
        <w:tc>
          <w:tcPr>
            <w:tcW w:w="1501" w:type="dxa"/>
          </w:tcPr>
          <w:p>
            <w:pPr>
              <w:pStyle w:val="Compact"/>
              <w:jc w:val="left"/>
            </w:pPr>
            <w:r>
              <w:t xml:space="preserve">Example: T = Mon 2027-01-11</w:t>
            </w:r>
          </w:p>
        </w:tc>
        <w:tc>
          <w:tcPr>
            <w:tcW w:w="5335" w:type="dxa"/>
          </w:tcPr>
          <w:p>
            <w:pPr>
              <w:pStyle w:val="Compact"/>
              <w:jc w:val="left"/>
            </w:pPr>
            <w:r>
              <w:t xml:space="preserve">Notes</w:t>
            </w:r>
          </w:p>
        </w:tc>
      </w:tr>
      <w:tr>
        <w:tc>
          <w:tcPr>
            <w:tcW w:w="1603" w:type="dxa"/>
          </w:tcPr>
          <w:p>
            <w:pPr>
              <w:pStyle w:val="Compact"/>
              <w:jc w:val="left"/>
            </w:pPr>
            <w:r>
              <w:t xml:space="preserve">1 Plan with Finance</w:t>
            </w:r>
          </w:p>
        </w:tc>
        <w:tc>
          <w:tcPr>
            <w:tcW w:w="920" w:type="dxa"/>
          </w:tcPr>
          <w:p>
            <w:pPr>
              <w:pStyle w:val="Compact"/>
              <w:jc w:val="left"/>
            </w:pPr>
            <w:r>
              <w:t xml:space="preserve">T-13</w:t>
            </w:r>
          </w:p>
        </w:tc>
        <w:tc>
          <w:tcPr>
            <w:tcW w:w="1501" w:type="dxa"/>
          </w:tcPr>
          <w:p>
            <w:pPr>
              <w:pStyle w:val="Compact"/>
              <w:jc w:val="left"/>
            </w:pPr>
            <w:r>
              <w:t xml:space="preserve">Mon 12/21</w:t>
            </w:r>
          </w:p>
        </w:tc>
        <w:tc>
          <w:tcPr>
            <w:tcW w:w="5335" w:type="dxa"/>
          </w:tcPr>
          <w:p>
            <w:pPr>
              <w:pStyle w:val="Compact"/>
              <w:jc w:val="left"/>
            </w:pPr>
            <w:r>
              <w:t xml:space="preserve">30-minute call. Scope: items with the duty change (interim) or the latest cycle's items (parallel)</w:t>
            </w:r>
          </w:p>
        </w:tc>
      </w:tr>
      <w:tr>
        <w:tc>
          <w:tcPr>
            <w:tcW w:w="1603" w:type="dxa"/>
          </w:tcPr>
          <w:p>
            <w:pPr>
              <w:pStyle w:val="Compact"/>
              <w:jc w:val="left"/>
            </w:pPr>
            <w:r>
              <w:t xml:space="preserve">2 Collect inputs</w:t>
            </w:r>
          </w:p>
        </w:tc>
        <w:tc>
          <w:tcPr>
            <w:tcW w:w="920" w:type="dxa"/>
          </w:tcPr>
          <w:p>
            <w:pPr>
              <w:pStyle w:val="Compact"/>
              <w:jc w:val="left"/>
            </w:pPr>
            <w:r>
              <w:t xml:space="preserve">T-13 to T-10</w:t>
            </w:r>
          </w:p>
        </w:tc>
        <w:tc>
          <w:tcPr>
            <w:tcW w:w="1501" w:type="dxa"/>
          </w:tcPr>
          <w:p>
            <w:pPr>
              <w:pStyle w:val="Compact"/>
              <w:jc w:val="left"/>
            </w:pPr>
            <w:r>
              <w:t xml:space="preserve">Mon 12/21 to Thu 12/24</w:t>
            </w:r>
          </w:p>
        </w:tc>
        <w:tc>
          <w:tcPr>
            <w:tcW w:w="5335" w:type="dxa"/>
          </w:tcPr>
          <w:p>
            <w:pPr>
              <w:pStyle w:val="Compact"/>
              <w:jc w:val="left"/>
            </w:pPr>
            <w:r>
              <w:t xml:space="preserve">Interim: the checked brief and model, plus the latest frozen input pack for everything else. Parallel: the latest frozen input pack</w:t>
            </w:r>
          </w:p>
        </w:tc>
      </w:tr>
      <w:tr>
        <w:tc>
          <w:tcPr>
            <w:tcW w:w="1603" w:type="dxa"/>
          </w:tcPr>
          <w:p>
            <w:pPr>
              <w:pStyle w:val="Compact"/>
              <w:jc w:val="left"/>
            </w:pPr>
            <w:r>
              <w:t xml:space="preserve">3 and 4 Calculate and validate</w:t>
            </w:r>
          </w:p>
        </w:tc>
        <w:tc>
          <w:tcPr>
            <w:tcW w:w="920" w:type="dxa"/>
          </w:tcPr>
          <w:p>
            <w:pPr>
              <w:pStyle w:val="Compact"/>
              <w:jc w:val="left"/>
            </w:pPr>
            <w:r>
              <w:t xml:space="preserve">T-9 to T-7</w:t>
            </w:r>
          </w:p>
        </w:tc>
        <w:tc>
          <w:tcPr>
            <w:tcW w:w="1501" w:type="dxa"/>
          </w:tcPr>
          <w:p>
            <w:pPr>
              <w:pStyle w:val="Compact"/>
              <w:jc w:val="left"/>
            </w:pPr>
            <w:r>
              <w:t xml:space="preserve">Mon 12/28 to Wed 12/30</w:t>
            </w:r>
          </w:p>
        </w:tc>
        <w:tc>
          <w:tcPr>
            <w:tcW w:w="5335" w:type="dxa"/>
          </w:tcPr>
          <w:p>
            <w:pPr>
              <w:pStyle w:val="Compact"/>
              <w:jc w:val="left"/>
            </w:pPr>
            <w:r>
              <w:t xml:space="preserve">All Phase 4 checks, including the revaluation estimate</w:t>
            </w:r>
          </w:p>
        </w:tc>
      </w:tr>
      <w:tr>
        <w:tc>
          <w:tcPr>
            <w:tcW w:w="1603" w:type="dxa"/>
          </w:tcPr>
          <w:p>
            <w:pPr>
              <w:pStyle w:val="Compact"/>
              <w:jc w:val="left"/>
            </w:pPr>
            <w:r>
              <w:t xml:space="preserve">5 Review and approve</w:t>
            </w:r>
          </w:p>
        </w:tc>
        <w:tc>
          <w:tcPr>
            <w:tcW w:w="920" w:type="dxa"/>
          </w:tcPr>
          <w:p>
            <w:pPr>
              <w:pStyle w:val="Compact"/>
              <w:jc w:val="left"/>
            </w:pPr>
            <w:r>
              <w:t xml:space="preserve">T-6 to T-3</w:t>
            </w:r>
          </w:p>
        </w:tc>
        <w:tc>
          <w:tcPr>
            <w:tcW w:w="1501" w:type="dxa"/>
          </w:tcPr>
          <w:p>
            <w:pPr>
              <w:pStyle w:val="Compact"/>
              <w:jc w:val="left"/>
            </w:pPr>
            <w:r>
              <w:t xml:space="preserve">Thu 12/31 to Wed 1/6</w:t>
            </w:r>
          </w:p>
        </w:tc>
        <w:tc>
          <w:tcPr>
            <w:tcW w:w="5335" w:type="dxa"/>
          </w:tcPr>
          <w:p>
            <w:pPr>
              <w:pStyle w:val="Compact"/>
              <w:jc w:val="left"/>
            </w:pPr>
            <w:r>
              <w:t xml:space="preserve">Manager as checker (about 1.5 h); Finance approval by T-3</w:t>
            </w:r>
          </w:p>
        </w:tc>
      </w:tr>
      <w:tr>
        <w:tc>
          <w:tcPr>
            <w:tcW w:w="1603" w:type="dxa"/>
          </w:tcPr>
          <w:p>
            <w:pPr>
              <w:pStyle w:val="Compact"/>
              <w:jc w:val="left"/>
            </w:pPr>
            <w:r>
              <w:t xml:space="preserve">6 Load and update</w:t>
            </w:r>
          </w:p>
        </w:tc>
        <w:tc>
          <w:tcPr>
            <w:tcW w:w="920" w:type="dxa"/>
          </w:tcPr>
          <w:p>
            <w:pPr>
              <w:pStyle w:val="Compact"/>
              <w:jc w:val="left"/>
            </w:pPr>
            <w:r>
              <w:t xml:space="preserve">T-2 to T</w:t>
            </w:r>
          </w:p>
        </w:tc>
        <w:tc>
          <w:tcPr>
            <w:tcW w:w="1501" w:type="dxa"/>
          </w:tcPr>
          <w:p>
            <w:pPr>
              <w:pStyle w:val="Compact"/>
              <w:jc w:val="left"/>
            </w:pPr>
            <w:r>
              <w:t xml:space="preserve">Thu 1/7 to Mon 1/11</w:t>
            </w:r>
          </w:p>
        </w:tc>
        <w:tc>
          <w:tcPr>
            <w:tcW w:w="5335" w:type="dxa"/>
          </w:tcPr>
          <w:p>
            <w:pPr>
              <w:pStyle w:val="Compact"/>
              <w:jc w:val="left"/>
            </w:pPr>
            <w:r>
              <w:t xml:space="preserve">Interim: as in Phase 6. Parallel: no load; compare your file with the costs Finance loaded in the latest cycle</w:t>
            </w:r>
          </w:p>
        </w:tc>
      </w:tr>
      <w:tr>
        <w:tc>
          <w:tcPr>
            <w:tcW w:w="1603" w:type="dxa"/>
          </w:tcPr>
          <w:p>
            <w:pPr>
              <w:pStyle w:val="Compact"/>
              <w:jc w:val="left"/>
            </w:pPr>
            <w:r>
              <w:t xml:space="preserve">7 Verify</w:t>
            </w:r>
          </w:p>
        </w:tc>
        <w:tc>
          <w:tcPr>
            <w:tcW w:w="920" w:type="dxa"/>
          </w:tcPr>
          <w:p>
            <w:pPr>
              <w:pStyle w:val="Compact"/>
              <w:jc w:val="left"/>
            </w:pPr>
            <w:r>
              <w:t xml:space="preserve">T to T+1</w:t>
            </w:r>
          </w:p>
        </w:tc>
        <w:tc>
          <w:tcPr>
            <w:tcW w:w="1501" w:type="dxa"/>
          </w:tcPr>
          <w:p>
            <w:pPr>
              <w:pStyle w:val="Compact"/>
              <w:jc w:val="left"/>
            </w:pPr>
            <w:r>
              <w:t xml:space="preserve">Mon 1/11 to Tue 1/12</w:t>
            </w:r>
          </w:p>
        </w:tc>
        <w:tc>
          <w:tcPr>
            <w:tcW w:w="5335" w:type="dxa"/>
          </w:tcPr>
          <w:p>
            <w:pPr>
              <w:pStyle w:val="Compact"/>
              <w:jc w:val="left"/>
            </w:pPr>
            <w:r>
              <w:t xml:space="preserve">Interim: 100% compare. Parallel: explain every difference from the live result</w:t>
            </w:r>
          </w:p>
        </w:tc>
      </w:tr>
      <w:tr>
        <w:tc>
          <w:tcPr>
            <w:tcW w:w="1603" w:type="dxa"/>
          </w:tcPr>
          <w:p>
            <w:pPr>
              <w:pStyle w:val="Compact"/>
              <w:jc w:val="left"/>
            </w:pPr>
            <w:r>
              <w:t xml:space="preserve">8 and 9 Communicate and archive</w:t>
            </w:r>
          </w:p>
        </w:tc>
        <w:tc>
          <w:tcPr>
            <w:tcW w:w="920" w:type="dxa"/>
          </w:tcPr>
          <w:p>
            <w:pPr>
              <w:pStyle w:val="Compact"/>
              <w:jc w:val="left"/>
            </w:pPr>
            <w:r>
              <w:t xml:space="preserve">By T+3</w:t>
            </w:r>
          </w:p>
        </w:tc>
        <w:tc>
          <w:tcPr>
            <w:tcW w:w="1501" w:type="dxa"/>
          </w:tcPr>
          <w:p>
            <w:pPr>
              <w:pStyle w:val="Compact"/>
              <w:jc w:val="left"/>
            </w:pPr>
            <w:r>
              <w:t xml:space="preserve">Thu 1/14</w:t>
            </w:r>
          </w:p>
        </w:tc>
        <w:tc>
          <w:tcPr>
            <w:tcW w:w="5335" w:type="dxa"/>
          </w:tcPr>
          <w:p>
            <w:pPr>
              <w:pStyle w:val="Compact"/>
              <w:jc w:val="left"/>
            </w:pPr>
            <w:r>
              <w:t xml:space="preserve">Before the day-90 review</w:t>
            </w:r>
          </w:p>
        </w:tc>
      </w:tr>
    </w:tbl>
    <w:p>
      <w:pPr>
        <w:pStyle w:val="BodyText"/>
      </w:pPr>
      <w:r>
        <w:t xml:space="preserve">Phases 1 to 4 fall in W10 and W11, the reduced weeks. Phase 5 runs to Wed 1/6, into W12, the expected e2open kickoff week: book the Manager's review (about 1.5 h) and Finance approval away from the kickoff day, and name the trainer and Finance cover before Phase 1 (rule 5). A parallel run never loads to Oracle production.</w:t>
      </w:r>
    </w:p>
    <w:bookmarkEnd w:id="23"/>
    <w:bookmarkEnd w:id="24"/>
    <w:bookmarkStart w:id="25" w:name="Xf8ec49cab01f449d4670b75c5e3ac16749d8cda"/>
    <w:p>
      <w:pPr>
        <w:pStyle w:val="Heading2"/>
      </w:pPr>
      <w:r>
        <w:t xml:space="preserve">Phase 1: Plan the cycle with Finance (T-30 to T-25)</w:t>
      </w:r>
    </w:p>
    <w:p>
      <w:pPr>
        <w:numPr>
          <w:ilvl w:val="0"/>
          <w:numId w:val="1004"/>
        </w:numPr>
        <w:pStyle w:val="Compact"/>
      </w:pPr>
      <w:r>
        <w:t xml:space="preserve">☐ Agree T, the cost-effective date and the period with [COMPANY: Finance cost accounting contact]. Put T on the team calendar and the Jira epic.</w:t>
      </w:r>
    </w:p>
    <w:p>
      <w:pPr>
        <w:numPr>
          <w:ilvl w:val="0"/>
          <w:numId w:val="1004"/>
        </w:numPr>
        <w:pStyle w:val="Compact"/>
      </w:pPr>
      <w:r>
        <w:t xml:space="preserve">☐ Agree the scope: full update (all items) or partial (new items, and items with duty, tariff, freight or price changes).</w:t>
      </w:r>
    </w:p>
    <w:p>
      <w:pPr>
        <w:numPr>
          <w:ilvl w:val="0"/>
          <w:numId w:val="1004"/>
        </w:numPr>
        <w:pStyle w:val="Compact"/>
      </w:pPr>
      <w:r>
        <w:t xml:space="preserve">☐ Agree the input freeze date (default T-15). Later changes wait for the next cycle unless Finance and the Manager approve.</w:t>
      </w:r>
    </w:p>
    <w:p>
      <w:pPr>
        <w:numPr>
          <w:ilvl w:val="0"/>
          <w:numId w:val="1004"/>
        </w:numPr>
        <w:pStyle w:val="Compact"/>
      </w:pPr>
      <w:r>
        <w:t xml:space="preserve">☐ With Hire A, list every Tariff-Impact Brief released or expected before T. Apply [COMPANY: tariff action policy] to decide which ones go in.</w:t>
      </w:r>
    </w:p>
    <w:p>
      <w:pPr>
        <w:numPr>
          <w:ilvl w:val="0"/>
          <w:numId w:val="1004"/>
        </w:numPr>
        <w:pStyle w:val="Compact"/>
      </w:pPr>
      <w:r>
        <w:t xml:space="preserve">☐ Confirm the variance thresholds and the materiality threshold for this cycle.</w:t>
      </w:r>
    </w:p>
    <w:p>
      <w:pPr>
        <w:numPr>
          <w:ilvl w:val="0"/>
          <w:numId w:val="1004"/>
        </w:numPr>
        <w:pStyle w:val="Compact"/>
      </w:pPr>
      <w:r>
        <w:t xml:space="preserve">☐ Confirm who loads the file and who runs the update, and that the maker of the cost file cannot approve it ([COMPANY: Oracle roles and segregation of duties]).</w:t>
      </w:r>
    </w:p>
    <w:p>
      <w:pPr>
        <w:numPr>
          <w:ilvl w:val="0"/>
          <w:numId w:val="1004"/>
        </w:numPr>
        <w:pStyle w:val="Compact"/>
      </w:pPr>
      <w:r>
        <w:t xml:space="preserve">☐ Book time: checker review (Manager, about 1.5 h between T-10 and T-7), Finance approval (T-6 to T-5), load window. In EBS, Oracle recommends running the update at the start of the accounting period, before transactions start for the new period. In Fusion, the cost scenario's effective date controls when new costs apply.</w:t>
      </w:r>
    </w:p>
    <w:p>
      <w:pPr>
        <w:numPr>
          <w:ilvl w:val="0"/>
          <w:numId w:val="1004"/>
        </w:numPr>
        <w:pStyle w:val="Compact"/>
      </w:pPr>
      <w:r>
        <w:t xml:space="preserve">☐ Check holidays and absences for T-10 to T+2 and name a backup for each role.</w:t>
      </w:r>
    </w:p>
    <w:p>
      <w:pPr>
        <w:numPr>
          <w:ilvl w:val="0"/>
          <w:numId w:val="1004"/>
        </w:numPr>
        <w:pStyle w:val="Compact"/>
      </w:pPr>
      <w:r>
        <w:t xml:space="preserve">☐ Create the cycle folder and Jira epic; copy this checklist.</w:t>
      </w:r>
    </w:p>
    <w:bookmarkEnd w:id="25"/>
    <w:bookmarkStart w:id="26" w:name="phase-2-collect-inputs-t-25-to-t-15"/>
    <w:p>
      <w:pPr>
        <w:pStyle w:val="Heading2"/>
      </w:pPr>
      <w:r>
        <w:t xml:space="preserve">Phase 2: Collect inputs (T-25 to T-15)</w:t>
      </w:r>
    </w:p>
    <w:p>
      <w:pPr>
        <w:numPr>
          <w:ilvl w:val="0"/>
          <w:numId w:val="1005"/>
        </w:numPr>
        <w:pStyle w:val="Compact"/>
      </w:pPr>
      <w:r>
        <w:t xml:space="preserve">☐ Item and cost extract from [COMPANY: Oracle cost extract or warehouse cost tables]: item, organization, primary unit of measure, current standard cost by cost element, on-hand and in-transit quantity, annual usage or forecast. Record the run date and time.</w:t>
      </w:r>
    </w:p>
    <w:p>
      <w:pPr>
        <w:numPr>
          <w:ilvl w:val="0"/>
          <w:numId w:val="1005"/>
        </w:numPr>
        <w:pStyle w:val="Compact"/>
      </w:pPr>
      <w:r>
        <w:t xml:space="preserve">☐ Classification and origin from [COMPANY: AS400 trade master or warehouse table]: HTS (as text), country of origin, import country, USMCA status and certification expiry.</w:t>
      </w:r>
    </w:p>
    <w:p>
      <w:pPr>
        <w:numPr>
          <w:ilvl w:val="0"/>
          <w:numId w:val="1005"/>
        </w:numPr>
        <w:pStyle w:val="Compact"/>
      </w:pPr>
      <w:r>
        <w:t xml:space="preserve">☐ Base duty rates by HTS and import country from [COMPANY: duty rate table or tool], with the date of the tariff schedule they come from.</w:t>
      </w:r>
    </w:p>
    <w:p>
      <w:pPr>
        <w:numPr>
          <w:ilvl w:val="0"/>
          <w:numId w:val="1005"/>
        </w:numPr>
        <w:pStyle w:val="Compact"/>
      </w:pPr>
      <w:r>
        <w:t xml:space="preserve">☐ Additional duties: one line per Tariff-Impact Brief used (brief ID, version, checker, effective date). Rates come from the brief, never from news or email.</w:t>
      </w:r>
    </w:p>
    <w:p>
      <w:pPr>
        <w:numPr>
          <w:ilvl w:val="0"/>
          <w:numId w:val="1005"/>
        </w:numPr>
        <w:pStyle w:val="Compact"/>
      </w:pPr>
      <w:r>
        <w:t xml:space="preserve">☐ Freight rates and allocation basis from [COMPANY: freight source]; any change in basis agreed with Finance.</w:t>
      </w:r>
    </w:p>
    <w:p>
      <w:pPr>
        <w:numPr>
          <w:ilvl w:val="0"/>
          <w:numId w:val="1005"/>
        </w:numPr>
        <w:pStyle w:val="Compact"/>
      </w:pPr>
      <w:r>
        <w:t xml:space="preserve">☐ Brokerage fees and average units per entry from [COMPANY: broker invoice data].</w:t>
      </w:r>
    </w:p>
    <w:p>
      <w:pPr>
        <w:numPr>
          <w:ilvl w:val="0"/>
          <w:numId w:val="1005"/>
        </w:numPr>
        <w:pStyle w:val="Compact"/>
      </w:pPr>
      <w:r>
        <w:t xml:space="preserve">☐ Customs fees (MPF, HMF, others) from</w:t>
      </w:r>
      <w:r>
        <w:t xml:space="preserve"> </w:t>
      </w:r>
      <w:r>
        <w:rPr>
          <w:rStyle w:val="VerbatimChar"/>
        </w:rPr>
        <w:t xml:space="preserve">docs/primers/current-tariff-landscape.md</w:t>
      </w:r>
      <w:r>
        <w:t xml:space="preserve">, with the date checked.</w:t>
      </w:r>
    </w:p>
    <w:p>
      <w:pPr>
        <w:numPr>
          <w:ilvl w:val="0"/>
          <w:numId w:val="1005"/>
        </w:numPr>
        <w:pStyle w:val="Compact"/>
      </w:pPr>
      <w:r>
        <w:t xml:space="preserve">☐ Other landed-cost factors: [COMPANY: inland freight, handling, others].</w:t>
      </w:r>
    </w:p>
    <w:p>
      <w:pPr>
        <w:numPr>
          <w:ilvl w:val="0"/>
          <w:numId w:val="1005"/>
        </w:numPr>
        <w:pStyle w:val="Compact"/>
      </w:pPr>
      <w:r>
        <w:t xml:space="preserve">☐ FX rates per [COMPANY: Finance costing rate rule], with the rate date.</w:t>
      </w:r>
    </w:p>
    <w:p>
      <w:pPr>
        <w:numPr>
          <w:ilvl w:val="0"/>
          <w:numId w:val="1005"/>
        </w:numPr>
        <w:pStyle w:val="Compact"/>
      </w:pPr>
      <w:r>
        <w:t xml:space="preserve">☐ Freeze: save the input pack as read-only with every extract timestamp; post the link on the Jira epic.</w:t>
      </w:r>
    </w:p>
    <w:bookmarkEnd w:id="26"/>
    <w:bookmarkStart w:id="27" w:name="phase-3-calculate-t-15-to-t-12"/>
    <w:p>
      <w:pPr>
        <w:pStyle w:val="Heading2"/>
      </w:pPr>
      <w:r>
        <w:t xml:space="preserve">Phase 3: Calculate (T-15 to T-12)</w:t>
      </w:r>
    </w:p>
    <w:p>
      <w:pPr>
        <w:numPr>
          <w:ilvl w:val="0"/>
          <w:numId w:val="1006"/>
        </w:numPr>
        <w:pStyle w:val="Compact"/>
      </w:pPr>
      <w:r>
        <w:t xml:space="preserve">☐ Build landed cost per item, component by component, in [COMPANY: name of std-cost tool or workbook].</w:t>
      </w:r>
    </w:p>
    <w:p>
      <w:pPr>
        <w:numPr>
          <w:ilvl w:val="0"/>
          <w:numId w:val="1006"/>
        </w:numPr>
        <w:pStyle w:val="Compact"/>
      </w:pPr>
      <w:r>
        <w:t xml:space="preserve">☐ Duty = duty base x (base rate + additional rates), combined exactly as each brief's stacking section says. Use the duty base rules for each import country.</w:t>
      </w:r>
    </w:p>
    <w:p>
      <w:pPr>
        <w:numPr>
          <w:ilvl w:val="0"/>
          <w:numId w:val="1006"/>
        </w:numPr>
        <w:pStyle w:val="Compact"/>
      </w:pPr>
      <w:r>
        <w:t xml:space="preserve">☐ Convert every component to the Oracle primary unit of measure.</w:t>
      </w:r>
    </w:p>
    <w:p>
      <w:pPr>
        <w:numPr>
          <w:ilvl w:val="0"/>
          <w:numId w:val="1006"/>
        </w:numPr>
        <w:pStyle w:val="Compact"/>
      </w:pPr>
      <w:r>
        <w:t xml:space="preserve">☐ Map each component to its Oracle cost element and sub-element ([COMPANY: mapping]).</w:t>
      </w:r>
    </w:p>
    <w:p>
      <w:pPr>
        <w:numPr>
          <w:ilvl w:val="0"/>
          <w:numId w:val="1006"/>
        </w:numPr>
        <w:pStyle w:val="Compact"/>
      </w:pPr>
      <w:r>
        <w:t xml:space="preserve">☐ For tariff-driven items, take the per-unit change from the checked Tariff-Impact Model (</w:t>
      </w:r>
      <w:r>
        <w:rPr>
          <w:rStyle w:val="VerbatimChar"/>
        </w:rPr>
        <w:t xml:space="preserve">docs/templates/domain/tariff-impact-model-guide.md</w:t>
      </w:r>
      <w:r>
        <w:t xml:space="preserve">) and make sure the cost file gives the same answer. The model has one row per item and import country: map each organization row of the cost file to its model row, or use one model per organization (model guide, Items).</w:t>
      </w:r>
    </w:p>
    <w:p>
      <w:pPr>
        <w:numPr>
          <w:ilvl w:val="0"/>
          <w:numId w:val="1006"/>
        </w:numPr>
        <w:pStyle w:val="Compact"/>
      </w:pPr>
      <w:r>
        <w:t xml:space="preserve">☐ No typed-over formulas. Every manual override goes on an override log: item, old value, new value, reason, approver.</w:t>
      </w:r>
    </w:p>
    <w:p>
      <w:pPr>
        <w:numPr>
          <w:ilvl w:val="0"/>
          <w:numId w:val="1006"/>
        </w:numPr>
        <w:pStyle w:val="Compact"/>
      </w:pPr>
      <w:r>
        <w:t xml:space="preserve">☐ Save as v0.x; keep earlier versions.</w:t>
      </w:r>
    </w:p>
    <w:bookmarkEnd w:id="27"/>
    <w:bookmarkStart w:id="28" w:name="phase-4-validate-t-12-to-t-10"/>
    <w:p>
      <w:pPr>
        <w:pStyle w:val="Heading2"/>
      </w:pPr>
      <w:r>
        <w:t xml:space="preserve">Phase 4: Validate (T-12 to T-10)</w:t>
      </w:r>
    </w:p>
    <w:p>
      <w:pPr>
        <w:numPr>
          <w:ilvl w:val="0"/>
          <w:numId w:val="1007"/>
        </w:numPr>
        <w:pStyle w:val="Compact"/>
      </w:pPr>
      <w:r>
        <w:t xml:space="preserve">☐ Completeness: rows in the cost file = items in scope. No item in scope is missing; no item outside scope is included.</w:t>
      </w:r>
    </w:p>
    <w:p>
      <w:pPr>
        <w:numPr>
          <w:ilvl w:val="0"/>
          <w:numId w:val="1007"/>
        </w:numPr>
        <w:pStyle w:val="Compact"/>
      </w:pPr>
      <w:r>
        <w:t xml:space="preserve">☐ Zero and blank costs: none unless intended and explained. In EBS, an item with no pending cost defined is skipped by the update, and an item with a pending cost of zero is updated to zero.</w:t>
      </w:r>
    </w:p>
    <w:p>
      <w:pPr>
        <w:numPr>
          <w:ilvl w:val="0"/>
          <w:numId w:val="1007"/>
        </w:numPr>
        <w:pStyle w:val="Compact"/>
      </w:pPr>
      <w:r>
        <w:t xml:space="preserve">☐ Hand check: recompute 5 items from the source data, including one per import country.</w:t>
      </w:r>
    </w:p>
    <w:p>
      <w:pPr>
        <w:numPr>
          <w:ilvl w:val="0"/>
          <w:numId w:val="1007"/>
        </w:numPr>
        <w:pStyle w:val="Compact"/>
      </w:pPr>
      <w:r>
        <w:t xml:space="preserve">☐ Per item, new total cost = current total cost + the sum of the component changes. Any other difference is an exception.</w:t>
      </w:r>
    </w:p>
    <w:p>
      <w:pPr>
        <w:numPr>
          <w:ilvl w:val="0"/>
          <w:numId w:val="1007"/>
        </w:numPr>
        <w:pStyle w:val="Compact"/>
      </w:pPr>
      <w:r>
        <w:t xml:space="preserve">☐ Threshold review: every item over [COMPANY: % threshold] change per unit, or over [COMPANY: $ threshold] annual impact (change per unit x annual quantity), has a driver: purchase price, duty rate, tariff action, freight, FX, unit of measure, or data correction.</w:t>
      </w:r>
    </w:p>
    <w:p>
      <w:pPr>
        <w:numPr>
          <w:ilvl w:val="0"/>
          <w:numId w:val="1007"/>
        </w:numPr>
        <w:pStyle w:val="Compact"/>
      </w:pPr>
      <w:r>
        <w:t xml:space="preserve">☐ Top movers: the top 20 items by annual $ impact and the top 20 by % change are explained in one line each.</w:t>
      </w:r>
    </w:p>
    <w:p>
      <w:pPr>
        <w:numPr>
          <w:ilvl w:val="0"/>
          <w:numId w:val="1007"/>
        </w:numPr>
        <w:pStyle w:val="Compact"/>
      </w:pPr>
      <w:r>
        <w:t xml:space="preserve">☐ Reasonableness: duty as % of landed cost by origin and product category, compared with the last cycle. Investigate any group that moved more than [COMPANY: tolerance] without a known tariff action.</w:t>
      </w:r>
    </w:p>
    <w:p>
      <w:pPr>
        <w:numPr>
          <w:ilvl w:val="0"/>
          <w:numId w:val="1007"/>
        </w:numPr>
        <w:pStyle w:val="Compact"/>
      </w:pPr>
      <w:r>
        <w:t xml:space="preserve">☐ Red flags: an item whose HTS carries an additional duty in a checked brief but shows no additional duty; a preferential rate without a current certification; duty on an item that is duty-free; a cost change on an item with no input change.</w:t>
      </w:r>
    </w:p>
    <w:p>
      <w:pPr>
        <w:numPr>
          <w:ilvl w:val="0"/>
          <w:numId w:val="1007"/>
        </w:numPr>
        <w:pStyle w:val="Compact"/>
      </w:pPr>
      <w:r>
        <w:t xml:space="preserve">☐ Inventory revaluation estimate: sum of (new standard minus current standard) x on-hand and in-transit quantity, by organization. Finance needs this before approving.</w:t>
      </w:r>
    </w:p>
    <w:p>
      <w:pPr>
        <w:numPr>
          <w:ilvl w:val="0"/>
          <w:numId w:val="1007"/>
        </w:numPr>
        <w:pStyle w:val="Compact"/>
      </w:pPr>
      <w:r>
        <w:t xml:space="preserve">☐ Tie the tariff-driven items to the Tariff-Impact Model totals.</w:t>
      </w:r>
    </w:p>
    <w:p>
      <w:pPr>
        <w:numPr>
          <w:ilvl w:val="0"/>
          <w:numId w:val="1007"/>
        </w:numPr>
        <w:pStyle w:val="Compact"/>
      </w:pPr>
      <w:r>
        <w:t xml:space="preserve">☐ Exception list complete: every flag above is either fixed or explained.</w:t>
      </w:r>
    </w:p>
    <w:bookmarkEnd w:id="28"/>
    <w:bookmarkStart w:id="29" w:name="Xbd7d2d3cab231a5b1ae9a7afcb1144913b9c2fd"/>
    <w:p>
      <w:pPr>
        <w:pStyle w:val="Heading2"/>
      </w:pPr>
      <w:r>
        <w:t xml:space="preserve">Phase 5: Maker-checker review and Finance approval (T-10 to T-5)</w:t>
      </w:r>
    </w:p>
    <w:p>
      <w:pPr>
        <w:numPr>
          <w:ilvl w:val="0"/>
          <w:numId w:val="1008"/>
        </w:numPr>
        <w:pStyle w:val="Compact"/>
      </w:pPr>
      <w:r>
        <w:t xml:space="preserve">☐ Maker sends the review pack: this checklist, input pack, cost file candidate, exception list, top movers, override log, revaluation estimate, list of briefs used.</w:t>
      </w:r>
    </w:p>
    <w:p>
      <w:pPr>
        <w:numPr>
          <w:ilvl w:val="0"/>
          <w:numId w:val="1008"/>
        </w:numPr>
        <w:pStyle w:val="Compact"/>
      </w:pPr>
      <w:r>
        <w:t xml:space="preserve">☐ Checker (Manager; Senior for duty-rate or classification questions) traces 10 items to source, including 5 top movers and at least one item per import country.</w:t>
      </w:r>
    </w:p>
    <w:p>
      <w:pPr>
        <w:numPr>
          <w:ilvl w:val="0"/>
          <w:numId w:val="1008"/>
        </w:numPr>
        <w:pStyle w:val="Compact"/>
      </w:pPr>
      <w:r>
        <w:t xml:space="preserve">☐ Checker confirms every brief used is a checked version and its rates and dates match the cost file.</w:t>
      </w:r>
    </w:p>
    <w:p>
      <w:pPr>
        <w:numPr>
          <w:ilvl w:val="0"/>
          <w:numId w:val="1008"/>
        </w:numPr>
        <w:pStyle w:val="Compact"/>
      </w:pPr>
      <w:r>
        <w:t xml:space="preserve">☐ Checker reviews the threshold explanations, override log and formula integrity.</w:t>
      </w:r>
    </w:p>
    <w:p>
      <w:pPr>
        <w:numPr>
          <w:ilvl w:val="0"/>
          <w:numId w:val="1008"/>
        </w:numPr>
        <w:pStyle w:val="Compact"/>
      </w:pPr>
      <w:r>
        <w:t xml:space="preserve">☐ Findings logged on Jira, fixed by the maker, re-checked. Checker records name, date, version reviewed and findings.</w:t>
      </w:r>
    </w:p>
    <w:p>
      <w:pPr>
        <w:numPr>
          <w:ilvl w:val="0"/>
          <w:numId w:val="1008"/>
        </w:numPr>
        <w:pStyle w:val="Compact"/>
      </w:pPr>
      <w:r>
        <w:t xml:space="preserve">☐ Finance approval: [COMPANY: Finance approver] approves the cost changes and the revaluation estimate in writing, before any load.</w:t>
      </w:r>
    </w:p>
    <w:p>
      <w:pPr>
        <w:numPr>
          <w:ilvl w:val="0"/>
          <w:numId w:val="1008"/>
        </w:numPr>
        <w:pStyle w:val="Compact"/>
      </w:pPr>
      <w:r>
        <w:t xml:space="preserve">☐ Lock the approved file (read-only, version in the file name). Any later change is a new version with a new review and approval.</w:t>
      </w:r>
    </w:p>
    <w:bookmarkEnd w:id="29"/>
    <w:bookmarkStart w:id="30" w:name="X6baf319920cd5919988443e7208ff7bef772bee"/>
    <w:p>
      <w:pPr>
        <w:pStyle w:val="Heading2"/>
      </w:pPr>
      <w:r>
        <w:t xml:space="preserve">Phase 6: Load to Oracle and run the update (T-3 to T)</w:t>
      </w:r>
    </w:p>
    <w:p>
      <w:pPr>
        <w:pStyle w:val="FirstParagraph"/>
      </w:pPr>
      <w:r>
        <w:t xml:space="preserve">Method: [COMPANY: load method]. Product: Oracle EBS. Steps differ by product and release, so follow [COMPANY: Oracle cost update work instruction] where it differs.</w:t>
      </w:r>
    </w:p>
    <w:p>
      <w:pPr>
        <w:numPr>
          <w:ilvl w:val="0"/>
          <w:numId w:val="1009"/>
        </w:numPr>
        <w:pStyle w:val="Compact"/>
      </w:pPr>
      <w:r>
        <w:t xml:space="preserve">☐ The pending cost type (EBS) or cost scenario (Fusion) holds the complete new cost for every item in scope: every cost element and sub-element, not only the changed duty or landed-cost sub-elements. In EBS the update replaces the item's whole Frozen cost with its pending cost, so a duty-only file would wipe the other elements: copy the current Frozen costs into the pending cost type first ([COMPANY: copy method]), then apply the changes. Confirm with Finance how items with no pending cost are treated (the cost type's default cost type).</w:t>
      </w:r>
    </w:p>
    <w:p>
      <w:pPr>
        <w:numPr>
          <w:ilvl w:val="0"/>
          <w:numId w:val="1009"/>
        </w:numPr>
        <w:pStyle w:val="Compact"/>
      </w:pPr>
      <w:r>
        <w:t xml:space="preserve">☐ Load the approved file into [COMPANY: pending cost type (EBS) or cost scenario (Fusion)], never straight into the live standard.</w:t>
      </w:r>
    </w:p>
    <w:p>
      <w:pPr>
        <w:numPr>
          <w:ilvl w:val="0"/>
          <w:numId w:val="1009"/>
        </w:numPr>
        <w:pStyle w:val="Compact"/>
      </w:pPr>
      <w:r>
        <w:t xml:space="preserve">☐ Check the load log: rows loaded = rows in the approved file; rejects are zero or fixed and re-checked.</w:t>
      </w:r>
    </w:p>
    <w:p>
      <w:pPr>
        <w:numPr>
          <w:ilvl w:val="0"/>
          <w:numId w:val="1009"/>
        </w:numPr>
        <w:pStyle w:val="Compact"/>
      </w:pPr>
      <w:r>
        <w:t xml:space="preserve">☐ Simulate before updating. EBS: run Report Pending Adjustments, which produces the inventory, intransit and WIP standard cost adjustment reports without posting. Fusion: compare the scenario's standard costs with the current published costs (and the inventory impact view, where your release has it).</w:t>
      </w:r>
    </w:p>
    <w:p>
      <w:pPr>
        <w:numPr>
          <w:ilvl w:val="0"/>
          <w:numId w:val="1009"/>
        </w:numPr>
        <w:pStyle w:val="Compact"/>
      </w:pPr>
      <w:r>
        <w:t xml:space="preserve">☐ Compare the simulated revaluation with the Phase 4 estimate. Explain any difference; Finance confirms.</w:t>
      </w:r>
    </w:p>
    <w:p>
      <w:pPr>
        <w:numPr>
          <w:ilvl w:val="0"/>
          <w:numId w:val="1009"/>
        </w:numPr>
        <w:pStyle w:val="Compact"/>
      </w:pPr>
      <w:r>
        <w:t xml:space="preserve">☐ Run the update at the agreed time. EBS: Update Standard Costs from the pending cost type to Frozen. Fusion: run the update or publish step for the cost scenario with the agreed effective date. Done by [COMPANY: who runs the update], with Finance informed.</w:t>
      </w:r>
    </w:p>
    <w:p>
      <w:pPr>
        <w:numPr>
          <w:ilvl w:val="0"/>
          <w:numId w:val="1009"/>
        </w:numPr>
        <w:pStyle w:val="Compact"/>
      </w:pPr>
      <w:r>
        <w:t xml:space="preserve">☐ Save the update output and adjustment reports to the cycle folder.</w:t>
      </w:r>
    </w:p>
    <w:p>
      <w:pPr>
        <w:numPr>
          <w:ilvl w:val="0"/>
          <w:numId w:val="1009"/>
        </w:numPr>
        <w:pStyle w:val="Compact"/>
      </w:pPr>
      <w:r>
        <w:t xml:space="preserve">☐ Know the correction path before you start: in Fusion a published scenario cannot be unpublished once its costs are used in transactions (an Undo Cost Update task exists for unintended updates); in EBS a correction normally means another cost update. Agree the path with Finance in advance.</w:t>
      </w:r>
    </w:p>
    <w:bookmarkEnd w:id="30"/>
    <w:bookmarkStart w:id="31" w:name="phase-7-post-load-verification-t-to-t1"/>
    <w:p>
      <w:pPr>
        <w:pStyle w:val="Heading2"/>
      </w:pPr>
      <w:r>
        <w:t xml:space="preserve">Phase 7: Post-load verification (T to T+1)</w:t>
      </w:r>
    </w:p>
    <w:p>
      <w:pPr>
        <w:numPr>
          <w:ilvl w:val="0"/>
          <w:numId w:val="1010"/>
        </w:numPr>
        <w:pStyle w:val="Compact"/>
      </w:pPr>
      <w:r>
        <w:t xml:space="preserve">☐ 100% compare by query: Oracle's new standard costs against the approved file, by item, organization and cost element. Zero unexplained differences. Do not rely on sampling.</w:t>
      </w:r>
    </w:p>
    <w:p>
      <w:pPr>
        <w:numPr>
          <w:ilvl w:val="0"/>
          <w:numId w:val="1010"/>
        </w:numPr>
        <w:pStyle w:val="Compact"/>
      </w:pPr>
      <w:r>
        <w:t xml:space="preserve">☐ Items outside the scope did not change (compare before and after snapshots).</w:t>
      </w:r>
    </w:p>
    <w:p>
      <w:pPr>
        <w:numPr>
          <w:ilvl w:val="0"/>
          <w:numId w:val="1010"/>
        </w:numPr>
        <w:pStyle w:val="Compact"/>
      </w:pPr>
      <w:r>
        <w:t xml:space="preserve">☐ The posted adjustment total equals the simulated total, or the difference is explained.</w:t>
      </w:r>
    </w:p>
    <w:p>
      <w:pPr>
        <w:numPr>
          <w:ilvl w:val="0"/>
          <w:numId w:val="1010"/>
        </w:numPr>
        <w:pStyle w:val="Compact"/>
      </w:pPr>
      <w:r>
        <w:t xml:space="preserve">☐ Spot-check 5 items on the Oracle cost screens, including the top mover.</w:t>
      </w:r>
    </w:p>
    <w:p>
      <w:pPr>
        <w:numPr>
          <w:ilvl w:val="0"/>
          <w:numId w:val="1010"/>
        </w:numPr>
        <w:pStyle w:val="Compact"/>
      </w:pPr>
      <w:r>
        <w:t xml:space="preserve">☐ Rate tables in [COMPANY: name of std-cost tool] carry the new rates with the right effective dates; old rows end-dated.</w:t>
      </w:r>
    </w:p>
    <w:p>
      <w:pPr>
        <w:numPr>
          <w:ilvl w:val="0"/>
          <w:numId w:val="1010"/>
        </w:numPr>
        <w:pStyle w:val="Compact"/>
      </w:pPr>
      <w:r>
        <w:t xml:space="preserve">☐ Watch the first receipts and broker invoices after T (T+5 to T+10): the duty and freight variance on the top movers should be close to zero unless the price, duty or freight actually paid differs from the new standard. Where it shows depends on the setting "How duty reaches item cost and variance": PPV at receipt when duty comes in through landed cost charges, or absorption versus actual duty ([COMPANY: duty account]) when duty is a material overhead absorbed at standard. Explain any surprises.</w:t>
      </w:r>
    </w:p>
    <w:bookmarkEnd w:id="31"/>
    <w:bookmarkStart w:id="32" w:name="phase-8-communicate-t1-to-t2"/>
    <w:p>
      <w:pPr>
        <w:pStyle w:val="Heading2"/>
      </w:pPr>
      <w:r>
        <w:t xml:space="preserve">Phase 8: Communicate (T+1 to T+2)</w:t>
      </w:r>
    </w:p>
    <w:p>
      <w:pPr>
        <w:numPr>
          <w:ilvl w:val="0"/>
          <w:numId w:val="1011"/>
        </w:numPr>
        <w:pStyle w:val="Compact"/>
      </w:pPr>
      <w:r>
        <w:t xml:space="preserve">☐ Finance: revaluation by organization, adjustment report reference, exceptions, anything deferred to the next cycle.</w:t>
      </w:r>
    </w:p>
    <w:p>
      <w:pPr>
        <w:numPr>
          <w:ilvl w:val="0"/>
          <w:numId w:val="1011"/>
        </w:numPr>
        <w:pStyle w:val="Compact"/>
      </w:pPr>
      <w:r>
        <w:t xml:space="preserve">☐ Pricing and Purchasing: top movers, tariff-driven changes with margin effect (from the Tariff-Impact Model), effective date, known limits.</w:t>
      </w:r>
    </w:p>
    <w:p>
      <w:pPr>
        <w:numPr>
          <w:ilvl w:val="0"/>
          <w:numId w:val="1011"/>
        </w:numPr>
        <w:pStyle w:val="Compact"/>
      </w:pPr>
      <w:r>
        <w:t xml:space="preserve">☐ Note that variances (PPV, or duty absorption versus actual, per the company setting) are now measured against the new standards, and which items will show variance for known reasons (for example in-transit goods still entering at the old duty rate).</w:t>
      </w:r>
    </w:p>
    <w:p>
      <w:pPr>
        <w:numPr>
          <w:ilvl w:val="0"/>
          <w:numId w:val="1011"/>
        </w:numPr>
        <w:pStyle w:val="Compact"/>
      </w:pPr>
      <w:r>
        <w:t xml:space="preserve">☐ The Manager approves any message to the business before it is sent.</w:t>
      </w:r>
    </w:p>
    <w:p>
      <w:pPr>
        <w:numPr>
          <w:ilvl w:val="0"/>
          <w:numId w:val="1011"/>
        </w:numPr>
        <w:pStyle w:val="Compact"/>
      </w:pPr>
      <w:r>
        <w:t xml:space="preserve">☐ Team: SOP updates, new Anki cards (</w:t>
      </w:r>
      <w:r>
        <w:rPr>
          <w:rStyle w:val="VerbatimChar"/>
        </w:rPr>
        <w:t xml:space="preserve">docs/templates/knowledge/anki-card-writing-guide.md</w:t>
      </w:r>
      <w:r>
        <w:t xml:space="preserve">), lessons learned.</w:t>
      </w:r>
    </w:p>
    <w:bookmarkEnd w:id="32"/>
    <w:bookmarkStart w:id="33" w:name="phase-9-archive-evidence-by-t5"/>
    <w:p>
      <w:pPr>
        <w:pStyle w:val="Heading2"/>
      </w:pPr>
      <w:r>
        <w:t xml:space="preserve">Phase 9: Archive evidence (by T+5)</w:t>
      </w:r>
    </w:p>
    <w:p>
      <w:pPr>
        <w:numPr>
          <w:ilvl w:val="0"/>
          <w:numId w:val="1012"/>
        </w:numPr>
        <w:pStyle w:val="Compact"/>
      </w:pPr>
      <w:r>
        <w:t xml:space="preserve">☐ The cycle folder holds: this completed checklist; input pack with extract timestamps; briefs used (with versions); approved cost file; exception and override logs; checker sign-off; Finance approval; load log; simulation and update reports; post-load compare; communications sent.</w:t>
      </w:r>
    </w:p>
    <w:p>
      <w:pPr>
        <w:numPr>
          <w:ilvl w:val="0"/>
          <w:numId w:val="1012"/>
        </w:numPr>
        <w:pStyle w:val="Compact"/>
      </w:pPr>
      <w:r>
        <w:t xml:space="preserve">☐ The Jira epic links the folder; every story is Done; follow-ups are new issues.</w:t>
      </w:r>
    </w:p>
    <w:p>
      <w:pPr>
        <w:numPr>
          <w:ilvl w:val="0"/>
          <w:numId w:val="1012"/>
        </w:numPr>
        <w:pStyle w:val="Compact"/>
      </w:pPr>
      <w:r>
        <w:t xml:space="preserve">☐ Retention follows [COMPANY: records retention schedule].</w:t>
      </w:r>
    </w:p>
    <w:p>
      <w:pPr>
        <w:numPr>
          <w:ilvl w:val="0"/>
          <w:numId w:val="1012"/>
        </w:numPr>
        <w:pStyle w:val="Compact"/>
      </w:pPr>
      <w:r>
        <w:t xml:space="preserve">☐ For a cycle with problems, write a closeout (</w:t>
      </w:r>
      <w:r>
        <w:rPr>
          <w:rStyle w:val="VerbatimChar"/>
        </w:rPr>
        <w:t xml:space="preserve">docs/templates/bsa/08-project-closeout.md</w:t>
      </w:r>
      <w:r>
        <w:t xml:space="preserve">).</w:t>
      </w:r>
    </w:p>
    <w:bookmarkEnd w:id="33"/>
    <w:bookmarkStart w:id="34" w:name="raci"/>
    <w:p>
      <w:pPr>
        <w:pStyle w:val="Heading2"/>
      </w:pPr>
      <w:r>
        <w:t xml:space="preserve">RACI</w:t>
      </w:r>
    </w:p>
    <w:p>
      <w:pPr>
        <w:pStyle w:val="FirstParagraph"/>
      </w:pPr>
      <w:r>
        <w:t xml:space="preserve">R = does the work, A = accountable (one per row), C = consulted, I = informed. Adjust the Oracle columns once [COMPANY: who loads and runs the update] is confirmed.</w:t>
      </w:r>
    </w:p>
    <w:tbl>
      <w:tblPr>
        <w:tblStyle w:val="Table"/>
        <w:tblW w:type="dxa" w:w="9360"/>
        <w:tblLook w:firstRow="1" w:lastRow="0" w:firstColumn="0" w:lastColumn="0" w:noHBand="0" w:noVBand="0" w:val="0020"/>
        <w:jc w:val="start"/>
        <w:tblLayout w:type="fixed"/>
      </w:tblPr>
      <w:tblGrid>
        <w:gridCol w:w="3265"/>
        <w:gridCol w:w="1380"/>
        <w:gridCol w:w="1150"/>
        <w:gridCol w:w="1380"/>
        <w:gridCol w:w="1150"/>
        <w:gridCol w:w="1035"/>
      </w:tblGrid>
      <w:tr>
        <w:trPr>
          <w:tblHeader w:val="true"/>
        </w:trPr>
        <w:tc>
          <w:tcPr>
            <w:tcW w:w="3265" w:type="dxa"/>
          </w:tcPr>
          <w:p>
            <w:pPr>
              <w:pStyle w:val="Compact"/>
              <w:jc w:val="left"/>
            </w:pPr>
            <w:r>
              <w:t xml:space="preserve">Activity</w:t>
            </w:r>
          </w:p>
        </w:tc>
        <w:tc>
          <w:tcPr>
            <w:tcW w:w="1380" w:type="dxa"/>
          </w:tcPr>
          <w:p>
            <w:pPr>
              <w:pStyle w:val="Compact"/>
              <w:jc w:val="left"/>
            </w:pPr>
            <w:r>
              <w:t xml:space="preserve">Std Cost BSA (Hire B)</w:t>
            </w:r>
          </w:p>
        </w:tc>
        <w:tc>
          <w:tcPr>
            <w:tcW w:w="1150" w:type="dxa"/>
          </w:tcPr>
          <w:p>
            <w:pPr>
              <w:pStyle w:val="Compact"/>
              <w:jc w:val="left"/>
            </w:pPr>
            <w:r>
              <w:t xml:space="preserve">Checker (Manager or Senior)</w:t>
            </w:r>
          </w:p>
        </w:tc>
        <w:tc>
          <w:tcPr>
            <w:tcW w:w="1380" w:type="dxa"/>
          </w:tcPr>
          <w:p>
            <w:pPr>
              <w:pStyle w:val="Compact"/>
              <w:jc w:val="left"/>
            </w:pPr>
            <w:r>
              <w:t xml:space="preserve">Finance cost accounting</w:t>
            </w:r>
          </w:p>
        </w:tc>
        <w:tc>
          <w:tcPr>
            <w:tcW w:w="1150" w:type="dxa"/>
          </w:tcPr>
          <w:p>
            <w:pPr>
              <w:pStyle w:val="Compact"/>
              <w:jc w:val="left"/>
            </w:pPr>
            <w:r>
              <w:t xml:space="preserve">Research BSA (Hire A)</w:t>
            </w:r>
          </w:p>
        </w:tc>
        <w:tc>
          <w:tcPr>
            <w:tcW w:w="1035" w:type="dxa"/>
          </w:tcPr>
          <w:p>
            <w:pPr>
              <w:pStyle w:val="Compact"/>
              <w:jc w:val="left"/>
            </w:pPr>
            <w:r>
              <w:t xml:space="preserve">Oracle or IT support</w:t>
            </w:r>
          </w:p>
        </w:tc>
      </w:tr>
      <w:tr>
        <w:tc>
          <w:tcPr>
            <w:tcW w:w="3265" w:type="dxa"/>
          </w:tcPr>
          <w:p>
            <w:pPr>
              <w:pStyle w:val="Compact"/>
              <w:jc w:val="left"/>
            </w:pPr>
            <w:r>
              <w:t xml:space="preserve">Plan calendar and scope</w:t>
            </w:r>
          </w:p>
        </w:tc>
        <w:tc>
          <w:tcPr>
            <w:tcW w:w="1380" w:type="dxa"/>
          </w:tcPr>
          <w:p>
            <w:pPr>
              <w:pStyle w:val="Compact"/>
              <w:jc w:val="left"/>
            </w:pPr>
            <w:r>
              <w:t xml:space="preserve">R</w:t>
            </w:r>
          </w:p>
        </w:tc>
        <w:tc>
          <w:tcPr>
            <w:tcW w:w="1150" w:type="dxa"/>
          </w:tcPr>
          <w:p>
            <w:pPr>
              <w:pStyle w:val="Compact"/>
              <w:jc w:val="left"/>
            </w:pPr>
            <w:r>
              <w:t xml:space="preserve">C</w:t>
            </w:r>
          </w:p>
        </w:tc>
        <w:tc>
          <w:tcPr>
            <w:tcW w:w="1380" w:type="dxa"/>
          </w:tcPr>
          <w:p>
            <w:pPr>
              <w:pStyle w:val="Compact"/>
              <w:jc w:val="left"/>
            </w:pPr>
            <w:r>
              <w:t xml:space="preserve">A</w:t>
            </w:r>
          </w:p>
        </w:tc>
        <w:tc>
          <w:tcPr>
            <w:tcW w:w="1150" w:type="dxa"/>
          </w:tcPr>
          <w:p>
            <w:pPr>
              <w:pStyle w:val="Compact"/>
              <w:jc w:val="left"/>
            </w:pPr>
            <w:r>
              <w:t xml:space="preserve">I</w:t>
            </w:r>
          </w:p>
        </w:tc>
        <w:tc>
          <w:tcPr>
            <w:tcW w:w="1035" w:type="dxa"/>
          </w:tcPr>
          <w:p>
            <w:pPr>
              <w:pStyle w:val="Compact"/>
              <w:jc w:val="left"/>
            </w:pPr>
            <w:r>
              <w:t xml:space="preserve">C</w:t>
            </w:r>
          </w:p>
        </w:tc>
      </w:tr>
      <w:tr>
        <w:tc>
          <w:tcPr>
            <w:tcW w:w="3265" w:type="dxa"/>
          </w:tcPr>
          <w:p>
            <w:pPr>
              <w:pStyle w:val="Compact"/>
              <w:jc w:val="left"/>
            </w:pPr>
            <w:r>
              <w:t xml:space="preserve">Tariff-Impact Briefs for actions in the cycle</w:t>
            </w:r>
          </w:p>
        </w:tc>
        <w:tc>
          <w:tcPr>
            <w:tcW w:w="1380" w:type="dxa"/>
          </w:tcPr>
          <w:p>
            <w:pPr>
              <w:pStyle w:val="Compact"/>
              <w:jc w:val="left"/>
            </w:pPr>
            <w:r>
              <w:t xml:space="preserve">I</w:t>
            </w:r>
          </w:p>
        </w:tc>
        <w:tc>
          <w:tcPr>
            <w:tcW w:w="1150" w:type="dxa"/>
          </w:tcPr>
          <w:p>
            <w:pPr>
              <w:pStyle w:val="Compact"/>
              <w:jc w:val="left"/>
            </w:pPr>
            <w:r>
              <w:t xml:space="preserve">A (Senior checks)</w:t>
            </w:r>
          </w:p>
        </w:tc>
        <w:tc>
          <w:tcPr>
            <w:tcW w:w="1380" w:type="dxa"/>
          </w:tcPr>
          <w:p>
            <w:pPr>
              <w:pStyle w:val="Compact"/>
              <w:jc w:val="left"/>
            </w:pPr>
            <w:r>
              <w:t xml:space="preserve">I</w:t>
            </w:r>
          </w:p>
        </w:tc>
        <w:tc>
          <w:tcPr>
            <w:tcW w:w="1150" w:type="dxa"/>
          </w:tcPr>
          <w:p>
            <w:pPr>
              <w:pStyle w:val="Compact"/>
              <w:jc w:val="left"/>
            </w:pPr>
            <w:r>
              <w:t xml:space="preserve">R</w:t>
            </w:r>
          </w:p>
        </w:tc>
        <w:tc>
          <w:tcPr>
            <w:tcW w:w="1035" w:type="dxa"/>
          </w:tcPr>
          <w:p>
            <w:pPr>
              <w:pStyle w:val="Compact"/>
              <w:jc w:val="left"/>
            </w:pPr>
            <w:r>
              <w:t xml:space="preserve">none</w:t>
            </w:r>
          </w:p>
        </w:tc>
      </w:tr>
      <w:tr>
        <w:tc>
          <w:tcPr>
            <w:tcW w:w="3265" w:type="dxa"/>
          </w:tcPr>
          <w:p>
            <w:pPr>
              <w:pStyle w:val="Compact"/>
              <w:jc w:val="left"/>
            </w:pPr>
            <w:r>
              <w:t xml:space="preserve">Collect and freeze inputs</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C</w:t>
            </w:r>
          </w:p>
        </w:tc>
        <w:tc>
          <w:tcPr>
            <w:tcW w:w="1150" w:type="dxa"/>
          </w:tcPr>
          <w:p>
            <w:pPr>
              <w:pStyle w:val="Compact"/>
              <w:jc w:val="left"/>
            </w:pPr>
            <w:r>
              <w:t xml:space="preserve">C</w:t>
            </w:r>
          </w:p>
        </w:tc>
        <w:tc>
          <w:tcPr>
            <w:tcW w:w="1035" w:type="dxa"/>
          </w:tcPr>
          <w:p>
            <w:pPr>
              <w:pStyle w:val="Compact"/>
              <w:jc w:val="left"/>
            </w:pPr>
            <w:r>
              <w:t xml:space="preserve">C</w:t>
            </w:r>
          </w:p>
        </w:tc>
      </w:tr>
      <w:tr>
        <w:tc>
          <w:tcPr>
            <w:tcW w:w="3265" w:type="dxa"/>
          </w:tcPr>
          <w:p>
            <w:pPr>
              <w:pStyle w:val="Compact"/>
              <w:jc w:val="left"/>
            </w:pPr>
            <w:r>
              <w:t xml:space="preserve">Calculate and validate</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I</w:t>
            </w:r>
          </w:p>
        </w:tc>
        <w:tc>
          <w:tcPr>
            <w:tcW w:w="1150" w:type="dxa"/>
          </w:tcPr>
          <w:p>
            <w:pPr>
              <w:pStyle w:val="Compact"/>
              <w:jc w:val="left"/>
            </w:pPr>
            <w:r>
              <w:t xml:space="preserve">C</w:t>
            </w:r>
          </w:p>
        </w:tc>
        <w:tc>
          <w:tcPr>
            <w:tcW w:w="1035" w:type="dxa"/>
          </w:tcPr>
          <w:p>
            <w:pPr>
              <w:pStyle w:val="Compact"/>
              <w:jc w:val="left"/>
            </w:pPr>
            <w:r>
              <w:t xml:space="preserve">none</w:t>
            </w:r>
          </w:p>
        </w:tc>
      </w:tr>
      <w:tr>
        <w:tc>
          <w:tcPr>
            <w:tcW w:w="3265" w:type="dxa"/>
          </w:tcPr>
          <w:p>
            <w:pPr>
              <w:pStyle w:val="Compact"/>
              <w:jc w:val="left"/>
            </w:pPr>
            <w:r>
              <w:t xml:space="preserve">Maker-checker review</w:t>
            </w:r>
          </w:p>
        </w:tc>
        <w:tc>
          <w:tcPr>
            <w:tcW w:w="1380" w:type="dxa"/>
          </w:tcPr>
          <w:p>
            <w:pPr>
              <w:pStyle w:val="Compact"/>
              <w:jc w:val="left"/>
            </w:pPr>
            <w:r>
              <w:t xml:space="preserve">C</w:t>
            </w:r>
          </w:p>
        </w:tc>
        <w:tc>
          <w:tcPr>
            <w:tcW w:w="1150" w:type="dxa"/>
          </w:tcPr>
          <w:p>
            <w:pPr>
              <w:pStyle w:val="Compact"/>
              <w:jc w:val="left"/>
            </w:pPr>
            <w:r>
              <w:t xml:space="preserve">R and A</w:t>
            </w:r>
          </w:p>
        </w:tc>
        <w:tc>
          <w:tcPr>
            <w:tcW w:w="1380" w:type="dxa"/>
          </w:tcPr>
          <w:p>
            <w:pPr>
              <w:pStyle w:val="Compact"/>
              <w:jc w:val="left"/>
            </w:pPr>
            <w:r>
              <w:t xml:space="preserve">I</w:t>
            </w:r>
          </w:p>
        </w:tc>
        <w:tc>
          <w:tcPr>
            <w:tcW w:w="1150" w:type="dxa"/>
          </w:tcPr>
          <w:p>
            <w:pPr>
              <w:pStyle w:val="Compact"/>
              <w:jc w:val="left"/>
            </w:pPr>
            <w:r>
              <w:t xml:space="preserve">C</w:t>
            </w:r>
          </w:p>
        </w:tc>
        <w:tc>
          <w:tcPr>
            <w:tcW w:w="1035" w:type="dxa"/>
          </w:tcPr>
          <w:p>
            <w:pPr>
              <w:pStyle w:val="Compact"/>
              <w:jc w:val="left"/>
            </w:pPr>
            <w:r>
              <w:t xml:space="preserve">none</w:t>
            </w:r>
          </w:p>
        </w:tc>
      </w:tr>
      <w:tr>
        <w:tc>
          <w:tcPr>
            <w:tcW w:w="3265" w:type="dxa"/>
          </w:tcPr>
          <w:p>
            <w:pPr>
              <w:pStyle w:val="Compact"/>
              <w:jc w:val="left"/>
            </w:pPr>
            <w:r>
              <w:t xml:space="preserve">Approve cost changes and revaluation</w:t>
            </w:r>
          </w:p>
        </w:tc>
        <w:tc>
          <w:tcPr>
            <w:tcW w:w="1380" w:type="dxa"/>
          </w:tcPr>
          <w:p>
            <w:pPr>
              <w:pStyle w:val="Compact"/>
              <w:jc w:val="left"/>
            </w:pPr>
            <w:r>
              <w:t xml:space="preserve">C</w:t>
            </w:r>
          </w:p>
        </w:tc>
        <w:tc>
          <w:tcPr>
            <w:tcW w:w="1150" w:type="dxa"/>
          </w:tcPr>
          <w:p>
            <w:pPr>
              <w:pStyle w:val="Compact"/>
              <w:jc w:val="left"/>
            </w:pPr>
            <w:r>
              <w:t xml:space="preserve">C</w:t>
            </w:r>
          </w:p>
        </w:tc>
        <w:tc>
          <w:tcPr>
            <w:tcW w:w="1380" w:type="dxa"/>
          </w:tcPr>
          <w:p>
            <w:pPr>
              <w:pStyle w:val="Compact"/>
              <w:jc w:val="left"/>
            </w:pPr>
            <w:r>
              <w:t xml:space="preserve">R and A</w:t>
            </w:r>
          </w:p>
        </w:tc>
        <w:tc>
          <w:tcPr>
            <w:tcW w:w="1150" w:type="dxa"/>
          </w:tcPr>
          <w:p>
            <w:pPr>
              <w:pStyle w:val="Compact"/>
              <w:jc w:val="left"/>
            </w:pPr>
            <w:r>
              <w:t xml:space="preserve">none</w:t>
            </w:r>
          </w:p>
        </w:tc>
        <w:tc>
          <w:tcPr>
            <w:tcW w:w="1035" w:type="dxa"/>
          </w:tcPr>
          <w:p>
            <w:pPr>
              <w:pStyle w:val="Compact"/>
              <w:jc w:val="left"/>
            </w:pPr>
            <w:r>
              <w:t xml:space="preserve">I</w:t>
            </w:r>
          </w:p>
        </w:tc>
      </w:tr>
      <w:tr>
        <w:tc>
          <w:tcPr>
            <w:tcW w:w="3265" w:type="dxa"/>
          </w:tcPr>
          <w:p>
            <w:pPr>
              <w:pStyle w:val="Compact"/>
              <w:jc w:val="left"/>
            </w:pPr>
            <w:r>
              <w:t xml:space="preserve">Load pending costs and simulate</w:t>
            </w:r>
          </w:p>
        </w:tc>
        <w:tc>
          <w:tcPr>
            <w:tcW w:w="1380" w:type="dxa"/>
          </w:tcPr>
          <w:p>
            <w:pPr>
              <w:pStyle w:val="Compact"/>
              <w:jc w:val="left"/>
            </w:pPr>
            <w:r>
              <w:t xml:space="preserve">C (verifies)</w:t>
            </w:r>
          </w:p>
        </w:tc>
        <w:tc>
          <w:tcPr>
            <w:tcW w:w="1150" w:type="dxa"/>
          </w:tcPr>
          <w:p>
            <w:pPr>
              <w:pStyle w:val="Compact"/>
              <w:jc w:val="left"/>
            </w:pPr>
            <w:r>
              <w:t xml:space="preserve">I</w:t>
            </w:r>
          </w:p>
        </w:tc>
        <w:tc>
          <w:tcPr>
            <w:tcW w:w="1380" w:type="dxa"/>
          </w:tcPr>
          <w:p>
            <w:pPr>
              <w:pStyle w:val="Compact"/>
              <w:jc w:val="left"/>
            </w:pPr>
            <w:r>
              <w:t xml:space="preserve">A</w:t>
            </w:r>
          </w:p>
        </w:tc>
        <w:tc>
          <w:tcPr>
            <w:tcW w:w="1150" w:type="dxa"/>
          </w:tcPr>
          <w:p>
            <w:pPr>
              <w:pStyle w:val="Compact"/>
              <w:jc w:val="left"/>
            </w:pPr>
            <w:r>
              <w:t xml:space="preserve">none</w:t>
            </w:r>
          </w:p>
        </w:tc>
        <w:tc>
          <w:tcPr>
            <w:tcW w:w="1035" w:type="dxa"/>
          </w:tcPr>
          <w:p>
            <w:pPr>
              <w:pStyle w:val="Compact"/>
              <w:jc w:val="left"/>
            </w:pPr>
            <w:r>
              <w:t xml:space="preserve">R</w:t>
            </w:r>
          </w:p>
        </w:tc>
      </w:tr>
      <w:tr>
        <w:tc>
          <w:tcPr>
            <w:tcW w:w="3265" w:type="dxa"/>
          </w:tcPr>
          <w:p>
            <w:pPr>
              <w:pStyle w:val="Compact"/>
              <w:jc w:val="left"/>
            </w:pPr>
            <w:r>
              <w:t xml:space="preserve">Run the cost update</w:t>
            </w:r>
          </w:p>
        </w:tc>
        <w:tc>
          <w:tcPr>
            <w:tcW w:w="1380" w:type="dxa"/>
          </w:tcPr>
          <w:p>
            <w:pPr>
              <w:pStyle w:val="Compact"/>
              <w:jc w:val="left"/>
            </w:pPr>
            <w:r>
              <w:t xml:space="preserve">C</w:t>
            </w:r>
          </w:p>
        </w:tc>
        <w:tc>
          <w:tcPr>
            <w:tcW w:w="1150" w:type="dxa"/>
          </w:tcPr>
          <w:p>
            <w:pPr>
              <w:pStyle w:val="Compact"/>
              <w:jc w:val="left"/>
            </w:pPr>
            <w:r>
              <w:t xml:space="preserve">I</w:t>
            </w:r>
          </w:p>
        </w:tc>
        <w:tc>
          <w:tcPr>
            <w:tcW w:w="1380" w:type="dxa"/>
          </w:tcPr>
          <w:p>
            <w:pPr>
              <w:pStyle w:val="Compact"/>
              <w:jc w:val="left"/>
            </w:pPr>
            <w:r>
              <w:t xml:space="preserve">R and A</w:t>
            </w:r>
          </w:p>
        </w:tc>
        <w:tc>
          <w:tcPr>
            <w:tcW w:w="1150" w:type="dxa"/>
          </w:tcPr>
          <w:p>
            <w:pPr>
              <w:pStyle w:val="Compact"/>
              <w:jc w:val="left"/>
            </w:pPr>
            <w:r>
              <w:t xml:space="preserve">none</w:t>
            </w:r>
          </w:p>
        </w:tc>
        <w:tc>
          <w:tcPr>
            <w:tcW w:w="1035" w:type="dxa"/>
          </w:tcPr>
          <w:p>
            <w:pPr>
              <w:pStyle w:val="Compact"/>
              <w:jc w:val="left"/>
            </w:pPr>
            <w:r>
              <w:t xml:space="preserve">C</w:t>
            </w:r>
          </w:p>
        </w:tc>
      </w:tr>
      <w:tr>
        <w:tc>
          <w:tcPr>
            <w:tcW w:w="3265" w:type="dxa"/>
          </w:tcPr>
          <w:p>
            <w:pPr>
              <w:pStyle w:val="Compact"/>
              <w:jc w:val="left"/>
            </w:pPr>
            <w:r>
              <w:t xml:space="preserve">Post-load verification</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C</w:t>
            </w:r>
          </w:p>
        </w:tc>
        <w:tc>
          <w:tcPr>
            <w:tcW w:w="1150" w:type="dxa"/>
          </w:tcPr>
          <w:p>
            <w:pPr>
              <w:pStyle w:val="Compact"/>
              <w:jc w:val="left"/>
            </w:pPr>
            <w:r>
              <w:t xml:space="preserve">none</w:t>
            </w:r>
          </w:p>
        </w:tc>
        <w:tc>
          <w:tcPr>
            <w:tcW w:w="1035" w:type="dxa"/>
          </w:tcPr>
          <w:p>
            <w:pPr>
              <w:pStyle w:val="Compact"/>
              <w:jc w:val="left"/>
            </w:pPr>
            <w:r>
              <w:t xml:space="preserve">C</w:t>
            </w:r>
          </w:p>
        </w:tc>
      </w:tr>
      <w:tr>
        <w:tc>
          <w:tcPr>
            <w:tcW w:w="3265" w:type="dxa"/>
          </w:tcPr>
          <w:p>
            <w:pPr>
              <w:pStyle w:val="Compact"/>
              <w:jc w:val="left"/>
            </w:pPr>
            <w:r>
              <w:t xml:space="preserve">Communicate to Finance and the business</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C</w:t>
            </w:r>
          </w:p>
        </w:tc>
        <w:tc>
          <w:tcPr>
            <w:tcW w:w="1150" w:type="dxa"/>
          </w:tcPr>
          <w:p>
            <w:pPr>
              <w:pStyle w:val="Compact"/>
              <w:jc w:val="left"/>
            </w:pPr>
            <w:r>
              <w:t xml:space="preserve">I</w:t>
            </w:r>
          </w:p>
        </w:tc>
        <w:tc>
          <w:tcPr>
            <w:tcW w:w="1035" w:type="dxa"/>
          </w:tcPr>
          <w:p>
            <w:pPr>
              <w:pStyle w:val="Compact"/>
              <w:jc w:val="left"/>
            </w:pPr>
            <w:r>
              <w:t xml:space="preserve">none</w:t>
            </w:r>
          </w:p>
        </w:tc>
      </w:tr>
      <w:tr>
        <w:tc>
          <w:tcPr>
            <w:tcW w:w="3265" w:type="dxa"/>
          </w:tcPr>
          <w:p>
            <w:pPr>
              <w:pStyle w:val="Compact"/>
              <w:jc w:val="left"/>
            </w:pPr>
            <w:r>
              <w:t xml:space="preserve">Archive evidence</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I</w:t>
            </w:r>
          </w:p>
        </w:tc>
        <w:tc>
          <w:tcPr>
            <w:tcW w:w="1150" w:type="dxa"/>
          </w:tcPr>
          <w:p>
            <w:pPr>
              <w:pStyle w:val="Compact"/>
              <w:jc w:val="left"/>
            </w:pPr>
            <w:r>
              <w:t xml:space="preserve">none</w:t>
            </w:r>
          </w:p>
        </w:tc>
        <w:tc>
          <w:tcPr>
            <w:tcW w:w="1035" w:type="dxa"/>
          </w:tcPr>
          <w:p>
            <w:pPr>
              <w:pStyle w:val="Compact"/>
              <w:jc w:val="left"/>
            </w:pPr>
            <w:r>
              <w:t xml:space="preserve">none</w:t>
            </w:r>
          </w:p>
        </w:tc>
      </w:tr>
    </w:tbl>
    <w:bookmarkEnd w:id="34"/>
    <w:bookmarkStart w:id="35" w:name="common-errors-and-how-to-catch-them"/>
    <w:p>
      <w:pPr>
        <w:pStyle w:val="Heading2"/>
      </w:pPr>
      <w:r>
        <w:t xml:space="preserve">Common errors and how to catch them</w:t>
      </w:r>
    </w:p>
    <w:tbl>
      <w:tblPr>
        <w:tblStyle w:val="Table"/>
        <w:tblW w:type="dxa" w:w="9360"/>
        <w:tblLook w:firstRow="1" w:lastRow="0" w:firstColumn="0" w:lastColumn="0" w:noHBand="0" w:noVBand="0" w:val="0020"/>
        <w:jc w:val="start"/>
        <w:tblLayout w:type="fixed"/>
      </w:tblPr>
      <w:tblGrid>
        <w:gridCol w:w="2863"/>
        <w:gridCol w:w="2976"/>
        <w:gridCol w:w="3519"/>
      </w:tblGrid>
      <w:tr>
        <w:trPr>
          <w:tblHeader w:val="true"/>
        </w:trPr>
        <w:tc>
          <w:tcPr>
            <w:tcW w:w="2863" w:type="dxa"/>
          </w:tcPr>
          <w:p>
            <w:pPr>
              <w:pStyle w:val="Compact"/>
              <w:jc w:val="left"/>
            </w:pPr>
            <w:r>
              <w:t xml:space="preserve">Error</w:t>
            </w:r>
          </w:p>
        </w:tc>
        <w:tc>
          <w:tcPr>
            <w:tcW w:w="2976" w:type="dxa"/>
          </w:tcPr>
          <w:p>
            <w:pPr>
              <w:pStyle w:val="Compact"/>
              <w:jc w:val="left"/>
            </w:pPr>
            <w:r>
              <w:t xml:space="preserve">How it shows up</w:t>
            </w:r>
          </w:p>
        </w:tc>
        <w:tc>
          <w:tcPr>
            <w:tcW w:w="3519" w:type="dxa"/>
          </w:tcPr>
          <w:p>
            <w:pPr>
              <w:pStyle w:val="Compact"/>
              <w:jc w:val="left"/>
            </w:pPr>
            <w:r>
              <w:t xml:space="preserve">How to catch it</w:t>
            </w:r>
          </w:p>
        </w:tc>
      </w:tr>
      <w:tr>
        <w:tc>
          <w:tcPr>
            <w:tcW w:w="2863" w:type="dxa"/>
          </w:tcPr>
          <w:p>
            <w:pPr>
              <w:pStyle w:val="Compact"/>
              <w:jc w:val="left"/>
            </w:pPr>
            <w:r>
              <w:t xml:space="preserve">Duty applied to the wrong base (for example US duty on a value that includes international freight)</w:t>
            </w:r>
          </w:p>
        </w:tc>
        <w:tc>
          <w:tcPr>
            <w:tcW w:w="2976" w:type="dxa"/>
          </w:tcPr>
          <w:p>
            <w:pPr>
              <w:pStyle w:val="Compact"/>
              <w:jc w:val="left"/>
            </w:pPr>
            <w:r>
              <w:t xml:space="preserve">Duty a few percent too high on every item from one lane</w:t>
            </w:r>
          </w:p>
        </w:tc>
        <w:tc>
          <w:tcPr>
            <w:tcW w:w="3519" w:type="dxa"/>
          </w:tcPr>
          <w:p>
            <w:pPr>
              <w:pStyle w:val="Compact"/>
              <w:jc w:val="left"/>
            </w:pPr>
            <w:r>
              <w:t xml:space="preserve">Hand-check 5 items per import country against the duty base rules</w:t>
            </w:r>
          </w:p>
        </w:tc>
      </w:tr>
      <w:tr>
        <w:tc>
          <w:tcPr>
            <w:tcW w:w="2863" w:type="dxa"/>
          </w:tcPr>
          <w:p>
            <w:pPr>
              <w:pStyle w:val="Compact"/>
              <w:jc w:val="left"/>
            </w:pPr>
            <w:r>
              <w:t xml:space="preserve">Supplier or ship-from country used instead of country of origin</w:t>
            </w:r>
          </w:p>
        </w:tc>
        <w:tc>
          <w:tcPr>
            <w:tcW w:w="2976" w:type="dxa"/>
          </w:tcPr>
          <w:p>
            <w:pPr>
              <w:pStyle w:val="Compact"/>
              <w:jc w:val="left"/>
            </w:pPr>
            <w:r>
              <w:t xml:space="preserve">Wrong additional duties for whole supplier groups</w:t>
            </w:r>
          </w:p>
        </w:tc>
        <w:tc>
          <w:tcPr>
            <w:tcW w:w="3519" w:type="dxa"/>
          </w:tcPr>
          <w:p>
            <w:pPr>
              <w:pStyle w:val="Compact"/>
              <w:jc w:val="left"/>
            </w:pPr>
            <w:r>
              <w:t xml:space="preserve">Compare origin in the cost file with the classification master for every item covered by a brief</w:t>
            </w:r>
          </w:p>
        </w:tc>
      </w:tr>
      <w:tr>
        <w:tc>
          <w:tcPr>
            <w:tcW w:w="2863" w:type="dxa"/>
          </w:tcPr>
          <w:p>
            <w:pPr>
              <w:pStyle w:val="Compact"/>
              <w:jc w:val="left"/>
            </w:pPr>
            <w:r>
              <w:t xml:space="preserve">Additional duty missing or double-counted</w:t>
            </w:r>
          </w:p>
        </w:tc>
        <w:tc>
          <w:tcPr>
            <w:tcW w:w="2976" w:type="dxa"/>
          </w:tcPr>
          <w:p>
            <w:pPr>
              <w:pStyle w:val="Compact"/>
              <w:jc w:val="left"/>
            </w:pPr>
            <w:r>
              <w:t xml:space="preserve">Duty % of landed cost jumps or fails to move after an action</w:t>
            </w:r>
          </w:p>
        </w:tc>
        <w:tc>
          <w:tcPr>
            <w:tcW w:w="3519" w:type="dxa"/>
          </w:tcPr>
          <w:p>
            <w:pPr>
              <w:pStyle w:val="Compact"/>
              <w:jc w:val="left"/>
            </w:pPr>
            <w:r>
              <w:t xml:space="preserve">Tie tariff-driven items to the Tariff-Impact Model; check each brief's stacking result for 3 items</w:t>
            </w:r>
          </w:p>
        </w:tc>
      </w:tr>
      <w:tr>
        <w:tc>
          <w:tcPr>
            <w:tcW w:w="2863" w:type="dxa"/>
          </w:tcPr>
          <w:p>
            <w:pPr>
              <w:pStyle w:val="Compact"/>
              <w:jc w:val="left"/>
            </w:pPr>
            <w:r>
              <w:t xml:space="preserve">Rate used before its effective date, or after it ends</w:t>
            </w:r>
          </w:p>
        </w:tc>
        <w:tc>
          <w:tcPr>
            <w:tcW w:w="2976" w:type="dxa"/>
          </w:tcPr>
          <w:p>
            <w:pPr>
              <w:pStyle w:val="Compact"/>
              <w:jc w:val="left"/>
            </w:pPr>
            <w:r>
              <w:t xml:space="preserve">Standard includes a duty the receipts do not pay yet (or still pay)</w:t>
            </w:r>
          </w:p>
        </w:tc>
        <w:tc>
          <w:tcPr>
            <w:tcW w:w="3519" w:type="dxa"/>
          </w:tcPr>
          <w:p>
            <w:pPr>
              <w:pStyle w:val="Compact"/>
              <w:jc w:val="left"/>
            </w:pPr>
            <w:r>
              <w:t xml:space="preserve">Brief dates vs the cost-effective date, applied through [COMPANY: tariff action policy]</w:t>
            </w:r>
          </w:p>
        </w:tc>
      </w:tr>
      <w:tr>
        <w:tc>
          <w:tcPr>
            <w:tcW w:w="2863" w:type="dxa"/>
          </w:tcPr>
          <w:p>
            <w:pPr>
              <w:pStyle w:val="Compact"/>
              <w:jc w:val="left"/>
            </w:pPr>
            <w:r>
              <w:t xml:space="preserve">HTS leading zero lost in Excel (chapters 01 to 09)</w:t>
            </w:r>
          </w:p>
        </w:tc>
        <w:tc>
          <w:tcPr>
            <w:tcW w:w="2976" w:type="dxa"/>
          </w:tcPr>
          <w:p>
            <w:pPr>
              <w:pStyle w:val="Compact"/>
              <w:jc w:val="left"/>
            </w:pPr>
            <w:r>
              <w:t xml:space="preserve">Items do not match the rate table; duty shows as zero</w:t>
            </w:r>
          </w:p>
        </w:tc>
        <w:tc>
          <w:tcPr>
            <w:tcW w:w="3519" w:type="dxa"/>
          </w:tcPr>
          <w:p>
            <w:pPr>
              <w:pStyle w:val="Compact"/>
              <w:jc w:val="left"/>
            </w:pPr>
            <w:r>
              <w:t xml:space="preserve">Keep HTS as text; count matched vs unmatched rows; length check of 10 digits</w:t>
            </w:r>
          </w:p>
        </w:tc>
      </w:tr>
      <w:tr>
        <w:tc>
          <w:tcPr>
            <w:tcW w:w="2863" w:type="dxa"/>
          </w:tcPr>
          <w:p>
            <w:pPr>
              <w:pStyle w:val="Compact"/>
              <w:jc w:val="left"/>
            </w:pPr>
            <w:r>
              <w:t xml:space="preserve">Unit of measure mismatch</w:t>
            </w:r>
          </w:p>
        </w:tc>
        <w:tc>
          <w:tcPr>
            <w:tcW w:w="2976" w:type="dxa"/>
          </w:tcPr>
          <w:p>
            <w:pPr>
              <w:pStyle w:val="Compact"/>
              <w:jc w:val="left"/>
            </w:pPr>
            <w:r>
              <w:t xml:space="preserve">Cost per unit off by a pack size (x12, x100)</w:t>
            </w:r>
          </w:p>
        </w:tc>
        <w:tc>
          <w:tcPr>
            <w:tcW w:w="3519" w:type="dxa"/>
          </w:tcPr>
          <w:p>
            <w:pPr>
              <w:pStyle w:val="Compact"/>
              <w:jc w:val="left"/>
            </w:pPr>
            <w:r>
              <w:t xml:space="preserve">Top movers by %; compare price unit with Oracle primary unit</w:t>
            </w:r>
          </w:p>
        </w:tc>
      </w:tr>
      <w:tr>
        <w:tc>
          <w:tcPr>
            <w:tcW w:w="2863" w:type="dxa"/>
          </w:tcPr>
          <w:p>
            <w:pPr>
              <w:pStyle w:val="Compact"/>
              <w:jc w:val="left"/>
            </w:pPr>
            <w:r>
              <w:t xml:space="preserve">Wrong FX rate or date</w:t>
            </w:r>
          </w:p>
        </w:tc>
        <w:tc>
          <w:tcPr>
            <w:tcW w:w="2976" w:type="dxa"/>
          </w:tcPr>
          <w:p>
            <w:pPr>
              <w:pStyle w:val="Compact"/>
              <w:jc w:val="left"/>
            </w:pPr>
            <w:r>
              <w:t xml:space="preserve">Every item from one currency moves the same %</w:t>
            </w:r>
          </w:p>
        </w:tc>
        <w:tc>
          <w:tcPr>
            <w:tcW w:w="3519" w:type="dxa"/>
          </w:tcPr>
          <w:p>
            <w:pPr>
              <w:pStyle w:val="Compact"/>
              <w:jc w:val="left"/>
            </w:pPr>
            <w:r>
              <w:t xml:space="preserve">Reasonableness by currency; FX rate and date recorded in the input pack</w:t>
            </w:r>
          </w:p>
        </w:tc>
      </w:tr>
      <w:tr>
        <w:tc>
          <w:tcPr>
            <w:tcW w:w="2863" w:type="dxa"/>
          </w:tcPr>
          <w:p>
            <w:pPr>
              <w:pStyle w:val="Compact"/>
              <w:jc w:val="left"/>
            </w:pPr>
            <w:r>
              <w:t xml:space="preserve">USMCA rate without a current certification</w:t>
            </w:r>
          </w:p>
        </w:tc>
        <w:tc>
          <w:tcPr>
            <w:tcW w:w="2976" w:type="dxa"/>
          </w:tcPr>
          <w:p>
            <w:pPr>
              <w:pStyle w:val="Compact"/>
              <w:jc w:val="left"/>
            </w:pPr>
            <w:r>
              <w:t xml:space="preserve">Duty too low; compliance exposure</w:t>
            </w:r>
          </w:p>
        </w:tc>
        <w:tc>
          <w:tcPr>
            <w:tcW w:w="3519" w:type="dxa"/>
          </w:tcPr>
          <w:p>
            <w:pPr>
              <w:pStyle w:val="Compact"/>
              <w:jc w:val="left"/>
            </w:pPr>
            <w:r>
              <w:t xml:space="preserve">Join preference claims to certification expiry dates</w:t>
            </w:r>
          </w:p>
        </w:tc>
      </w:tr>
      <w:tr>
        <w:tc>
          <w:tcPr>
            <w:tcW w:w="2863" w:type="dxa"/>
          </w:tcPr>
          <w:p>
            <w:pPr>
              <w:pStyle w:val="Compact"/>
              <w:jc w:val="left"/>
            </w:pPr>
            <w:r>
              <w:t xml:space="preserve">Freight allocation basis changed silently</w:t>
            </w:r>
          </w:p>
        </w:tc>
        <w:tc>
          <w:tcPr>
            <w:tcW w:w="2976" w:type="dxa"/>
          </w:tcPr>
          <w:p>
            <w:pPr>
              <w:pStyle w:val="Compact"/>
              <w:jc w:val="left"/>
            </w:pPr>
            <w:r>
              <w:t xml:space="preserve">All items on a lane move with no rate change</w:t>
            </w:r>
          </w:p>
        </w:tc>
        <w:tc>
          <w:tcPr>
            <w:tcW w:w="3519" w:type="dxa"/>
          </w:tcPr>
          <w:p>
            <w:pPr>
              <w:pStyle w:val="Compact"/>
              <w:jc w:val="left"/>
            </w:pPr>
            <w:r>
              <w:t xml:space="preserve">Compare allocation basis with last cycle's input pack</w:t>
            </w:r>
          </w:p>
        </w:tc>
      </w:tr>
      <w:tr>
        <w:tc>
          <w:tcPr>
            <w:tcW w:w="2863" w:type="dxa"/>
          </w:tcPr>
          <w:p>
            <w:pPr>
              <w:pStyle w:val="Compact"/>
              <w:jc w:val="left"/>
            </w:pPr>
            <w:r>
              <w:t xml:space="preserve">Zero or blank pending cost</w:t>
            </w:r>
          </w:p>
        </w:tc>
        <w:tc>
          <w:tcPr>
            <w:tcW w:w="2976" w:type="dxa"/>
          </w:tcPr>
          <w:p>
            <w:pPr>
              <w:pStyle w:val="Compact"/>
              <w:jc w:val="left"/>
            </w:pPr>
            <w:r>
              <w:t xml:space="preserve">Item updated to zero, or skipped and left at the old cost</w:t>
            </w:r>
          </w:p>
        </w:tc>
        <w:tc>
          <w:tcPr>
            <w:tcW w:w="3519" w:type="dxa"/>
          </w:tcPr>
          <w:p>
            <w:pPr>
              <w:pStyle w:val="Compact"/>
              <w:jc w:val="left"/>
            </w:pPr>
            <w:r>
              <w:t xml:space="preserve">Zero and blank check in Phase 4; load log row count</w:t>
            </w:r>
          </w:p>
        </w:tc>
      </w:tr>
      <w:tr>
        <w:tc>
          <w:tcPr>
            <w:tcW w:w="2863" w:type="dxa"/>
          </w:tcPr>
          <w:p>
            <w:pPr>
              <w:pStyle w:val="Compact"/>
              <w:jc w:val="left"/>
            </w:pPr>
            <w:r>
              <w:t xml:space="preserve">Pending cost type holds only the changed duty sub-element</w:t>
            </w:r>
          </w:p>
        </w:tc>
        <w:tc>
          <w:tcPr>
            <w:tcW w:w="2976" w:type="dxa"/>
          </w:tcPr>
          <w:p>
            <w:pPr>
              <w:pStyle w:val="Compact"/>
              <w:jc w:val="left"/>
            </w:pPr>
            <w:r>
              <w:t xml:space="preserve">The item's standard drops to the duty amount at the update</w:t>
            </w:r>
          </w:p>
        </w:tc>
        <w:tc>
          <w:tcPr>
            <w:tcW w:w="3519" w:type="dxa"/>
          </w:tcPr>
          <w:p>
            <w:pPr>
              <w:pStyle w:val="Compact"/>
              <w:jc w:val="left"/>
            </w:pPr>
            <w:r>
              <w:t xml:space="preserve">Complete-cost check in Phase 6; simulation reviewed for large negative revaluations</w:t>
            </w:r>
          </w:p>
        </w:tc>
      </w:tr>
      <w:tr>
        <w:tc>
          <w:tcPr>
            <w:tcW w:w="2863" w:type="dxa"/>
          </w:tcPr>
          <w:p>
            <w:pPr>
              <w:pStyle w:val="Compact"/>
              <w:jc w:val="left"/>
            </w:pPr>
            <w:r>
              <w:t xml:space="preserve">Duty variance looked for in the wrong place</w:t>
            </w:r>
          </w:p>
        </w:tc>
        <w:tc>
          <w:tcPr>
            <w:tcW w:w="2976" w:type="dxa"/>
          </w:tcPr>
          <w:p>
            <w:pPr>
              <w:pStyle w:val="Compact"/>
              <w:jc w:val="left"/>
            </w:pPr>
            <w:r>
              <w:t xml:space="preserve">Variance explanation points at PPV when duty is absorbed as overhead, or the reverse</w:t>
            </w:r>
          </w:p>
        </w:tc>
        <w:tc>
          <w:tcPr>
            <w:tcW w:w="3519" w:type="dxa"/>
          </w:tcPr>
          <w:p>
            <w:pPr>
              <w:pStyle w:val="Compact"/>
              <w:jc w:val="left"/>
            </w:pPr>
            <w:r>
              <w:t xml:space="preserve">Company setting "How duty reaches item cost and variance"; Phase 7</w:t>
            </w:r>
          </w:p>
        </w:tc>
      </w:tr>
      <w:tr>
        <w:tc>
          <w:tcPr>
            <w:tcW w:w="2863" w:type="dxa"/>
          </w:tcPr>
          <w:p>
            <w:pPr>
              <w:pStyle w:val="Compact"/>
              <w:jc w:val="left"/>
            </w:pPr>
            <w:r>
              <w:t xml:space="preserve">MPF added to USMCA-claimed entries</w:t>
            </w:r>
          </w:p>
        </w:tc>
        <w:tc>
          <w:tcPr>
            <w:tcW w:w="2976" w:type="dxa"/>
          </w:tcPr>
          <w:p>
            <w:pPr>
              <w:pStyle w:val="Compact"/>
              <w:jc w:val="left"/>
            </w:pPr>
            <w:r>
              <w:t xml:space="preserve">Landed cost too high on qualifying Canada and Mexico items</w:t>
            </w:r>
          </w:p>
        </w:tc>
        <w:tc>
          <w:tcPr>
            <w:tcW w:w="3519" w:type="dxa"/>
          </w:tcPr>
          <w:p>
            <w:pPr>
              <w:pStyle w:val="Compact"/>
              <w:jc w:val="left"/>
            </w:pPr>
            <w:r>
              <w:t xml:space="preserve">Same certification check as the Preference row</w:t>
            </w:r>
          </w:p>
        </w:tc>
      </w:tr>
      <w:tr>
        <w:tc>
          <w:tcPr>
            <w:tcW w:w="2863" w:type="dxa"/>
          </w:tcPr>
          <w:p>
            <w:pPr>
              <w:pStyle w:val="Compact"/>
              <w:jc w:val="left"/>
            </w:pPr>
            <w:r>
              <w:t xml:space="preserve">Late input change after the freeze</w:t>
            </w:r>
          </w:p>
        </w:tc>
        <w:tc>
          <w:tcPr>
            <w:tcW w:w="2976" w:type="dxa"/>
          </w:tcPr>
          <w:p>
            <w:pPr>
              <w:pStyle w:val="Compact"/>
              <w:jc w:val="left"/>
            </w:pPr>
            <w:r>
              <w:t xml:space="preserve">File no longer matches what the checker reviewed</w:t>
            </w:r>
          </w:p>
        </w:tc>
        <w:tc>
          <w:tcPr>
            <w:tcW w:w="3519" w:type="dxa"/>
          </w:tcPr>
          <w:p>
            <w:pPr>
              <w:pStyle w:val="Compact"/>
              <w:jc w:val="left"/>
            </w:pPr>
            <w:r>
              <w:t xml:space="preserve">Read-only approved file; version in the file name; post-load 100% compare</w:t>
            </w:r>
          </w:p>
        </w:tc>
      </w:tr>
      <w:tr>
        <w:tc>
          <w:tcPr>
            <w:tcW w:w="2863" w:type="dxa"/>
          </w:tcPr>
          <w:p>
            <w:pPr>
              <w:pStyle w:val="Compact"/>
              <w:jc w:val="left"/>
            </w:pPr>
            <w:r>
              <w:t xml:space="preserve">Update run mid-period or in the wrong organization or cost type</w:t>
            </w:r>
          </w:p>
        </w:tc>
        <w:tc>
          <w:tcPr>
            <w:tcW w:w="2976" w:type="dxa"/>
          </w:tcPr>
          <w:p>
            <w:pPr>
              <w:pStyle w:val="Compact"/>
              <w:jc w:val="left"/>
            </w:pPr>
            <w:r>
              <w:t xml:space="preserve">Unexpected revaluation; costs on the wrong items</w:t>
            </w:r>
          </w:p>
        </w:tc>
        <w:tc>
          <w:tcPr>
            <w:tcW w:w="3519" w:type="dxa"/>
          </w:tcPr>
          <w:p>
            <w:pPr>
              <w:pStyle w:val="Compact"/>
              <w:jc w:val="left"/>
            </w:pPr>
            <w:r>
              <w:t xml:space="preserve">Simulation reviewed and Finance-approved before the update; run only in the agreed window</w:t>
            </w:r>
          </w:p>
        </w:tc>
      </w:tr>
      <w:tr>
        <w:tc>
          <w:tcPr>
            <w:tcW w:w="2863" w:type="dxa"/>
          </w:tcPr>
          <w:p>
            <w:pPr>
              <w:pStyle w:val="Compact"/>
              <w:jc w:val="left"/>
            </w:pPr>
            <w:r>
              <w:t xml:space="preserve">Recoverable taxes (GST, IVA) added to cost</w:t>
            </w:r>
          </w:p>
        </w:tc>
        <w:tc>
          <w:tcPr>
            <w:tcW w:w="2976" w:type="dxa"/>
          </w:tcPr>
          <w:p>
            <w:pPr>
              <w:pStyle w:val="Compact"/>
              <w:jc w:val="left"/>
            </w:pPr>
            <w:r>
              <w:t xml:space="preserve">Landed cost too high for Canada or Mexico items</w:t>
            </w:r>
          </w:p>
        </w:tc>
        <w:tc>
          <w:tcPr>
            <w:tcW w:w="3519" w:type="dxa"/>
          </w:tcPr>
          <w:p>
            <w:pPr>
              <w:pStyle w:val="Compact"/>
              <w:jc w:val="left"/>
            </w:pPr>
            <w:r>
              <w:t xml:space="preserve">Component list reviewed with Finance once a year</w:t>
            </w:r>
          </w:p>
        </w:tc>
      </w:tr>
      <w:tr>
        <w:tc>
          <w:tcPr>
            <w:tcW w:w="2863" w:type="dxa"/>
          </w:tcPr>
          <w:p>
            <w:pPr>
              <w:pStyle w:val="Compact"/>
              <w:jc w:val="left"/>
            </w:pPr>
            <w:r>
              <w:t xml:space="preserve">Typed numbers over formulas in the workbook</w:t>
            </w:r>
          </w:p>
        </w:tc>
        <w:tc>
          <w:tcPr>
            <w:tcW w:w="2976" w:type="dxa"/>
          </w:tcPr>
          <w:p>
            <w:pPr>
              <w:pStyle w:val="Compact"/>
              <w:jc w:val="left"/>
            </w:pPr>
            <w:r>
              <w:t xml:space="preserve">Totals do not change when inputs change</w:t>
            </w:r>
          </w:p>
        </w:tc>
        <w:tc>
          <w:tcPr>
            <w:tcW w:w="3519" w:type="dxa"/>
          </w:tcPr>
          <w:p>
            <w:pPr>
              <w:pStyle w:val="Compact"/>
              <w:jc w:val="left"/>
            </w:pPr>
            <w:r>
              <w:t xml:space="preserve">Checker spot-checks formulas; override log required</w:t>
            </w:r>
          </w:p>
        </w:tc>
      </w:tr>
    </w:tbl>
    <w:bookmarkEnd w:id="35"/>
    <w:bookmarkStart w:id="36" w:name="X614b6844a56f9b085064455be3fb6e2f3caceac"/>
    <w:p>
      <w:pPr>
        <w:pStyle w:val="Heading2"/>
      </w:pPr>
      <w:r>
        <w:t xml:space="preserve">Quality checklist before you ask for Finance approval</w:t>
      </w:r>
    </w:p>
    <w:p>
      <w:pPr>
        <w:numPr>
          <w:ilvl w:val="0"/>
          <w:numId w:val="1013"/>
        </w:numPr>
        <w:pStyle w:val="Compact"/>
      </w:pPr>
      <w:r>
        <w:t xml:space="preserve">☐ Every phase 1 to 5 item is ticked, with evidence links.</w:t>
      </w:r>
    </w:p>
    <w:p>
      <w:pPr>
        <w:numPr>
          <w:ilvl w:val="0"/>
          <w:numId w:val="1013"/>
        </w:numPr>
        <w:pStyle w:val="Compact"/>
      </w:pPr>
      <w:r>
        <w:t xml:space="preserve">☐ Input pack frozen, with timestamps; briefs listed with versions.</w:t>
      </w:r>
    </w:p>
    <w:p>
      <w:pPr>
        <w:numPr>
          <w:ilvl w:val="0"/>
          <w:numId w:val="1013"/>
        </w:numPr>
        <w:pStyle w:val="Compact"/>
      </w:pPr>
      <w:r>
        <w:t xml:space="preserve">☐ Hand check of 5 items passed; top movers and threshold items explained.</w:t>
      </w:r>
    </w:p>
    <w:p>
      <w:pPr>
        <w:numPr>
          <w:ilvl w:val="0"/>
          <w:numId w:val="1013"/>
        </w:numPr>
        <w:pStyle w:val="Compact"/>
      </w:pPr>
      <w:r>
        <w:t xml:space="preserve">☐ Revaluation estimate prepared by organization.</w:t>
      </w:r>
    </w:p>
    <w:p>
      <w:pPr>
        <w:numPr>
          <w:ilvl w:val="0"/>
          <w:numId w:val="1013"/>
        </w:numPr>
        <w:pStyle w:val="Compact"/>
      </w:pPr>
      <w:r>
        <w:t xml:space="preserve">☐ Checker sign-off recorded on Jira with name, date, version and findings, all closed.</w:t>
      </w:r>
    </w:p>
    <w:p>
      <w:pPr>
        <w:numPr>
          <w:ilvl w:val="0"/>
          <w:numId w:val="1013"/>
        </w:numPr>
        <w:pStyle w:val="Compact"/>
      </w:pPr>
      <w:r>
        <w:t xml:space="preserve">☐ The file Finance will approve is the exact version that will be loaded.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2026-10-17T03:51:36Z</dcterms:created>
  <dcterms:modified xsi:type="dcterms:W3CDTF">2026-10-17T03:51:36Z</dcterms:modified>
</cp:coreProperties>
</file>

<file path=docProps/custom.xml><?xml version="1.0" encoding="utf-8"?>
<Properties xmlns="http://schemas.openxmlformats.org/officeDocument/2006/custom-properties" xmlns:vt="http://schemas.openxmlformats.org/officeDocument/2006/docPropsVTypes"/>
</file>