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dxa" w:w="9360"/>
        <w:tblLook w:firstRow="1" w:lastRow="0" w:firstColumn="0" w:lastColumn="0" w:noHBand="0" w:noVBand="0" w:val="0020"/>
        <w:jc w:val="start"/>
        <w:tblLayout w:type="fixed"/>
      </w:tblPr>
      <w:tblGrid>
        <w:gridCol w:w="1265"/>
        <w:gridCol w:w="2623"/>
        <w:gridCol w:w="5471"/>
      </w:tblGrid>
      <w:tr>
        <w:trPr>
          <w:tblHeader w:val="true"/>
        </w:trPr>
        <w:tc>
          <w:tcPr>
            <w:tcW w:w="1265" w:type="dxa"/>
          </w:tcPr>
          <w:p>
            <w:pPr>
              <w:pStyle w:val="Compact"/>
              <w:jc w:val="left"/>
            </w:pPr>
            <w:r>
              <w:t xml:space="preserve">Part</w:t>
            </w:r>
          </w:p>
        </w:tc>
        <w:tc>
          <w:tcPr>
            <w:tcW w:w="2623" w:type="dxa"/>
          </w:tcPr>
          <w:p>
            <w:pPr>
              <w:pStyle w:val="Compact"/>
              <w:jc w:val="left"/>
            </w:pPr>
            <w:r>
              <w:t xml:space="preserve">Time</w:t>
            </w:r>
          </w:p>
        </w:tc>
        <w:tc>
          <w:tcPr>
            <w:tcW w:w="5471" w:type="dxa"/>
          </w:tcPr>
          <w:p>
            <w:pPr>
              <w:pStyle w:val="Compact"/>
              <w:jc w:val="left"/>
            </w:pPr>
            <w:r>
              <w:t xml:space="preserve">What happens</w:t>
            </w:r>
          </w:p>
        </w:tc>
      </w:tr>
      <w:tr>
        <w:tc>
          <w:tcPr>
            <w:tcW w:w="1265" w:type="dxa"/>
          </w:tcPr>
          <w:p>
            <w:pPr>
              <w:pStyle w:val="Compact"/>
              <w:jc w:val="left"/>
            </w:pPr>
            <w:r>
              <w:t xml:space="preserve">Explain</w:t>
            </w:r>
          </w:p>
        </w:tc>
        <w:tc>
          <w:tcPr>
            <w:tcW w:w="2623" w:type="dxa"/>
          </w:tcPr>
          <w:p>
            <w:pPr>
              <w:pStyle w:val="Compact"/>
              <w:jc w:val="left"/>
            </w:pPr>
            <w:r>
              <w:t xml:space="preserve">10 min, hard stop</w:t>
            </w:r>
          </w:p>
        </w:tc>
        <w:tc>
          <w:tcPr>
            <w:tcW w:w="5471" w:type="dxa"/>
          </w:tcPr>
          <w:p>
            <w:pPr>
              <w:pStyle w:val="Compact"/>
              <w:jc w:val="left"/>
            </w:pPr>
            <w:r>
              <w:t xml:space="preserve">The hire teaches the topic: 3 key points, one real example, one simple diagram or table. No reading from slides</w:t>
            </w:r>
          </w:p>
        </w:tc>
      </w:tr>
      <w:tr>
        <w:tc>
          <w:tcPr>
            <w:tcW w:w="1265" w:type="dxa"/>
          </w:tcPr>
          <w:p>
            <w:pPr>
              <w:pStyle w:val="Compact"/>
              <w:jc w:val="left"/>
            </w:pPr>
            <w:r>
              <w:t xml:space="preserve">Questions</w:t>
            </w:r>
          </w:p>
        </w:tc>
        <w:tc>
          <w:tcPr>
            <w:tcW w:w="2623" w:type="dxa"/>
          </w:tcPr>
          <w:p>
            <w:pPr>
              <w:pStyle w:val="Compact"/>
              <w:jc w:val="left"/>
            </w:pPr>
            <w:r>
              <w:t xml:space="preserve">3 to 4 min</w:t>
            </w:r>
          </w:p>
        </w:tc>
        <w:tc>
          <w:tcPr>
            <w:tcW w:w="5471" w:type="dxa"/>
          </w:tcPr>
          <w:p>
            <w:pPr>
              <w:pStyle w:val="Compact"/>
              <w:jc w:val="left"/>
            </w:pPr>
            <w:r>
              <w:t xml:space="preserve">The other hire asks at least one question; the Manager asks "why" and "what if" questions</w:t>
            </w:r>
          </w:p>
        </w:tc>
      </w:tr>
      <w:tr>
        <w:tc>
          <w:tcPr>
            <w:tcW w:w="1265" w:type="dxa"/>
          </w:tcPr>
          <w:p>
            <w:pPr>
              <w:pStyle w:val="Compact"/>
              <w:jc w:val="left"/>
            </w:pPr>
            <w:r>
              <w:t xml:space="preserve">Verbal feedback</w:t>
            </w:r>
          </w:p>
        </w:tc>
        <w:tc>
          <w:tcPr>
            <w:tcW w:w="2623" w:type="dxa"/>
          </w:tcPr>
          <w:p>
            <w:pPr>
              <w:pStyle w:val="Compact"/>
              <w:jc w:val="left"/>
            </w:pPr>
            <w:r>
              <w:t xml:space="preserve">1 to 2 min</w:t>
            </w:r>
          </w:p>
        </w:tc>
        <w:tc>
          <w:tcPr>
            <w:tcW w:w="5471" w:type="dxa"/>
          </w:tcPr>
          <w:p>
            <w:pPr>
              <w:pStyle w:val="Compact"/>
              <w:jc w:val="left"/>
            </w:pPr>
            <w:r>
              <w:t xml:space="preserve">The Manager gives one strength and one thing to fix, using the format below</w:t>
            </w:r>
          </w:p>
        </w:tc>
      </w:tr>
      <w:tr>
        <w:tc>
          <w:tcPr>
            <w:tcW w:w="1265" w:type="dxa"/>
          </w:tcPr>
          <w:p>
            <w:pPr>
              <w:pStyle w:val="Compact"/>
              <w:jc w:val="left"/>
            </w:pPr>
            <w:r>
              <w:t xml:space="preserve">Written record</w:t>
            </w:r>
          </w:p>
        </w:tc>
        <w:tc>
          <w:tcPr>
            <w:tcW w:w="2623" w:type="dxa"/>
          </w:tcPr>
          <w:p>
            <w:pPr>
              <w:pStyle w:val="Compact"/>
              <w:jc w:val="left"/>
            </w:pPr>
            <w:r>
              <w:t xml:space="preserve">Within 24 hours (about 5 min of the Manager's review time per hire)</w:t>
            </w:r>
          </w:p>
        </w:tc>
        <w:tc>
          <w:tcPr>
            <w:tcW w:w="5471" w:type="dxa"/>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dxa" w:w="9360"/>
        <w:tblLook w:firstRow="1" w:lastRow="0" w:firstColumn="0" w:lastColumn="0" w:noHBand="0" w:noVBand="0" w:val="0020"/>
        <w:jc w:val="start"/>
        <w:tblLayout w:type="fixed"/>
      </w:tblPr>
      <w:tblGrid>
        <w:gridCol w:w="900"/>
        <w:gridCol w:w="3682"/>
        <w:gridCol w:w="4777"/>
      </w:tblGrid>
      <w:tr>
        <w:trPr>
          <w:tblHeader w:val="true"/>
        </w:trPr>
        <w:tc>
          <w:tcPr>
            <w:tcW w:w="900" w:type="dxa"/>
          </w:tcPr>
          <w:p>
            <w:pPr>
              <w:pStyle w:val="Compact"/>
              <w:jc w:val="left"/>
            </w:pPr>
            <w:r>
              <w:t xml:space="preserve">Week</w:t>
            </w:r>
          </w:p>
        </w:tc>
        <w:tc>
          <w:tcPr>
            <w:tcW w:w="3682" w:type="dxa"/>
          </w:tcPr>
          <w:p>
            <w:pPr>
              <w:pStyle w:val="Compact"/>
              <w:jc w:val="left"/>
            </w:pPr>
            <w:r>
              <w:t xml:space="preserve">Hire A (Research)</w:t>
            </w:r>
          </w:p>
        </w:tc>
        <w:tc>
          <w:tcPr>
            <w:tcW w:w="4777" w:type="dxa"/>
          </w:tcPr>
          <w:p>
            <w:pPr>
              <w:pStyle w:val="Compact"/>
              <w:jc w:val="left"/>
            </w:pPr>
            <w:r>
              <w:t xml:space="preserve">Hire B (Standard Cost)</w:t>
            </w:r>
          </w:p>
        </w:tc>
      </w:tr>
      <w:tr>
        <w:tc>
          <w:tcPr>
            <w:tcW w:w="900" w:type="dxa"/>
          </w:tcPr>
          <w:p>
            <w:pPr>
              <w:pStyle w:val="Compact"/>
              <w:jc w:val="left"/>
            </w:pPr>
            <w:r>
              <w:t xml:space="preserve">W2</w:t>
            </w:r>
          </w:p>
        </w:tc>
        <w:tc>
          <w:tcPr>
            <w:tcW w:w="3682" w:type="dxa"/>
          </w:tcPr>
          <w:p>
            <w:pPr>
              <w:pStyle w:val="Compact"/>
              <w:jc w:val="left"/>
            </w:pPr>
            <w:r>
              <w:t xml:space="preserve">Our trade data flow: AS400, brokers, Oracle</w:t>
            </w:r>
          </w:p>
        </w:tc>
        <w:tc>
          <w:tcPr>
            <w:tcW w:w="4777" w:type="dxa"/>
          </w:tcPr>
          <w:p>
            <w:pPr>
              <w:pStyle w:val="Compact"/>
              <w:jc w:val="left"/>
            </w:pPr>
            <w:r>
              <w:t xml:space="preserve">US vs Canada vs Mexico: who files what</w:t>
            </w:r>
          </w:p>
        </w:tc>
      </w:tr>
      <w:tr>
        <w:tc>
          <w:tcPr>
            <w:tcW w:w="900" w:type="dxa"/>
          </w:tcPr>
          <w:p>
            <w:pPr>
              <w:pStyle w:val="Compact"/>
              <w:jc w:val="left"/>
            </w:pPr>
            <w:r>
              <w:t xml:space="preserve">W3</w:t>
            </w:r>
          </w:p>
        </w:tc>
        <w:tc>
          <w:tcPr>
            <w:tcW w:w="3682" w:type="dxa"/>
          </w:tcPr>
          <w:p>
            <w:pPr>
              <w:pStyle w:val="Compact"/>
              <w:jc w:val="left"/>
            </w:pPr>
            <w:r>
              <w:t xml:space="preserve">The US duty base: what is in customs value and what is not</w:t>
            </w:r>
          </w:p>
        </w:tc>
        <w:tc>
          <w:tcPr>
            <w:tcW w:w="4777" w:type="dxa"/>
          </w:tcPr>
          <w:p>
            <w:pPr>
              <w:pStyle w:val="Compact"/>
              <w:jc w:val="left"/>
            </w:pPr>
            <w:r>
              <w:t xml:space="preserve">USMCA: tariff shift vs regional value content, with one of our items</w:t>
            </w:r>
          </w:p>
        </w:tc>
      </w:tr>
      <w:tr>
        <w:tc>
          <w:tcPr>
            <w:tcW w:w="900" w:type="dxa"/>
          </w:tcPr>
          <w:p>
            <w:pPr>
              <w:pStyle w:val="Compact"/>
              <w:jc w:val="left"/>
            </w:pPr>
            <w:r>
              <w:t xml:space="preserve">W4</w:t>
            </w:r>
          </w:p>
        </w:tc>
        <w:tc>
          <w:tcPr>
            <w:tcW w:w="3682" w:type="dxa"/>
          </w:tcPr>
          <w:p>
            <w:pPr>
              <w:pStyle w:val="Compact"/>
              <w:jc w:val="left"/>
            </w:pPr>
            <w:r>
              <w:t xml:space="preserve">Landed cost of one of our items, component by component</w:t>
            </w:r>
          </w:p>
        </w:tc>
        <w:tc>
          <w:tcPr>
            <w:tcW w:w="4777" w:type="dxa"/>
          </w:tcPr>
          <w:p>
            <w:pPr>
              <w:pStyle w:val="Compact"/>
              <w:jc w:val="left"/>
            </w:pPr>
            <w:r>
              <w:t xml:space="preserve">IMMEX, Anexo 24 and Anexo 30 (formerly Anexo 31) in plain words</w:t>
            </w:r>
          </w:p>
        </w:tc>
      </w:tr>
      <w:tr>
        <w:tc>
          <w:tcPr>
            <w:tcW w:w="900" w:type="dxa"/>
          </w:tcPr>
          <w:p>
            <w:pPr>
              <w:pStyle w:val="Compact"/>
              <w:jc w:val="left"/>
            </w:pPr>
            <w:r>
              <w:t xml:space="preserve">W5</w:t>
            </w:r>
          </w:p>
        </w:tc>
        <w:tc>
          <w:tcPr>
            <w:tcW w:w="3682" w:type="dxa"/>
          </w:tcPr>
          <w:p>
            <w:pPr>
              <w:pStyle w:val="Compact"/>
              <w:jc w:val="left"/>
            </w:pPr>
            <w:r>
              <w:t xml:space="preserve">How to read a new tariff notice in 30 minutes</w:t>
            </w:r>
          </w:p>
        </w:tc>
        <w:tc>
          <w:tcPr>
            <w:tcW w:w="4777" w:type="dxa"/>
          </w:tcPr>
          <w:p>
            <w:pPr>
              <w:pStyle w:val="Compact"/>
              <w:jc w:val="left"/>
            </w:pPr>
            <w:r>
              <w:t xml:space="preserve">The standard cost cycle, using</w:t>
            </w:r>
            <w:r>
              <w:t xml:space="preserve"> </w:t>
            </w:r>
            <w:r>
              <w:rPr>
                <w:rStyle w:val="VerbatimChar"/>
              </w:rPr>
              <w:t xml:space="preserve">docs/templates/domain/standard-cost-update-checklist.md</w:t>
            </w:r>
          </w:p>
        </w:tc>
      </w:tr>
      <w:tr>
        <w:tc>
          <w:tcPr>
            <w:tcW w:w="900" w:type="dxa"/>
          </w:tcPr>
          <w:p>
            <w:pPr>
              <w:pStyle w:val="Compact"/>
              <w:jc w:val="left"/>
            </w:pPr>
            <w:r>
              <w:t xml:space="preserve">W7</w:t>
            </w:r>
          </w:p>
        </w:tc>
        <w:tc>
          <w:tcPr>
            <w:tcW w:w="3682" w:type="dxa"/>
          </w:tcPr>
          <w:p>
            <w:pPr>
              <w:pStyle w:val="Compact"/>
              <w:jc w:val="left"/>
            </w:pPr>
            <w:r>
              <w:t xml:space="preserve">The Tariff-Impact Brief for the real recent action</w:t>
            </w:r>
          </w:p>
        </w:tc>
        <w:tc>
          <w:tcPr>
            <w:tcW w:w="4777" w:type="dxa"/>
          </w:tcPr>
          <w:p>
            <w:pPr>
              <w:pStyle w:val="Compact"/>
              <w:jc w:val="left"/>
            </w:pPr>
            <w:r>
              <w:t xml:space="preserve">PPV for one closed period: the top 3 drivers</w:t>
            </w:r>
          </w:p>
        </w:tc>
      </w:tr>
      <w:tr>
        <w:tc>
          <w:tcPr>
            <w:tcW w:w="900" w:type="dxa"/>
          </w:tcPr>
          <w:p>
            <w:pPr>
              <w:pStyle w:val="Compact"/>
              <w:jc w:val="left"/>
            </w:pPr>
            <w:r>
              <w:t xml:space="preserve">W8</w:t>
            </w:r>
          </w:p>
        </w:tc>
        <w:tc>
          <w:tcPr>
            <w:tcW w:w="3682" w:type="dxa"/>
          </w:tcPr>
          <w:p>
            <w:pPr>
              <w:pStyle w:val="Compact"/>
              <w:jc w:val="left"/>
            </w:pPr>
            <w:r>
              <w:t xml:space="preserve">The Tariff-Impact Model, tab by tab (the $ side)</w:t>
            </w:r>
          </w:p>
        </w:tc>
        <w:tc>
          <w:tcPr>
            <w:tcW w:w="4777" w:type="dxa"/>
          </w:tcPr>
          <w:p>
            <w:pPr>
              <w:pStyle w:val="Compact"/>
              <w:jc w:val="left"/>
            </w:pPr>
            <w:r>
              <w:t xml:space="preserve">Stacking: how two actions combine on one item (the WHAT side)</w:t>
            </w:r>
          </w:p>
        </w:tc>
      </w:tr>
      <w:tr>
        <w:tc>
          <w:tcPr>
            <w:tcW w:w="900" w:type="dxa"/>
          </w:tcPr>
          <w:p>
            <w:pPr>
              <w:pStyle w:val="Compact"/>
              <w:jc w:val="left"/>
            </w:pPr>
            <w:r>
              <w:t xml:space="preserve">W9</w:t>
            </w:r>
          </w:p>
        </w:tc>
        <w:tc>
          <w:tcPr>
            <w:tcW w:w="3682" w:type="dxa"/>
          </w:tcPr>
          <w:p>
            <w:pPr>
              <w:pStyle w:val="Compact"/>
              <w:jc w:val="left"/>
            </w:pPr>
            <w:r>
              <w:t xml:space="preserve">Owned-tool demo inside the day-60 review (15 min)</w:t>
            </w:r>
          </w:p>
        </w:tc>
        <w:tc>
          <w:tcPr>
            <w:tcW w:w="4777" w:type="dxa"/>
          </w:tcPr>
          <w:p>
            <w:pPr>
              <w:pStyle w:val="Compact"/>
              <w:jc w:val="left"/>
            </w:pPr>
            <w:r>
              <w:t xml:space="preserve">Owned-tool demo inside the day-60 review (15 min)</w:t>
            </w:r>
          </w:p>
        </w:tc>
      </w:tr>
      <w:tr>
        <w:tc>
          <w:tcPr>
            <w:tcW w:w="900" w:type="dxa"/>
          </w:tcPr>
          <w:p>
            <w:pPr>
              <w:pStyle w:val="Compact"/>
              <w:jc w:val="left"/>
            </w:pPr>
            <w:r>
              <w:t xml:space="preserve">W10</w:t>
            </w:r>
          </w:p>
        </w:tc>
        <w:tc>
          <w:tcPr>
            <w:tcW w:w="3682" w:type="dxa"/>
          </w:tcPr>
          <w:p>
            <w:pPr>
              <w:pStyle w:val="Compact"/>
              <w:jc w:val="left"/>
            </w:pPr>
            <w:r>
              <w:t xml:space="preserve">My process as-is, for e2open</w:t>
            </w:r>
          </w:p>
        </w:tc>
        <w:tc>
          <w:tcPr>
            <w:tcW w:w="4777" w:type="dxa"/>
          </w:tcPr>
          <w:p>
            <w:pPr>
              <w:pStyle w:val="Compact"/>
              <w:jc w:val="left"/>
            </w:pPr>
            <w:r>
              <w:t xml:space="preserve">My process as-is, for e2open</w:t>
            </w:r>
          </w:p>
        </w:tc>
      </w:tr>
      <w:tr>
        <w:tc>
          <w:tcPr>
            <w:tcW w:w="900" w:type="dxa"/>
          </w:tcPr>
          <w:p>
            <w:pPr>
              <w:pStyle w:val="Compact"/>
              <w:jc w:val="left"/>
            </w:pPr>
            <w:r>
              <w:t xml:space="preserve">W12</w:t>
            </w:r>
          </w:p>
        </w:tc>
        <w:tc>
          <w:tcPr>
            <w:tcW w:w="3682" w:type="dxa"/>
          </w:tcPr>
          <w:p>
            <w:pPr>
              <w:pStyle w:val="Compact"/>
              <w:jc w:val="left"/>
            </w:pPr>
            <w:r>
              <w:t xml:space="preserve">What e2open changes for my process (after kickoff)</w:t>
            </w:r>
          </w:p>
        </w:tc>
        <w:tc>
          <w:tcPr>
            <w:tcW w:w="4777" w:type="dxa"/>
          </w:tcPr>
          <w:p>
            <w:pPr>
              <w:pStyle w:val="Compact"/>
              <w:jc w:val="left"/>
            </w:pPr>
            <w:r>
              <w:t xml:space="preserve">What e2open changes for my process (after kickoff)</w:t>
            </w:r>
          </w:p>
        </w:tc>
      </w:tr>
      <w:tr>
        <w:tc>
          <w:tcPr>
            <w:tcW w:w="900" w:type="dxa"/>
          </w:tcPr>
          <w:p>
            <w:pPr>
              <w:pStyle w:val="Compact"/>
              <w:jc w:val="left"/>
            </w:pPr>
            <w:r>
              <w:t xml:space="preserve">W13</w:t>
            </w:r>
          </w:p>
        </w:tc>
        <w:tc>
          <w:tcPr>
            <w:tcW w:w="3682" w:type="dxa"/>
          </w:tcPr>
          <w:p>
            <w:pPr>
              <w:pStyle w:val="Compact"/>
              <w:jc w:val="left"/>
            </w:pPr>
            <w:r>
              <w:t xml:space="preserve">Inside the day-90 review: my process end to end</w:t>
            </w:r>
          </w:p>
        </w:tc>
        <w:tc>
          <w:tcPr>
            <w:tcW w:w="4777" w:type="dxa"/>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dxa" w:w="9360"/>
        <w:tblLook w:firstRow="1" w:lastRow="0" w:firstColumn="0" w:lastColumn="0" w:noHBand="0" w:noVBand="0" w:val="0020"/>
        <w:jc w:val="start"/>
        <w:tblLayout w:type="fixed"/>
      </w:tblPr>
      <w:tblGrid>
        <w:gridCol w:w="1380"/>
        <w:gridCol w:w="1912"/>
        <w:gridCol w:w="1617"/>
        <w:gridCol w:w="1997"/>
        <w:gridCol w:w="2453"/>
      </w:tblGrid>
      <w:tr>
        <w:trPr>
          <w:tblHeader w:val="true"/>
        </w:trPr>
        <w:tc>
          <w:tcPr>
            <w:tcW w:w="1380" w:type="dxa"/>
          </w:tcPr>
          <w:p>
            <w:pPr>
              <w:pStyle w:val="Compact"/>
              <w:jc w:val="left"/>
            </w:pPr>
            <w:r>
              <w:t xml:space="preserve">Criterion</w:t>
            </w:r>
          </w:p>
        </w:tc>
        <w:tc>
          <w:tcPr>
            <w:tcW w:w="1912" w:type="dxa"/>
          </w:tcPr>
          <w:p>
            <w:pPr>
              <w:pStyle w:val="Compact"/>
              <w:jc w:val="left"/>
            </w:pPr>
            <w:r>
              <w:t xml:space="preserve">1 Not yet</w:t>
            </w:r>
          </w:p>
        </w:tc>
        <w:tc>
          <w:tcPr>
            <w:tcW w:w="1617" w:type="dxa"/>
          </w:tcPr>
          <w:p>
            <w:pPr>
              <w:pStyle w:val="Compact"/>
              <w:jc w:val="left"/>
            </w:pPr>
            <w:r>
              <w:t xml:space="preserve">2 Developing</w:t>
            </w:r>
          </w:p>
        </w:tc>
        <w:tc>
          <w:tcPr>
            <w:tcW w:w="1997" w:type="dxa"/>
          </w:tcPr>
          <w:p>
            <w:pPr>
              <w:pStyle w:val="Compact"/>
              <w:jc w:val="left"/>
            </w:pPr>
            <w:r>
              <w:t xml:space="preserve">3 Solid</w:t>
            </w:r>
          </w:p>
        </w:tc>
        <w:tc>
          <w:tcPr>
            <w:tcW w:w="2453" w:type="dxa"/>
          </w:tcPr>
          <w:p>
            <w:pPr>
              <w:pStyle w:val="Compact"/>
              <w:jc w:val="left"/>
            </w:pPr>
            <w:r>
              <w:t xml:space="preserve">4 Strong</w:t>
            </w:r>
          </w:p>
        </w:tc>
      </w:tr>
      <w:tr>
        <w:tc>
          <w:tcPr>
            <w:tcW w:w="1380" w:type="dxa"/>
          </w:tcPr>
          <w:p>
            <w:pPr>
              <w:pStyle w:val="Compact"/>
              <w:jc w:val="left"/>
            </w:pPr>
            <w:r>
              <w:t xml:space="preserve">Accuracy</w:t>
            </w:r>
          </w:p>
        </w:tc>
        <w:tc>
          <w:tcPr>
            <w:tcW w:w="1912" w:type="dxa"/>
          </w:tcPr>
          <w:p>
            <w:pPr>
              <w:pStyle w:val="Compact"/>
              <w:jc w:val="left"/>
            </w:pPr>
            <w:r>
              <w:t xml:space="preserve">One or more material errors (wrong rule, rate basis, date logic or owner)</w:t>
            </w:r>
          </w:p>
        </w:tc>
        <w:tc>
          <w:tcPr>
            <w:tcW w:w="1617" w:type="dxa"/>
          </w:tcPr>
          <w:p>
            <w:pPr>
              <w:pStyle w:val="Compact"/>
              <w:jc w:val="left"/>
            </w:pPr>
            <w:r>
              <w:t xml:space="preserve">Minor errors or vague statements that could mislead</w:t>
            </w:r>
          </w:p>
        </w:tc>
        <w:tc>
          <w:tcPr>
            <w:tcW w:w="1997" w:type="dxa"/>
          </w:tcPr>
          <w:p>
            <w:pPr>
              <w:pStyle w:val="Compact"/>
              <w:jc w:val="left"/>
            </w:pPr>
            <w:r>
              <w:t xml:space="preserve">No errors; precise terms; sources named</w:t>
            </w:r>
          </w:p>
        </w:tc>
        <w:tc>
          <w:tcPr>
            <w:tcW w:w="2453" w:type="dxa"/>
          </w:tcPr>
          <w:p>
            <w:pPr>
              <w:pStyle w:val="Compact"/>
              <w:jc w:val="left"/>
            </w:pPr>
            <w:r>
              <w:t xml:space="preserve">No errors, and qualifies correctly where rules differ by country or action</w:t>
            </w:r>
          </w:p>
        </w:tc>
      </w:tr>
      <w:tr>
        <w:tc>
          <w:tcPr>
            <w:tcW w:w="1380" w:type="dxa"/>
          </w:tcPr>
          <w:p>
            <w:pPr>
              <w:pStyle w:val="Compact"/>
              <w:jc w:val="left"/>
            </w:pPr>
            <w:r>
              <w:t xml:space="preserve">Clarity</w:t>
            </w:r>
          </w:p>
        </w:tc>
        <w:tc>
          <w:tcPr>
            <w:tcW w:w="1912" w:type="dxa"/>
          </w:tcPr>
          <w:p>
            <w:pPr>
              <w:pStyle w:val="Compact"/>
              <w:jc w:val="left"/>
            </w:pPr>
            <w:r>
              <w:t xml:space="preserve">No structure; runs over time; jargon unexplained</w:t>
            </w:r>
          </w:p>
        </w:tc>
        <w:tc>
          <w:tcPr>
            <w:tcW w:w="1617" w:type="dxa"/>
          </w:tcPr>
          <w:p>
            <w:pPr>
              <w:pStyle w:val="Compact"/>
              <w:jc w:val="left"/>
            </w:pPr>
            <w:r>
              <w:t xml:space="preserve">Some structure; listeners need to ask what terms mean</w:t>
            </w:r>
          </w:p>
        </w:tc>
        <w:tc>
          <w:tcPr>
            <w:tcW w:w="1997" w:type="dxa"/>
          </w:tcPr>
          <w:p>
            <w:pPr>
              <w:pStyle w:val="Compact"/>
              <w:jc w:val="left"/>
            </w:pPr>
            <w:r>
              <w:t xml:space="preserve">Clear 3-point structure; terms defined; finishes in 10 minutes</w:t>
            </w:r>
          </w:p>
        </w:tc>
        <w:tc>
          <w:tcPr>
            <w:tcW w:w="2453" w:type="dxa"/>
          </w:tcPr>
          <w:p>
            <w:pPr>
              <w:pStyle w:val="Compact"/>
              <w:jc w:val="left"/>
            </w:pPr>
            <w:r>
              <w:t xml:space="preserve">A newcomer could repeat the explanation; diagram does the work</w:t>
            </w:r>
          </w:p>
        </w:tc>
      </w:tr>
      <w:tr>
        <w:tc>
          <w:tcPr>
            <w:tcW w:w="1380" w:type="dxa"/>
          </w:tcPr>
          <w:p>
            <w:pPr>
              <w:pStyle w:val="Compact"/>
              <w:jc w:val="left"/>
            </w:pPr>
            <w:r>
              <w:t xml:space="preserve">Examples</w:t>
            </w:r>
          </w:p>
        </w:tc>
        <w:tc>
          <w:tcPr>
            <w:tcW w:w="1912" w:type="dxa"/>
          </w:tcPr>
          <w:p>
            <w:pPr>
              <w:pStyle w:val="Compact"/>
              <w:jc w:val="left"/>
            </w:pPr>
            <w:r>
              <w:t xml:space="preserve">None, or a generic textbook example</w:t>
            </w:r>
          </w:p>
        </w:tc>
        <w:tc>
          <w:tcPr>
            <w:tcW w:w="1617" w:type="dxa"/>
          </w:tcPr>
          <w:p>
            <w:pPr>
              <w:pStyle w:val="Compact"/>
              <w:jc w:val="left"/>
            </w:pPr>
            <w:r>
              <w:t xml:space="preserve">One example, loosely connected</w:t>
            </w:r>
          </w:p>
        </w:tc>
        <w:tc>
          <w:tcPr>
            <w:tcW w:w="1997" w:type="dxa"/>
          </w:tcPr>
          <w:p>
            <w:pPr>
              <w:pStyle w:val="Compact"/>
              <w:jc w:val="left"/>
            </w:pPr>
            <w:r>
              <w:t xml:space="preserve">A real company or realistic example that shows the main point</w:t>
            </w:r>
          </w:p>
        </w:tc>
        <w:tc>
          <w:tcPr>
            <w:tcW w:w="2453" w:type="dxa"/>
          </w:tcPr>
          <w:p>
            <w:pPr>
              <w:pStyle w:val="Compact"/>
              <w:jc w:val="left"/>
            </w:pPr>
            <w:r>
              <w:t xml:space="preserve">Several well-chosen examples, including an edge case or exception</w:t>
            </w:r>
          </w:p>
        </w:tc>
      </w:tr>
      <w:tr>
        <w:tc>
          <w:tcPr>
            <w:tcW w:w="1380" w:type="dxa"/>
          </w:tcPr>
          <w:p>
            <w:pPr>
              <w:pStyle w:val="Compact"/>
              <w:jc w:val="left"/>
            </w:pPr>
            <w:r>
              <w:t xml:space="preserve">Handling questions</w:t>
            </w:r>
          </w:p>
        </w:tc>
        <w:tc>
          <w:tcPr>
            <w:tcW w:w="1912" w:type="dxa"/>
          </w:tcPr>
          <w:p>
            <w:pPr>
              <w:pStyle w:val="Compact"/>
              <w:jc w:val="left"/>
            </w:pPr>
            <w:r>
              <w:t xml:space="preserve">Guesses, or cannot answer</w:t>
            </w:r>
          </w:p>
        </w:tc>
        <w:tc>
          <w:tcPr>
            <w:tcW w:w="1617" w:type="dxa"/>
          </w:tcPr>
          <w:p>
            <w:pPr>
              <w:pStyle w:val="Compact"/>
              <w:jc w:val="left"/>
            </w:pPr>
            <w:r>
              <w:t xml:space="preserve">Answers the "what" but not the "why"</w:t>
            </w:r>
          </w:p>
        </w:tc>
        <w:tc>
          <w:tcPr>
            <w:tcW w:w="1997" w:type="dxa"/>
          </w:tcPr>
          <w:p>
            <w:pPr>
              <w:pStyle w:val="Compact"/>
              <w:jc w:val="left"/>
            </w:pPr>
            <w:r>
              <w:t xml:space="preserve">Answers clearly, or says "I don't know" and how to find out</w:t>
            </w:r>
          </w:p>
        </w:tc>
        <w:tc>
          <w:tcPr>
            <w:tcW w:w="2453" w:type="dxa"/>
          </w:tcPr>
          <w:p>
            <w:pPr>
              <w:pStyle w:val="Compact"/>
              <w:jc w:val="left"/>
            </w:pPr>
            <w:r>
              <w:t xml:space="preserve">Answers "why" and "what if", and links to other topics</w:t>
            </w:r>
          </w:p>
        </w:tc>
      </w:tr>
      <w:tr>
        <w:tc>
          <w:tcPr>
            <w:tcW w:w="1380" w:type="dxa"/>
          </w:tcPr>
          <w:p>
            <w:pPr>
              <w:pStyle w:val="Compact"/>
              <w:jc w:val="left"/>
            </w:pPr>
            <w:r>
              <w:t xml:space="preserve">Gaps identified</w:t>
            </w:r>
          </w:p>
        </w:tc>
        <w:tc>
          <w:tcPr>
            <w:tcW w:w="1912" w:type="dxa"/>
          </w:tcPr>
          <w:p>
            <w:pPr>
              <w:pStyle w:val="Compact"/>
              <w:jc w:val="left"/>
            </w:pPr>
            <w:r>
              <w:t xml:space="preserve">Does not see own gaps</w:t>
            </w:r>
          </w:p>
        </w:tc>
        <w:tc>
          <w:tcPr>
            <w:tcW w:w="1617" w:type="dxa"/>
          </w:tcPr>
          <w:p>
            <w:pPr>
              <w:pStyle w:val="Compact"/>
              <w:jc w:val="left"/>
            </w:pPr>
            <w:r>
              <w:t xml:space="preserve">Names gaps only when asked</w:t>
            </w:r>
          </w:p>
        </w:tc>
        <w:tc>
          <w:tcPr>
            <w:tcW w:w="1997" w:type="dxa"/>
          </w:tcPr>
          <w:p>
            <w:pPr>
              <w:pStyle w:val="Compact"/>
              <w:jc w:val="left"/>
            </w:pPr>
            <w:r>
              <w:t xml:space="preserve">Names own gaps and a plan to close each one</w:t>
            </w:r>
          </w:p>
        </w:tc>
        <w:tc>
          <w:tcPr>
            <w:tcW w:w="2453" w:type="dxa"/>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dxa" w:w="9360"/>
        <w:tblLook w:firstRow="1" w:lastRow="0" w:firstColumn="0" w:lastColumn="0" w:noHBand="0" w:noVBand="0" w:val="0020"/>
        <w:jc w:val="start"/>
        <w:tblLayout w:type="fixed"/>
      </w:tblPr>
      <w:tblGrid>
        <w:gridCol w:w="1632"/>
        <w:gridCol w:w="1404"/>
        <w:gridCol w:w="1265"/>
        <w:gridCol w:w="1406"/>
        <w:gridCol w:w="1989"/>
        <w:gridCol w:w="1662"/>
      </w:tblGrid>
      <w:tr>
        <w:trPr>
          <w:tblHeader w:val="true"/>
        </w:trPr>
        <w:tc>
          <w:tcPr>
            <w:tcW w:w="1632" w:type="dxa"/>
          </w:tcPr>
          <w:p>
            <w:pPr>
              <w:pStyle w:val="Compact"/>
              <w:jc w:val="left"/>
            </w:pPr>
            <w:r>
              <w:t xml:space="preserve">Date and topic (module)</w:t>
            </w:r>
          </w:p>
        </w:tc>
        <w:tc>
          <w:tcPr>
            <w:tcW w:w="1404" w:type="dxa"/>
          </w:tcPr>
          <w:p>
            <w:pPr>
              <w:pStyle w:val="Compact"/>
              <w:jc w:val="left"/>
            </w:pPr>
            <w:r>
              <w:t xml:space="preserve">Scores: Acc / Cla / Ex / Q / Gaps</w:t>
            </w:r>
          </w:p>
        </w:tc>
        <w:tc>
          <w:tcPr>
            <w:tcW w:w="1265" w:type="dxa"/>
          </w:tcPr>
          <w:p>
            <w:pPr>
              <w:pStyle w:val="Compact"/>
              <w:jc w:val="left"/>
            </w:pPr>
            <w:r>
              <w:t xml:space="preserve">Strength</w:t>
            </w:r>
          </w:p>
        </w:tc>
        <w:tc>
          <w:tcPr>
            <w:tcW w:w="1406" w:type="dxa"/>
          </w:tcPr>
          <w:p>
            <w:pPr>
              <w:pStyle w:val="Compact"/>
              <w:jc w:val="left"/>
            </w:pPr>
            <w:r>
              <w:t xml:space="preserve">Fix</w:t>
            </w:r>
          </w:p>
        </w:tc>
        <w:tc>
          <w:tcPr>
            <w:tcW w:w="1989" w:type="dxa"/>
          </w:tcPr>
          <w:p>
            <w:pPr>
              <w:pStyle w:val="Compact"/>
              <w:jc w:val="left"/>
            </w:pPr>
            <w:r>
              <w:t xml:space="preserve">Errors found and corrected (where, when)</w:t>
            </w:r>
          </w:p>
        </w:tc>
        <w:tc>
          <w:tcPr>
            <w:tcW w:w="1662" w:type="dxa"/>
          </w:tcPr>
          <w:p>
            <w:pPr>
              <w:pStyle w:val="Compact"/>
              <w:jc w:val="left"/>
            </w:pPr>
            <w:r>
              <w:t xml:space="preserve">Cards, SOP lines or questions created</w:t>
            </w:r>
          </w:p>
        </w:tc>
      </w:tr>
      <w:tr>
        <w:tc>
          <w:tcPr>
            <w:tcW w:w="1632" w:type="dxa"/>
          </w:tcPr>
          <w:p>
            <w:pPr>
              <w:pStyle w:val="Compact"/>
              <w:jc w:val="left"/>
            </w:pPr>
            <w:r>
              <w:t xml:space="preserve">[2026-10-30, Our trade data flow (M2)]</w:t>
            </w:r>
          </w:p>
        </w:tc>
        <w:tc>
          <w:tcPr>
            <w:tcW w:w="1404" w:type="dxa"/>
          </w:tcPr>
          <w:p>
            <w:pPr>
              <w:pStyle w:val="Compact"/>
              <w:jc w:val="left"/>
            </w:pPr>
            <w:r>
              <w:t xml:space="preserve">[3 / 2 / 3 / 2 / 3]</w:t>
            </w:r>
          </w:p>
        </w:tc>
        <w:tc>
          <w:tcPr>
            <w:tcW w:w="1265" w:type="dxa"/>
          </w:tcPr>
          <w:p>
            <w:pPr>
              <w:pStyle w:val="Compact"/>
              <w:jc w:val="left"/>
            </w:pPr>
            <w:r>
              <w:t xml:space="preserve">[Used a real shipment]</w:t>
            </w:r>
          </w:p>
        </w:tc>
        <w:tc>
          <w:tcPr>
            <w:tcW w:w="1406" w:type="dxa"/>
          </w:tcPr>
          <w:p>
            <w:pPr>
              <w:pStyle w:val="Compact"/>
              <w:jc w:val="left"/>
            </w:pPr>
            <w:r>
              <w:t xml:space="preserve">[Define "entry summary" before using it]</w:t>
            </w:r>
          </w:p>
        </w:tc>
        <w:tc>
          <w:tcPr>
            <w:tcW w:w="1989" w:type="dxa"/>
          </w:tcPr>
          <w:p>
            <w:pPr>
              <w:pStyle w:val="Compact"/>
              <w:jc w:val="left"/>
            </w:pPr>
            <w:r>
              <w:t xml:space="preserve">[Broker timing step; fixed in notes 10/30]</w:t>
            </w:r>
          </w:p>
        </w:tc>
        <w:tc>
          <w:tcPr>
            <w:tcW w:w="1662" w:type="dxa"/>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Count checked: the number of complete record rows on my OneNote Teach-backs page is my teach-back count for the milestone targets (A30-7, B30-7 and later) and the Friday self-report. If the topic is a row on my Knowledge tab in the trackers workbook, its Status is set to "Teach-back done".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2026-10-17T03:51:38Z</dcterms:created>
  <dcterms:modified xsi:type="dcterms:W3CDTF">2026-10-17T03:51:38Z</dcterms:modified>
</cp:coreProperties>
</file>

<file path=docProps/custom.xml><?xml version="1.0" encoding="utf-8"?>
<Properties xmlns="http://schemas.openxmlformats.org/officeDocument/2006/custom-properties" xmlns:vt="http://schemas.openxmlformats.org/officeDocument/2006/docPropsVTypes"/>
</file>