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194ddb9c623d16b340f199af77bf0428c303587"/>
    <w:p>
      <w:pPr>
        <w:pStyle w:val="Heading1"/>
      </w:pPr>
      <w:r>
        <w:t xml:space="preserve">Current Tariff Landscape: US, Canada and Mexico</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Part 1 is a dated snapshot of the tariff actions that can affect our imports into the US, Canada and Mexico. It is the only document in this program allowed to state the current status of a tariff action. Part 2 is the durable method for researching a new tariff action, which is the core skill of the Research track (M5R).</w:t>
      </w:r>
    </w:p>
    <w:p>
      <w:pPr>
        <w:numPr>
          <w:ilvl w:val="0"/>
          <w:numId w:val="1001"/>
        </w:numPr>
        <w:pStyle w:val="Compact"/>
      </w:pPr>
      <w:r>
        <w:rPr>
          <w:bCs/>
          <w:b/>
        </w:rPr>
        <w:t xml:space="preserve">Who uses it:</w:t>
      </w:r>
      <w:r>
        <w:t xml:space="preserve"> </w:t>
      </w:r>
      <w:r>
        <w:t xml:space="preserve">Hire A (Research) reads it, keeps Part 1 current every week and follows Part 2 as maker. Hire B (Standard Cost) reads Part 1 for context and fee inputs, but builds costs only from checked Tariff-Impact Briefs. The Senior checks updates and briefs. The Manager owns the document and approves anything sent to the business.</w:t>
      </w:r>
    </w:p>
    <w:p>
      <w:pPr>
        <w:numPr>
          <w:ilvl w:val="0"/>
          <w:numId w:val="1001"/>
        </w:numPr>
        <w:pStyle w:val="Compact"/>
      </w:pPr>
      <w:r>
        <w:rPr>
          <w:bCs/>
          <w:b/>
        </w:rPr>
        <w:t xml:space="preserve">When:</w:t>
      </w:r>
      <w:r>
        <w:t xml:space="preserve"> </w:t>
      </w:r>
      <w:r>
        <w:t xml:space="preserve">Hire A pre-read on W2 Mon 10/26; monitoring set-up on W2 Tue 10/27; pre-work for the W3 joint session "Reading a tariff action"; every M5R research item after that. Part 1 is updated every Friday.</w:t>
      </w:r>
    </w:p>
    <w:bookmarkStart w:id="20" w:name="read-this-first"/>
    <w:p>
      <w:pPr>
        <w:pStyle w:val="Heading2"/>
      </w:pPr>
      <w:r>
        <w:t xml:space="preserve">Read this first</w:t>
      </w:r>
    </w:p>
    <w:p>
      <w:pPr>
        <w:numPr>
          <w:ilvl w:val="0"/>
          <w:numId w:val="1002"/>
        </w:numPr>
        <w:pStyle w:val="Compact"/>
      </w:pPr>
      <w:r>
        <w:rPr>
          <w:bCs/>
          <w:b/>
        </w:rPr>
        <w:t xml:space="preserve">Part 1 goes stale.</w:t>
      </w:r>
      <w:r>
        <w:t xml:space="preserve"> </w:t>
      </w:r>
      <w:r>
        <w:t xml:space="preserve">Tariff actions in all three countries changed many times in 2025 and 2026. A row is only as good as the date it was last checked. Hire A updates Part 1 every Friday from W2 (until then, the Manager). The Senior spot-checks changes (see 1.7).</w:t>
      </w:r>
    </w:p>
    <w:p>
      <w:pPr>
        <w:numPr>
          <w:ilvl w:val="0"/>
          <w:numId w:val="1002"/>
        </w:numPr>
        <w:pStyle w:val="Compact"/>
      </w:pPr>
      <w:r>
        <w:rPr>
          <w:bCs/>
          <w:b/>
        </w:rPr>
        <w:t xml:space="preserve">Never cite this document as a source.</w:t>
      </w:r>
      <w:r>
        <w:t xml:space="preserve"> </w:t>
      </w:r>
      <w:r>
        <w:t xml:space="preserve">Briefs, models and cost updates cite the primary source (proclamation, Federal Register notice, CBP CSMS message, Canada Gazette order, DOF decree). This document only points you to them.</w:t>
      </w:r>
    </w:p>
    <w:p>
      <w:pPr>
        <w:numPr>
          <w:ilvl w:val="0"/>
          <w:numId w:val="1002"/>
        </w:numPr>
        <w:pStyle w:val="Compact"/>
      </w:pPr>
      <w:r>
        <w:rPr>
          <w:bCs/>
          <w:b/>
        </w:rPr>
        <w:t xml:space="preserve">This edition (v0.9) is unverified.</w:t>
      </w:r>
      <w:r>
        <w:t xml:space="preserve"> </w:t>
      </w:r>
      <w:r>
        <w:t xml:space="preserve">It was compiled on 2026-10-08 without access to the primary sources: the official websites could not be reached from the drafting environment, and the compiler's information runs only to about mid-2026. So no row below is marked Confirmed, and anything that happened after mid-2026 is marked Unknown.</w:t>
      </w:r>
      <w:r>
        <w:t xml:space="preserve"> </w:t>
      </w:r>
      <w:r>
        <w:rPr>
          <w:bCs/>
          <w:b/>
        </w:rPr>
        <w:t xml:space="preserve">Do not use any Part 1 row for a business decision, a brief or a model input until it has been confirmed against its primary source.</w:t>
      </w:r>
      <w:r>
        <w:t xml:space="preserve"> </w:t>
      </w:r>
      <w:r>
        <w:t xml:space="preserve">The verification sprint in 1.1 lists what to check first.</w:t>
      </w:r>
    </w:p>
    <w:p>
      <w:pPr>
        <w:numPr>
          <w:ilvl w:val="0"/>
          <w:numId w:val="1002"/>
        </w:numPr>
        <w:pStyle w:val="Compact"/>
      </w:pPr>
      <w:r>
        <w:t xml:space="preserve">This is training material, not legal advice. Interpretations are confirmed with our licensed customs broker or trade counsel ([COMPANY: who may contact trade counsel]).</w:t>
      </w:r>
    </w:p>
    <w:bookmarkEnd w:id="20"/>
    <w:bookmarkStart w:id="66" w:name="part-1-status-as-of-2026-10-08"/>
    <w:p>
      <w:pPr>
        <w:pStyle w:val="Heading2"/>
      </w:pPr>
      <w:r>
        <w:t xml:space="preserve">Part 1: Status as of 2026-10-08</w:t>
      </w:r>
    </w:p>
    <w:bookmarkStart w:id="21" w:name="X754a995a0489b7552dc4b579dc8f4af7bb95dad"/>
    <w:p>
      <w:pPr>
        <w:pStyle w:val="Heading3"/>
      </w:pPr>
      <w:r>
        <w:t xml:space="preserve">1.0 How to read the Part 1 tables</w:t>
      </w:r>
    </w:p>
    <w:p>
      <w:pPr>
        <w:pStyle w:val="FirstParagraph"/>
      </w:pPr>
      <w:r>
        <w:t xml:space="preserve">Status words:</w:t>
      </w:r>
    </w:p>
    <w:p>
      <w:pPr>
        <w:numPr>
          <w:ilvl w:val="0"/>
          <w:numId w:val="1003"/>
        </w:numPr>
        <w:pStyle w:val="Compact"/>
      </w:pPr>
      <w:r>
        <w:rPr>
          <w:bCs/>
          <w:b/>
        </w:rPr>
        <w:t xml:space="preserve">In force:</w:t>
      </w:r>
      <w:r>
        <w:t xml:space="preserve"> </w:t>
      </w:r>
      <w:r>
        <w:t xml:space="preserve">being collected on entries now.</w:t>
      </w:r>
    </w:p>
    <w:p>
      <w:pPr>
        <w:numPr>
          <w:ilvl w:val="0"/>
          <w:numId w:val="1003"/>
        </w:numPr>
        <w:pStyle w:val="Compact"/>
      </w:pPr>
      <w:r>
        <w:rPr>
          <w:bCs/>
          <w:b/>
        </w:rPr>
        <w:t xml:space="preserve">Ended:</w:t>
      </w:r>
      <w:r>
        <w:t xml:space="preserve"> </w:t>
      </w:r>
      <w:r>
        <w:t xml:space="preserve">no longer collected (may still matter for refunds, drawback or audits of past entries).</w:t>
      </w:r>
    </w:p>
    <w:p>
      <w:pPr>
        <w:numPr>
          <w:ilvl w:val="0"/>
          <w:numId w:val="1003"/>
        </w:numPr>
        <w:pStyle w:val="Compact"/>
      </w:pPr>
      <w:r>
        <w:rPr>
          <w:bCs/>
          <w:b/>
        </w:rPr>
        <w:t xml:space="preserve">Suspended:</w:t>
      </w:r>
      <w:r>
        <w:t xml:space="preserve"> </w:t>
      </w:r>
      <w:r>
        <w:t xml:space="preserve">switched off until a stated date.</w:t>
      </w:r>
    </w:p>
    <w:p>
      <w:pPr>
        <w:numPr>
          <w:ilvl w:val="0"/>
          <w:numId w:val="1003"/>
        </w:numPr>
        <w:pStyle w:val="Compact"/>
      </w:pPr>
      <w:r>
        <w:rPr>
          <w:bCs/>
          <w:b/>
        </w:rPr>
        <w:t xml:space="preserve">Announced:</w:t>
      </w:r>
      <w:r>
        <w:t xml:space="preserve"> </w:t>
      </w:r>
      <w:r>
        <w:t xml:space="preserve">stated by the government but not yet in a legal instrument.</w:t>
      </w:r>
    </w:p>
    <w:p>
      <w:pPr>
        <w:numPr>
          <w:ilvl w:val="0"/>
          <w:numId w:val="1003"/>
        </w:numPr>
        <w:pStyle w:val="Compact"/>
      </w:pPr>
      <w:r>
        <w:rPr>
          <w:bCs/>
          <w:b/>
        </w:rPr>
        <w:t xml:space="preserve">Pending:</w:t>
      </w:r>
      <w:r>
        <w:t xml:space="preserve"> </w:t>
      </w:r>
      <w:r>
        <w:t xml:space="preserve">under investigation; no duty yet.</w:t>
      </w:r>
    </w:p>
    <w:p>
      <w:pPr>
        <w:numPr>
          <w:ilvl w:val="0"/>
          <w:numId w:val="1003"/>
        </w:numPr>
        <w:pStyle w:val="Compact"/>
      </w:pPr>
      <w:r>
        <w:rPr>
          <w:bCs/>
          <w:b/>
        </w:rPr>
        <w:t xml:space="preserve">Unknown:</w:t>
      </w:r>
      <w:r>
        <w:t xml:space="preserve"> </w:t>
      </w:r>
      <w:r>
        <w:t xml:space="preserve">not established for this edition.</w:t>
      </w:r>
    </w:p>
    <w:p>
      <w:pPr>
        <w:pStyle w:val="FirstParagraph"/>
      </w:pPr>
      <w:r>
        <w:t xml:space="preserve">In this edition the "Status as of 2026-10-08" column gives the</w:t>
      </w:r>
      <w:r>
        <w:t xml:space="preserve"> </w:t>
      </w:r>
      <w:r>
        <w:rPr>
          <w:bCs/>
          <w:b/>
        </w:rPr>
        <w:t xml:space="preserve">last known status</w:t>
      </w:r>
      <w:r>
        <w:t xml:space="preserve"> </w:t>
      </w:r>
      <w:r>
        <w:t xml:space="preserve">(about mid-2026) unless it says Unknown. Dates are written YYYY-MM-DD.</w:t>
      </w:r>
    </w:p>
    <w:p>
      <w:pPr>
        <w:pStyle w:val="BodyText"/>
      </w:pPr>
      <w:r>
        <w:t xml:space="preserve">Confidence labels (use these exactly when you update a row):</w:t>
      </w:r>
    </w:p>
    <w:p>
      <w:pPr>
        <w:numPr>
          <w:ilvl w:val="0"/>
          <w:numId w:val="1004"/>
        </w:numPr>
        <w:pStyle w:val="Compact"/>
      </w:pPr>
      <w:r>
        <w:rPr>
          <w:bCs/>
          <w:b/>
        </w:rPr>
        <w:t xml:space="preserve">Confirmed:</w:t>
      </w:r>
      <w:r>
        <w:t xml:space="preserve"> </w:t>
      </w:r>
      <w:r>
        <w:t xml:space="preserve">the updater opened the primary source on the date stated and it says this.</w:t>
      </w:r>
    </w:p>
    <w:p>
      <w:pPr>
        <w:numPr>
          <w:ilvl w:val="0"/>
          <w:numId w:val="1004"/>
        </w:numPr>
        <w:pStyle w:val="Compact"/>
      </w:pPr>
      <w:r>
        <w:rPr>
          <w:bCs/>
          <w:b/>
        </w:rPr>
        <w:t xml:space="preserve">Reported:</w:t>
      </w:r>
      <w:r>
        <w:t xml:space="preserve"> </w:t>
      </w:r>
      <w:r>
        <w:t xml:space="preserve">known from an announcement, secondary report or the compiler's knowledge; the primary source is named but was not opened for this edition. Treat it as a lead.</w:t>
      </w:r>
    </w:p>
    <w:p>
      <w:pPr>
        <w:numPr>
          <w:ilvl w:val="0"/>
          <w:numId w:val="1004"/>
        </w:numPr>
        <w:pStyle w:val="Compact"/>
      </w:pPr>
      <w:r>
        <w:rPr>
          <w:bCs/>
          <w:b/>
        </w:rPr>
        <w:t xml:space="preserve">Unclear:</w:t>
      </w:r>
      <w:r>
        <w:t xml:space="preserve"> </w:t>
      </w:r>
      <w:r>
        <w:t xml:space="preserve">details uncertain, sources conflict, or the status has probably changed since mid-2026.</w:t>
      </w:r>
    </w:p>
    <w:bookmarkEnd w:id="21"/>
    <w:bookmarkStart w:id="33" w:name="X58f513f8ca06614dcc8d86758b8c13e9e716b12"/>
    <w:p>
      <w:pPr>
        <w:pStyle w:val="Heading3"/>
      </w:pPr>
      <w:r>
        <w:t xml:space="preserve">1.1 Verification sprint (do this before anyone relies on Part 1)</w:t>
      </w:r>
    </w:p>
    <w:p>
      <w:pPr>
        <w:pStyle w:val="FirstParagraph"/>
      </w:pPr>
      <w:r>
        <w:t xml:space="preserve">Each check takes 10 to 20 minutes. Record the result in the row, set the confidence label, and add a line to the maintenance log.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Question to settle</w:t>
            </w:r>
          </w:p>
        </w:tc>
        <w:tc>
          <w:tcPr/>
          <w:p>
            <w:pPr>
              <w:pStyle w:val="Compact"/>
              <w:jc w:val="left"/>
            </w:pPr>
            <w:r>
              <w:t xml:space="preserve">Where to check first</w:t>
            </w:r>
          </w:p>
        </w:tc>
        <w:tc>
          <w:tcPr/>
          <w:p>
            <w:pPr>
              <w:pStyle w:val="Compact"/>
              <w:jc w:val="left"/>
            </w:pPr>
            <w:r>
              <w:t xml:space="preserve">Suggested owner</w:t>
            </w:r>
          </w:p>
        </w:tc>
        <w:tc>
          <w:tcPr/>
          <w:p>
            <w:pPr>
              <w:pStyle w:val="Compact"/>
              <w:jc w:val="left"/>
            </w:pPr>
            <w:r>
              <w:t xml:space="preserve">Done</w:t>
            </w:r>
          </w:p>
        </w:tc>
      </w:tr>
      <w:tr>
        <w:tc>
          <w:tcPr/>
          <w:p>
            <w:pPr>
              <w:pStyle w:val="Compact"/>
              <w:jc w:val="left"/>
            </w:pPr>
            <w:r>
              <w:t xml:space="preserve">V1</w:t>
            </w:r>
          </w:p>
        </w:tc>
        <w:tc>
          <w:tcPr/>
          <w:p>
            <w:pPr>
              <w:pStyle w:val="Compact"/>
              <w:jc w:val="left"/>
            </w:pPr>
            <w:r>
              <w:t xml:space="preserve">Supreme Court IEEPA ruling: date, holding, and what it says about remedies</w:t>
            </w:r>
          </w:p>
        </w:tc>
        <w:tc>
          <w:tcPr/>
          <w:p>
            <w:pPr>
              <w:pStyle w:val="Compact"/>
              <w:jc w:val="left"/>
            </w:pPr>
            <w:r>
              <w:t xml:space="preserve">Supreme Court opinions,</w:t>
            </w:r>
            <w:r>
              <w:t xml:space="preserve"> </w:t>
            </w:r>
            <w:hyperlink r:id="rId22">
              <w:r>
                <w:rPr>
                  <w:rStyle w:val="Hyperlink"/>
                </w:rPr>
                <w:t xml:space="preserve">https://www.supremecourt.gov/opinions/slipopinion/25</w:t>
              </w:r>
            </w:hyperlink>
          </w:p>
        </w:tc>
        <w:tc>
          <w:tcPr/>
          <w:p>
            <w:pPr>
              <w:pStyle w:val="Compact"/>
              <w:jc w:val="left"/>
            </w:pPr>
            <w:r>
              <w:t xml:space="preserve">Senior or Manager, before 10/26</w:t>
            </w:r>
          </w:p>
        </w:tc>
        <w:tc>
          <w:tcPr/>
          <w:p>
            <w:pPr>
              <w:pStyle w:val="Compact"/>
              <w:jc w:val="left"/>
            </w:pPr>
            <w:r>
              <w:t xml:space="preserve">[ ]</w:t>
            </w:r>
          </w:p>
        </w:tc>
      </w:tr>
      <w:tr>
        <w:tc>
          <w:tcPr/>
          <w:p>
            <w:pPr>
              <w:pStyle w:val="Compact"/>
              <w:jc w:val="left"/>
            </w:pPr>
            <w:r>
              <w:t xml:space="preserve">V2</w:t>
            </w:r>
          </w:p>
        </w:tc>
        <w:tc>
          <w:tcPr/>
          <w:p>
            <w:pPr>
              <w:pStyle w:val="Compact"/>
              <w:jc w:val="left"/>
            </w:pPr>
            <w:r>
              <w:t xml:space="preserve">When CBP stopped collecting IEEPA duties, and what CBP and the Court of International Trade have said about refunds</w:t>
            </w:r>
          </w:p>
        </w:tc>
        <w:tc>
          <w:tcPr/>
          <w:p>
            <w:pPr>
              <w:pStyle w:val="Compact"/>
              <w:jc w:val="left"/>
            </w:pPr>
            <w:r>
              <w:t xml:space="preserve">CBP CSMS archive,</w:t>
            </w:r>
            <w:r>
              <w:t xml:space="preserve"> </w:t>
            </w:r>
            <w:hyperlink r:id="rId23">
              <w:r>
                <w:rPr>
                  <w:rStyle w:val="Hyperlink"/>
                </w:rPr>
                <w:t xml:space="preserve">https://www.cbp.gov/document/guidance/csms-archive</w:t>
              </w:r>
            </w:hyperlink>
            <w:r>
              <w:t xml:space="preserve"> </w:t>
            </w:r>
            <w:r>
              <w:t xml:space="preserve">;</w:t>
            </w:r>
            <w:r>
              <w:t xml:space="preserve"> </w:t>
            </w:r>
            <w:hyperlink r:id="rId24">
              <w:r>
                <w:rPr>
                  <w:rStyle w:val="Hyperlink"/>
                </w:rPr>
                <w:t xml:space="preserve">https://www.cit.uscourts.gov/</w:t>
              </w:r>
            </w:hyperlink>
            <w:r>
              <w:t xml:space="preserve"> </w:t>
            </w:r>
            <w:r>
              <w:t xml:space="preserve">; [COMPANY: trade counsel]</w:t>
            </w:r>
          </w:p>
        </w:tc>
        <w:tc>
          <w:tcPr/>
          <w:p>
            <w:pPr>
              <w:pStyle w:val="Compact"/>
              <w:jc w:val="left"/>
            </w:pPr>
            <w:r>
              <w:t xml:space="preserve">Senior or Manager, before 10/26</w:t>
            </w:r>
          </w:p>
        </w:tc>
        <w:tc>
          <w:tcPr/>
          <w:p>
            <w:pPr>
              <w:pStyle w:val="Compact"/>
              <w:jc w:val="left"/>
            </w:pPr>
            <w:r>
              <w:t xml:space="preserve">[ ]</w:t>
            </w:r>
          </w:p>
        </w:tc>
      </w:tr>
      <w:tr>
        <w:tc>
          <w:tcPr/>
          <w:p>
            <w:pPr>
              <w:pStyle w:val="Compact"/>
              <w:jc w:val="left"/>
            </w:pPr>
            <w:r>
              <w:t xml:space="preserve">V3</w:t>
            </w:r>
          </w:p>
        </w:tc>
        <w:tc>
          <w:tcPr/>
          <w:p>
            <w:pPr>
              <w:pStyle w:val="Compact"/>
              <w:jc w:val="left"/>
            </w:pPr>
            <w:r>
              <w:t xml:space="preserve">Section 122 surcharge: rate, exceptions, end date or extension, and what replaced it after July 2026</w:t>
            </w:r>
          </w:p>
        </w:tc>
        <w:tc>
          <w:tcPr/>
          <w:p>
            <w:pPr>
              <w:pStyle w:val="Compact"/>
              <w:jc w:val="left"/>
            </w:pPr>
            <w:hyperlink r:id="rId25">
              <w:r>
                <w:rPr>
                  <w:rStyle w:val="Hyperlink"/>
                </w:rPr>
                <w:t xml:space="preserve">https://www.whitehouse.gov/presidential-actions/</w:t>
              </w:r>
            </w:hyperlink>
            <w:r>
              <w:t xml:space="preserve"> </w:t>
            </w:r>
            <w:r>
              <w:t xml:space="preserve">;</w:t>
            </w:r>
            <w:r>
              <w:t xml:space="preserve"> </w:t>
            </w:r>
            <w:hyperlink r:id="rId26">
              <w:r>
                <w:rPr>
                  <w:rStyle w:val="Hyperlink"/>
                </w:rPr>
                <w:t xml:space="preserve">https://www.federalregister.gov/</w:t>
              </w:r>
            </w:hyperlink>
            <w:r>
              <w:t xml:space="preserve"> </w:t>
            </w:r>
            <w:r>
              <w:t xml:space="preserve">; CBP CSMS</w:t>
            </w:r>
          </w:p>
        </w:tc>
        <w:tc>
          <w:tcPr/>
          <w:p>
            <w:pPr>
              <w:pStyle w:val="Compact"/>
              <w:jc w:val="left"/>
            </w:pPr>
            <w:r>
              <w:t xml:space="preserve">Senior or Manager, before 10/26</w:t>
            </w:r>
          </w:p>
        </w:tc>
        <w:tc>
          <w:tcPr/>
          <w:p>
            <w:pPr>
              <w:pStyle w:val="Compact"/>
              <w:jc w:val="left"/>
            </w:pPr>
            <w:r>
              <w:t xml:space="preserve">[ ]</w:t>
            </w:r>
          </w:p>
        </w:tc>
      </w:tr>
      <w:tr>
        <w:tc>
          <w:tcPr/>
          <w:p>
            <w:pPr>
              <w:pStyle w:val="Compact"/>
              <w:jc w:val="left"/>
            </w:pPr>
            <w:r>
              <w:t xml:space="preserve">V4</w:t>
            </w:r>
          </w:p>
        </w:tc>
        <w:tc>
          <w:tcPr/>
          <w:p>
            <w:pPr>
              <w:pStyle w:val="Compact"/>
              <w:jc w:val="left"/>
            </w:pPr>
            <w:r>
              <w:t xml:space="preserve">Full list of Section 232 actions in force today, with USMCA treatment for each</w:t>
            </w:r>
          </w:p>
        </w:tc>
        <w:tc>
          <w:tcPr/>
          <w:p>
            <w:pPr>
              <w:pStyle w:val="Compact"/>
              <w:jc w:val="left"/>
            </w:pPr>
            <w:r>
              <w:t xml:space="preserve">CBP trade remedies,</w:t>
            </w:r>
            <w:r>
              <w:t xml:space="preserve"> </w:t>
            </w:r>
            <w:hyperlink r:id="rId27">
              <w:r>
                <w:rPr>
                  <w:rStyle w:val="Hyperlink"/>
                </w:rPr>
                <w:t xml:space="preserve">https://www.cbp.gov/trade/programs-administration/trade-remedies</w:t>
              </w:r>
            </w:hyperlink>
          </w:p>
        </w:tc>
        <w:tc>
          <w:tcPr/>
          <w:p>
            <w:pPr>
              <w:pStyle w:val="Compact"/>
              <w:jc w:val="left"/>
            </w:pPr>
            <w:r>
              <w:t xml:space="preserve">Hire A, W2</w:t>
            </w:r>
          </w:p>
        </w:tc>
        <w:tc>
          <w:tcPr/>
          <w:p>
            <w:pPr>
              <w:pStyle w:val="Compact"/>
              <w:jc w:val="left"/>
            </w:pPr>
            <w:r>
              <w:t xml:space="preserve">[ ]</w:t>
            </w:r>
          </w:p>
        </w:tc>
      </w:tr>
      <w:tr>
        <w:tc>
          <w:tcPr/>
          <w:p>
            <w:pPr>
              <w:pStyle w:val="Compact"/>
              <w:jc w:val="left"/>
            </w:pPr>
            <w:r>
              <w:t xml:space="preserve">V5</w:t>
            </w:r>
          </w:p>
        </w:tc>
        <w:tc>
          <w:tcPr/>
          <w:p>
            <w:pPr>
              <w:pStyle w:val="Compact"/>
              <w:jc w:val="left"/>
            </w:pPr>
            <w:r>
              <w:t xml:space="preserve">Section 301: China exclusions expiring 2026-11-10; any new country investigations or duties</w:t>
            </w:r>
          </w:p>
        </w:tc>
        <w:tc>
          <w:tcPr/>
          <w:p>
            <w:pPr>
              <w:pStyle w:val="Compact"/>
              <w:jc w:val="left"/>
            </w:pPr>
            <w:hyperlink r:id="rId28">
              <w:r>
                <w:rPr>
                  <w:rStyle w:val="Hyperlink"/>
                </w:rPr>
                <w:t xml:space="preserve">https://ustr.gov/issue-areas/enforcement/section-301-investigations</w:t>
              </w:r>
            </w:hyperlink>
          </w:p>
        </w:tc>
        <w:tc>
          <w:tcPr/>
          <w:p>
            <w:pPr>
              <w:pStyle w:val="Compact"/>
              <w:jc w:val="left"/>
            </w:pPr>
            <w:r>
              <w:t xml:space="preserve">Hire A, W2</w:t>
            </w:r>
          </w:p>
        </w:tc>
        <w:tc>
          <w:tcPr/>
          <w:p>
            <w:pPr>
              <w:pStyle w:val="Compact"/>
              <w:jc w:val="left"/>
            </w:pPr>
            <w:r>
              <w:t xml:space="preserve">[ ]</w:t>
            </w:r>
          </w:p>
        </w:tc>
      </w:tr>
      <w:tr>
        <w:tc>
          <w:tcPr/>
          <w:p>
            <w:pPr>
              <w:pStyle w:val="Compact"/>
              <w:jc w:val="left"/>
            </w:pPr>
            <w:r>
              <w:t xml:space="preserve">V6</w:t>
            </w:r>
          </w:p>
        </w:tc>
        <w:tc>
          <w:tcPr/>
          <w:p>
            <w:pPr>
              <w:pStyle w:val="Compact"/>
              <w:jc w:val="left"/>
            </w:pPr>
            <w:r>
              <w:t xml:space="preserve">US de minimis (Section 321): is it still suspended, and on what authority</w:t>
            </w:r>
          </w:p>
        </w:tc>
        <w:tc>
          <w:tcPr/>
          <w:p>
            <w:pPr>
              <w:pStyle w:val="Compact"/>
              <w:jc w:val="left"/>
            </w:pPr>
            <w:r>
              <w:t xml:space="preserve">CBP CSMS; Federal Register</w:t>
            </w:r>
          </w:p>
        </w:tc>
        <w:tc>
          <w:tcPr/>
          <w:p>
            <w:pPr>
              <w:pStyle w:val="Compact"/>
              <w:jc w:val="left"/>
            </w:pPr>
            <w:r>
              <w:t xml:space="preserve">Hire A, W2</w:t>
            </w:r>
          </w:p>
        </w:tc>
        <w:tc>
          <w:tcPr/>
          <w:p>
            <w:pPr>
              <w:pStyle w:val="Compact"/>
              <w:jc w:val="left"/>
            </w:pPr>
            <w:r>
              <w:t xml:space="preserve">[ ]</w:t>
            </w:r>
          </w:p>
        </w:tc>
      </w:tr>
      <w:tr>
        <w:tc>
          <w:tcPr/>
          <w:p>
            <w:pPr>
              <w:pStyle w:val="Compact"/>
              <w:jc w:val="left"/>
            </w:pPr>
            <w:r>
              <w:t xml:space="preserve">V7</w:t>
            </w:r>
          </w:p>
        </w:tc>
        <w:tc>
          <w:tcPr/>
          <w:p>
            <w:pPr>
              <w:pStyle w:val="Compact"/>
              <w:jc w:val="left"/>
            </w:pPr>
            <w:r>
              <w:t xml:space="preserve">Canada: which countermeasure surtaxes and remission orders are in force</w:t>
            </w:r>
          </w:p>
        </w:tc>
        <w:tc>
          <w:tcPr/>
          <w:p>
            <w:pPr>
              <w:pStyle w:val="Compact"/>
              <w:jc w:val="left"/>
            </w:pPr>
            <w:r>
              <w:t xml:space="preserve">Finance Canada,</w:t>
            </w:r>
            <w:r>
              <w:t xml:space="preserve"> </w:t>
            </w:r>
            <w:hyperlink r:id="rId29">
              <w:r>
                <w:rPr>
                  <w:rStyle w:val="Hyperlink"/>
                </w:rPr>
                <w:t xml:space="preserve">https://www.canada.ca/en/department-finance/programs/international-trade-finance-policy/canadas-response-us-tariffs.html</w:t>
              </w:r>
            </w:hyperlink>
            <w:r>
              <w:t xml:space="preserve"> </w:t>
            </w:r>
            <w:r>
              <w:t xml:space="preserve">; CBSA Customs Notices</w:t>
            </w:r>
          </w:p>
        </w:tc>
        <w:tc>
          <w:tcPr/>
          <w:p>
            <w:pPr>
              <w:pStyle w:val="Compact"/>
              <w:jc w:val="left"/>
            </w:pPr>
            <w:r>
              <w:t xml:space="preserve">Hire A, W2</w:t>
            </w:r>
          </w:p>
        </w:tc>
        <w:tc>
          <w:tcPr/>
          <w:p>
            <w:pPr>
              <w:pStyle w:val="Compact"/>
              <w:jc w:val="left"/>
            </w:pPr>
            <w:r>
              <w:t xml:space="preserve">[ ]</w:t>
            </w:r>
          </w:p>
        </w:tc>
      </w:tr>
      <w:tr>
        <w:tc>
          <w:tcPr/>
          <w:p>
            <w:pPr>
              <w:pStyle w:val="Compact"/>
              <w:jc w:val="left"/>
            </w:pPr>
            <w:r>
              <w:t xml:space="preserve">V8</w:t>
            </w:r>
          </w:p>
        </w:tc>
        <w:tc>
          <w:tcPr/>
          <w:p>
            <w:pPr>
              <w:pStyle w:val="Compact"/>
              <w:jc w:val="left"/>
            </w:pPr>
            <w:r>
              <w:t xml:space="preserve">Mexico: tariff decrees in force since 2026-01-01, and IMMEX or PROSEC changes</w:t>
            </w:r>
          </w:p>
        </w:tc>
        <w:tc>
          <w:tcPr/>
          <w:p>
            <w:pPr>
              <w:pStyle w:val="Compact"/>
              <w:jc w:val="left"/>
            </w:pPr>
            <w:hyperlink r:id="rId30">
              <w:r>
                <w:rPr>
                  <w:rStyle w:val="Hyperlink"/>
                </w:rPr>
                <w:t xml:space="preserve">https://www.dof.gob.mx/</w:t>
              </w:r>
            </w:hyperlink>
            <w:r>
              <w:t xml:space="preserve"> </w:t>
            </w:r>
            <w:r>
              <w:t xml:space="preserve">; [COMPANY: agente aduanal]</w:t>
            </w:r>
          </w:p>
        </w:tc>
        <w:tc>
          <w:tcPr/>
          <w:p>
            <w:pPr>
              <w:pStyle w:val="Compact"/>
              <w:jc w:val="left"/>
            </w:pPr>
            <w:r>
              <w:t xml:space="preserve">Hire A, W2 to W3</w:t>
            </w:r>
          </w:p>
        </w:tc>
        <w:tc>
          <w:tcPr/>
          <w:p>
            <w:pPr>
              <w:pStyle w:val="Compact"/>
              <w:jc w:val="left"/>
            </w:pPr>
            <w:r>
              <w:t xml:space="preserve">[ ]</w:t>
            </w:r>
          </w:p>
        </w:tc>
      </w:tr>
      <w:tr>
        <w:tc>
          <w:tcPr/>
          <w:p>
            <w:pPr>
              <w:pStyle w:val="Compact"/>
              <w:jc w:val="left"/>
            </w:pPr>
            <w:r>
              <w:t xml:space="preserve">V9</w:t>
            </w:r>
          </w:p>
        </w:tc>
        <w:tc>
          <w:tcPr/>
          <w:p>
            <w:pPr>
              <w:pStyle w:val="Compact"/>
              <w:jc w:val="left"/>
            </w:pPr>
            <w:r>
              <w:t xml:space="preserve">USMCA joint review of July 2026: outcome</w:t>
            </w:r>
          </w:p>
        </w:tc>
        <w:tc>
          <w:tcPr/>
          <w:p>
            <w:pPr>
              <w:pStyle w:val="Compact"/>
              <w:jc w:val="left"/>
            </w:pPr>
            <w:hyperlink r:id="rId31">
              <w:r>
                <w:rPr>
                  <w:rStyle w:val="Hyperlink"/>
                </w:rPr>
                <w:t xml:space="preserve">https://ustr.gov/trade-agreements/free-trade-agreements/united-states-mexico-canada-agreement</w:t>
              </w:r>
            </w:hyperlink>
          </w:p>
        </w:tc>
        <w:tc>
          <w:tcPr/>
          <w:p>
            <w:pPr>
              <w:pStyle w:val="Compact"/>
              <w:jc w:val="left"/>
            </w:pPr>
            <w:r>
              <w:t xml:space="preserve">Senior or Manager, before 10/26</w:t>
            </w:r>
          </w:p>
        </w:tc>
        <w:tc>
          <w:tcPr/>
          <w:p>
            <w:pPr>
              <w:pStyle w:val="Compact"/>
              <w:jc w:val="left"/>
            </w:pPr>
            <w:r>
              <w:t xml:space="preserve">[ ]</w:t>
            </w:r>
          </w:p>
        </w:tc>
      </w:tr>
      <w:tr>
        <w:tc>
          <w:tcPr/>
          <w:p>
            <w:pPr>
              <w:pStyle w:val="Compact"/>
              <w:jc w:val="left"/>
            </w:pPr>
            <w:r>
              <w:t xml:space="preserve">V10</w:t>
            </w:r>
          </w:p>
        </w:tc>
        <w:tc>
          <w:tcPr/>
          <w:p>
            <w:pPr>
              <w:pStyle w:val="Compact"/>
              <w:jc w:val="left"/>
            </w:pPr>
            <w:r>
              <w:t xml:space="preserve">MPF minimum and maximum for fiscal year 2027 (from 2026-10-01)</w:t>
            </w:r>
          </w:p>
        </w:tc>
        <w:tc>
          <w:tcPr/>
          <w:p>
            <w:pPr>
              <w:pStyle w:val="Compact"/>
              <w:jc w:val="left"/>
            </w:pPr>
            <w:r>
              <w:t xml:space="preserve">CBP MPF page,</w:t>
            </w:r>
            <w:r>
              <w:t xml:space="preserve"> </w:t>
            </w:r>
            <w:hyperlink r:id="rId32">
              <w:r>
                <w:rPr>
                  <w:rStyle w:val="Hyperlink"/>
                </w:rPr>
                <w:t xml:space="preserve">https://www.cbp.gov/trade/priority-issues/trade-agreements/merchandise-processing-fee</w:t>
              </w:r>
            </w:hyperlink>
            <w:r>
              <w:t xml:space="preserve"> </w:t>
            </w:r>
            <w:r>
              <w:t xml:space="preserve">; the CBP user-fee notice in the Federal Register</w:t>
            </w:r>
          </w:p>
        </w:tc>
        <w:tc>
          <w:tcPr/>
          <w:p>
            <w:pPr>
              <w:pStyle w:val="Compact"/>
              <w:jc w:val="left"/>
            </w:pPr>
            <w:r>
              <w:t xml:space="preserve">Hire A, W2 (Hire B needs it for cost inputs)</w:t>
            </w:r>
          </w:p>
        </w:tc>
        <w:tc>
          <w:tcPr/>
          <w:p>
            <w:pPr>
              <w:pStyle w:val="Compact"/>
              <w:jc w:val="left"/>
            </w:pPr>
            <w:r>
              <w:t xml:space="preserve">[ ]</w:t>
            </w:r>
          </w:p>
        </w:tc>
      </w:tr>
    </w:tbl>
    <w:p>
      <w:pPr>
        <w:pStyle w:val="BodyText"/>
      </w:pPr>
      <w:r>
        <w:t xml:space="preserve">V1 to V3 and V9 change the overall picture, so they should be settled before Hire A's pre-read on Mon 10/26. The Manager decides who does this (about 2 hours for the Senior or the Manager), or has this research re-run with access to the official sites before then.</w:t>
      </w:r>
    </w:p>
    <w:bookmarkEnd w:id="33"/>
    <w:bookmarkStart w:id="52" w:name="X3d641efda83704841b79de07ab628d8453ce49a"/>
    <w:p>
      <w:pPr>
        <w:pStyle w:val="Heading3"/>
      </w:pPr>
      <w:r>
        <w:t xml:space="preserve">1.2 United States</w:t>
      </w:r>
    </w:p>
    <w:bookmarkStart w:id="34" w:name="X5ab9ec51c8de6aa24b2ba7f73400db70240fc82"/>
    <w:p>
      <w:pPr>
        <w:pStyle w:val="Heading4"/>
      </w:pPr>
      <w:r>
        <w:t xml:space="preserve">US-1 IEEPA tariffs, the court ruling, and what followed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"Fentanyl and border" duties on goods of Canada and Mexico</w:t>
            </w:r>
          </w:p>
        </w:tc>
        <w:tc>
          <w:tcPr/>
          <w:p>
            <w:pPr>
              <w:pStyle w:val="Compact"/>
              <w:jc w:val="left"/>
            </w:pPr>
            <w:r>
              <w:t xml:space="preserve">IEEPA (50 U.S.C. 1701 and following); EO 14193 (Canada) and EO 14194 (Mexico), both 2025-02-01, as amended</w:t>
            </w:r>
          </w:p>
        </w:tc>
        <w:tc>
          <w:tcPr/>
          <w:p>
            <w:pPr>
              <w:pStyle w:val="Compact"/>
              <w:jc w:val="left"/>
            </w:pPr>
            <w:r>
              <w:t xml:space="preserve">25% from 2025-03-04 (10% on Canadian energy and potash). USMCA-qualifying goods exempted from 2025-03-07. Canada rate raised to 35% from 2025-08-01</w:t>
            </w:r>
          </w:p>
        </w:tc>
        <w:tc>
          <w:tcPr/>
          <w:p>
            <w:pPr>
              <w:pStyle w:val="Compact"/>
              <w:jc w:val="left"/>
            </w:pPr>
            <w:r>
              <w:t xml:space="preserve">Ended after the February 2026 Supreme Court ruling (last known). Exact end of collection and the CBP message: verify (V2)</w:t>
            </w:r>
          </w:p>
        </w:tc>
        <w:tc>
          <w:tcPr/>
          <w:p>
            <w:pPr>
              <w:pStyle w:val="Compact"/>
              <w:jc w:val="left"/>
            </w:pPr>
            <w:r>
              <w:t xml:space="preserve">Executive orders in the Federal Register, 2025-02 to 2025-08,</w:t>
            </w:r>
            <w:r>
              <w:t xml:space="preserve"> </w:t>
            </w:r>
            <w:hyperlink r:id="rId26">
              <w:r>
                <w:rPr>
                  <w:rStyle w:val="Hyperlink"/>
                </w:rPr>
                <w:t xml:space="preserve">https://www.federalregister.gov/</w:t>
              </w:r>
            </w:hyperlink>
          </w:p>
        </w:tc>
        <w:tc>
          <w:tcPr/>
          <w:p>
            <w:pPr>
              <w:pStyle w:val="Compact"/>
              <w:jc w:val="left"/>
            </w:pPr>
            <w:r>
              <w:t xml:space="preserve">Reported</w:t>
            </w:r>
          </w:p>
        </w:tc>
      </w:tr>
      <w:tr>
        <w:tc>
          <w:tcPr/>
          <w:p>
            <w:pPr>
              <w:pStyle w:val="Compact"/>
              <w:jc w:val="left"/>
            </w:pPr>
            <w:r>
              <w:t xml:space="preserve">"Fentanyl" duty on goods of China, including Hong Kong</w:t>
            </w:r>
          </w:p>
        </w:tc>
        <w:tc>
          <w:tcPr/>
          <w:p>
            <w:pPr>
              <w:pStyle w:val="Compact"/>
              <w:jc w:val="left"/>
            </w:pPr>
            <w:r>
              <w:t xml:space="preserve">IEEPA; EO 14195, 2025-02-01, as amended</w:t>
            </w:r>
          </w:p>
        </w:tc>
        <w:tc>
          <w:tcPr/>
          <w:p>
            <w:pPr>
              <w:pStyle w:val="Compact"/>
              <w:jc w:val="left"/>
            </w:pPr>
            <w:r>
              <w:t xml:space="preserve">10% from 2025-02-04; 20% from 2025-03-04; cut to 10% from 2025-11-10 under the US-China arrangement</w:t>
            </w:r>
          </w:p>
        </w:tc>
        <w:tc>
          <w:tcPr/>
          <w:p>
            <w:pPr>
              <w:pStyle w:val="Compact"/>
              <w:jc w:val="left"/>
            </w:pPr>
            <w:r>
              <w:t xml:space="preserve">Ended after the ruling (last known); verify</w:t>
            </w:r>
          </w:p>
        </w:tc>
        <w:tc>
          <w:tcPr/>
          <w:p>
            <w:pPr>
              <w:pStyle w:val="Compact"/>
              <w:jc w:val="left"/>
            </w:pPr>
            <w:r>
              <w:t xml:space="preserve">Same</w:t>
            </w:r>
          </w:p>
        </w:tc>
        <w:tc>
          <w:tcPr/>
          <w:p>
            <w:pPr>
              <w:pStyle w:val="Compact"/>
              <w:jc w:val="left"/>
            </w:pPr>
            <w:r>
              <w:t xml:space="preserve">Reported</w:t>
            </w:r>
          </w:p>
        </w:tc>
      </w:tr>
      <w:tr>
        <w:tc>
          <w:tcPr/>
          <w:p>
            <w:pPr>
              <w:pStyle w:val="Compact"/>
              <w:jc w:val="left"/>
            </w:pPr>
            <w:r>
              <w:t xml:space="preserve">"Reciprocal" tariffs</w:t>
            </w:r>
          </w:p>
        </w:tc>
        <w:tc>
          <w:tcPr/>
          <w:p>
            <w:pPr>
              <w:pStyle w:val="Compact"/>
              <w:jc w:val="left"/>
            </w:pPr>
            <w:r>
              <w:t xml:space="preserve">IEEPA; EO 14257, 2025-04-02, as amended (including EO 14326, 2025-07-31)</w:t>
            </w:r>
          </w:p>
        </w:tc>
        <w:tc>
          <w:tcPr/>
          <w:p>
            <w:pPr>
              <w:pStyle w:val="Compact"/>
              <w:jc w:val="left"/>
            </w:pPr>
            <w:r>
              <w:t xml:space="preserve">10% baseline from 2025-04-05; country-specific rates from 2025-08-07. Canada and Mexico not covered. Annex II product exemptions. Goods subject to Section 232 not covered. China held at 10% under arrangements extended to 2026-11-10</w:t>
            </w:r>
          </w:p>
        </w:tc>
        <w:tc>
          <w:tcPr/>
          <w:p>
            <w:pPr>
              <w:pStyle w:val="Compact"/>
              <w:jc w:val="left"/>
            </w:pPr>
            <w:r>
              <w:t xml:space="preserve">Ended after the ruling (last known); verify</w:t>
            </w:r>
          </w:p>
        </w:tc>
        <w:tc>
          <w:tcPr/>
          <w:p>
            <w:pPr>
              <w:pStyle w:val="Compact"/>
              <w:jc w:val="left"/>
            </w:pPr>
            <w:r>
              <w:t xml:space="preserve">Same</w:t>
            </w:r>
          </w:p>
        </w:tc>
        <w:tc>
          <w:tcPr/>
          <w:p>
            <w:pPr>
              <w:pStyle w:val="Compact"/>
              <w:jc w:val="left"/>
            </w:pPr>
            <w:r>
              <w:t xml:space="preserve">Reported</w:t>
            </w:r>
          </w:p>
        </w:tc>
      </w:tr>
      <w:tr>
        <w:tc>
          <w:tcPr/>
          <w:p>
            <w:pPr>
              <w:pStyle w:val="Compact"/>
              <w:jc w:val="left"/>
            </w:pPr>
            <w:r>
              <w:t xml:space="preserve">Other IEEPA country duties, for example Brazil (additional 40% from 2025-08-06) and India (additional 25% from 2025-08-27)</w:t>
            </w:r>
          </w:p>
        </w:tc>
        <w:tc>
          <w:tcPr/>
          <w:p>
            <w:pPr>
              <w:pStyle w:val="Compact"/>
              <w:jc w:val="left"/>
            </w:pPr>
            <w:r>
              <w:t xml:space="preserve">IEEPA; EO 14323 (2025-07-30); EO 14329 (2025-08-06)</w:t>
            </w:r>
          </w:p>
        </w:tc>
        <w:tc>
          <w:tcPr/>
          <w:p>
            <w:pPr>
              <w:pStyle w:val="Compact"/>
              <w:jc w:val="left"/>
            </w:pPr>
            <w:r>
              <w:t xml:space="preserve">All goods of the country, with listed exceptions</w:t>
            </w:r>
          </w:p>
        </w:tc>
        <w:tc>
          <w:tcPr/>
          <w:p>
            <w:pPr>
              <w:pStyle w:val="Compact"/>
              <w:jc w:val="left"/>
            </w:pPr>
            <w:r>
              <w:t xml:space="preserve">Ended after the ruling if not lifted earlier (last known); verify</w:t>
            </w:r>
          </w:p>
        </w:tc>
        <w:tc>
          <w:tcPr/>
          <w:p>
            <w:pPr>
              <w:pStyle w:val="Compact"/>
              <w:jc w:val="left"/>
            </w:pPr>
            <w:r>
              <w:t xml:space="preserve">Same</w:t>
            </w:r>
          </w:p>
        </w:tc>
        <w:tc>
          <w:tcPr/>
          <w:p>
            <w:pPr>
              <w:pStyle w:val="Compact"/>
              <w:jc w:val="left"/>
            </w:pPr>
            <w:r>
              <w:t xml:space="preserve">Reported</w:t>
            </w:r>
          </w:p>
        </w:tc>
      </w:tr>
      <w:tr>
        <w:tc>
          <w:tcPr/>
          <w:p>
            <w:pPr>
              <w:pStyle w:val="Compact"/>
              <w:jc w:val="left"/>
            </w:pPr>
            <w:r>
              <w:t xml:space="preserve">Supreme Court ruling on IEEPA tariffs</w:t>
            </w:r>
          </w:p>
        </w:tc>
        <w:tc>
          <w:tcPr/>
          <w:p>
            <w:pPr>
              <w:pStyle w:val="Compact"/>
              <w:jc w:val="left"/>
            </w:pPr>
            <w:r>
              <w:t xml:space="preserve">Learning Resources, Inc. v. Trump (No. 24-1287), decided with Trump v. V.O.S. Selections, Inc. (No. 25-250). Earlier: Court of International Trade 2025-05-28 and Federal Circuit en banc 2025-08-29, both against the tariffs</w:t>
            </w:r>
          </w:p>
        </w:tc>
        <w:tc>
          <w:tcPr/>
          <w:p>
            <w:pPr>
              <w:pStyle w:val="Compact"/>
              <w:jc w:val="left"/>
            </w:pPr>
            <w:r>
              <w:t xml:space="preserve">Whether IEEPA allows the President to impose tariffs</w:t>
            </w:r>
          </w:p>
        </w:tc>
        <w:tc>
          <w:tcPr/>
          <w:p>
            <w:pPr>
              <w:pStyle w:val="Compact"/>
              <w:jc w:val="left"/>
            </w:pPr>
            <w:r>
              <w:t xml:space="preserve">Decided 2026-02-20 (reported 6-3): IEEPA does not authorize tariffs. Read the opinion for what it says, or leaves open, on remedies (V1)</w:t>
            </w:r>
          </w:p>
        </w:tc>
        <w:tc>
          <w:tcPr/>
          <w:p>
            <w:pPr>
              <w:pStyle w:val="Compact"/>
              <w:jc w:val="left"/>
            </w:pPr>
            <w:hyperlink r:id="rId22">
              <w:r>
                <w:rPr>
                  <w:rStyle w:val="Hyperlink"/>
                </w:rPr>
                <w:t xml:space="preserve">https://www.supremecourt.gov/opinions/slipopinion/25</w:t>
              </w:r>
            </w:hyperlink>
            <w:r>
              <w:t xml:space="preserve"> </w:t>
            </w:r>
            <w:r>
              <w:t xml:space="preserve">(2026-02-20)</w:t>
            </w:r>
          </w:p>
        </w:tc>
        <w:tc>
          <w:tcPr/>
          <w:p>
            <w:pPr>
              <w:pStyle w:val="Compact"/>
              <w:jc w:val="left"/>
            </w:pPr>
            <w:r>
              <w:t xml:space="preserve">Reported</w:t>
            </w:r>
          </w:p>
        </w:tc>
      </w:tr>
      <w:tr>
        <w:tc>
          <w:tcPr/>
          <w:p>
            <w:pPr>
              <w:pStyle w:val="Compact"/>
              <w:jc w:val="left"/>
            </w:pPr>
            <w:r>
              <w:t xml:space="preserve">Refunds of IEEPA duties already paid</w:t>
            </w:r>
          </w:p>
        </w:tc>
        <w:tc>
          <w:tcPr/>
          <w:p>
            <w:pPr>
              <w:pStyle w:val="Compact"/>
              <w:jc w:val="left"/>
            </w:pPr>
            <w:r>
              <w:t xml:space="preserve">Liquidation and protest rules (19 U.S.C. 1504 and 1514); Court of International Trade jurisdiction; any CBP refund procedure</w:t>
            </w:r>
          </w:p>
        </w:tc>
        <w:tc>
          <w:tcPr/>
          <w:p>
            <w:pPr>
              <w:pStyle w:val="Compact"/>
              <w:jc w:val="left"/>
            </w:pPr>
            <w:r>
              <w:t xml:space="preserve">IEEPA Chapter 99 duties paid on entries from 2025-02 to 2026-02</w:t>
            </w:r>
          </w:p>
        </w:tc>
        <w:tc>
          <w:tcPr/>
          <w:p>
            <w:pPr>
              <w:pStyle w:val="Compact"/>
              <w:jc w:val="left"/>
            </w:pPr>
            <w:r>
              <w:t xml:space="preserve">Unknown. Not established for this edition: whether CBP refunds automatically, through post-summary corrections and protests, or only under court orders; how liquidated entries are treated; interest. Ask trade counsel what the company has filed ([COMPANY: confirm])</w:t>
            </w:r>
          </w:p>
        </w:tc>
        <w:tc>
          <w:tcPr/>
          <w:p>
            <w:pPr>
              <w:pStyle w:val="Compact"/>
              <w:jc w:val="left"/>
            </w:pPr>
            <w:r>
              <w:t xml:space="preserve">CBP CSMS archive,</w:t>
            </w:r>
            <w:r>
              <w:t xml:space="preserve"> </w:t>
            </w:r>
            <w:hyperlink r:id="rId23">
              <w:r>
                <w:rPr>
                  <w:rStyle w:val="Hyperlink"/>
                </w:rPr>
                <w:t xml:space="preserve">https://www.cbp.gov/document/guidance/csms-archive</w:t>
              </w:r>
            </w:hyperlink>
            <w:r>
              <w:t xml:space="preserve"> </w:t>
            </w:r>
            <w:r>
              <w:t xml:space="preserve">;</w:t>
            </w:r>
            <w:r>
              <w:t xml:space="preserve"> </w:t>
            </w:r>
            <w:hyperlink r:id="rId24">
              <w:r>
                <w:rPr>
                  <w:rStyle w:val="Hyperlink"/>
                </w:rPr>
                <w:t xml:space="preserve">https://www.cit.uscourts.gov/</w:t>
              </w:r>
            </w:hyperlink>
          </w:p>
        </w:tc>
        <w:tc>
          <w:tcPr/>
          <w:p>
            <w:pPr>
              <w:pStyle w:val="Compact"/>
              <w:jc w:val="left"/>
            </w:pPr>
            <w:r>
              <w:t xml:space="preserve">Unclear</w:t>
            </w:r>
          </w:p>
        </w:tc>
      </w:tr>
    </w:tbl>
    <w:p>
      <w:pPr>
        <w:pStyle w:val="BodyText"/>
      </w:pPr>
      <w:r>
        <w:t xml:space="preserve">Why the refund question matters to us: if we were importer of record on entries that paid IEEPA duties (for example non-USMCA goods of Canada or Mexico, or goods of China), there may be money to recover and deadlines tied to liquidation. Research identifies the mechanism and the affected entries; trade counsel decides what to file; Standard Cost and Finance handle the $ ([COMPANY: who owns the refund project]).</w:t>
      </w:r>
    </w:p>
    <w:bookmarkEnd w:id="34"/>
    <w:bookmarkStart w:id="35" w:name="us-2-measures-announced-after-the-ruling"/>
    <w:p>
      <w:pPr>
        <w:pStyle w:val="Heading4"/>
      </w:pPr>
      <w:r>
        <w:t xml:space="preserve">US-2 Measures announced after the ruling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Temporary import surcharge</w:t>
            </w:r>
          </w:p>
        </w:tc>
        <w:tc>
          <w:tcPr/>
          <w:p>
            <w:pPr>
              <w:pStyle w:val="Compact"/>
              <w:jc w:val="left"/>
            </w:pPr>
            <w:r>
              <w:t xml:space="preserve">Section 122, Trade Act of 1974 (19 U.S.C. 2132): up to 15% ad valorem, for up to 150 days unless Congress extends it</w:t>
            </w:r>
          </w:p>
        </w:tc>
        <w:tc>
          <w:tcPr/>
          <w:p>
            <w:pPr>
              <w:pStyle w:val="Compact"/>
              <w:jc w:val="left"/>
            </w:pPr>
            <w:r>
              <w:t xml:space="preserve">Reported: proclamation of 2026-02-20 imposing 10% on most imports from 2026-02-24, with exceptions reported to include goods subject to Section 232 and USMCA-qualifying goods of Canada and Mexico. The President then announced 15%; whether that took effect: verify</w:t>
            </w:r>
          </w:p>
        </w:tc>
        <w:tc>
          <w:tcPr/>
          <w:p>
            <w:pPr>
              <w:pStyle w:val="Compact"/>
              <w:jc w:val="left"/>
            </w:pPr>
            <w:r>
              <w:t xml:space="preserve">Unknown. The 150-day limit points to an end in late July 2026 unless Congress extended it. Verify the final rate, exceptions, end or extension, and any successor (V3)</w:t>
            </w:r>
          </w:p>
        </w:tc>
        <w:tc>
          <w:tcPr/>
          <w:p>
            <w:pPr>
              <w:pStyle w:val="Compact"/>
              <w:jc w:val="left"/>
            </w:pPr>
            <w:hyperlink r:id="rId25">
              <w:r>
                <w:rPr>
                  <w:rStyle w:val="Hyperlink"/>
                </w:rPr>
                <w:t xml:space="preserve">https://www.whitehouse.gov/presidential-actions/</w:t>
              </w:r>
            </w:hyperlink>
            <w:r>
              <w:t xml:space="preserve"> </w:t>
            </w:r>
            <w:r>
              <w:t xml:space="preserve">;</w:t>
            </w:r>
            <w:r>
              <w:t xml:space="preserve"> </w:t>
            </w:r>
            <w:hyperlink r:id="rId26">
              <w:r>
                <w:rPr>
                  <w:rStyle w:val="Hyperlink"/>
                </w:rPr>
                <w:t xml:space="preserve">https://www.federalregister.gov/</w:t>
              </w:r>
            </w:hyperlink>
            <w:r>
              <w:t xml:space="preserve"> </w:t>
            </w:r>
            <w:r>
              <w:t xml:space="preserve">; CBP CSMS (2026-02)</w:t>
            </w:r>
          </w:p>
        </w:tc>
        <w:tc>
          <w:tcPr/>
          <w:p>
            <w:pPr>
              <w:pStyle w:val="Compact"/>
              <w:jc w:val="left"/>
            </w:pPr>
            <w:r>
              <w:t xml:space="preserve">Unclear</w:t>
            </w:r>
          </w:p>
        </w:tc>
      </w:tr>
      <w:tr>
        <w:tc>
          <w:tcPr/>
          <w:p>
            <w:pPr>
              <w:pStyle w:val="Compact"/>
              <w:jc w:val="left"/>
            </w:pPr>
            <w:r>
              <w:t xml:space="preserve">New Section 301 investigations of trading partners</w:t>
            </w:r>
          </w:p>
        </w:tc>
        <w:tc>
          <w:tcPr/>
          <w:p>
            <w:pPr>
              <w:pStyle w:val="Compact"/>
              <w:jc w:val="left"/>
            </w:pPr>
            <w:r>
              <w:t xml:space="preserve">Section 301, Trade Act of 1974</w:t>
            </w:r>
          </w:p>
        </w:tc>
        <w:tc>
          <w:tcPr/>
          <w:p>
            <w:pPr>
              <w:pStyle w:val="Compact"/>
              <w:jc w:val="left"/>
            </w:pPr>
            <w:r>
              <w:t xml:space="preserve">Reported in early 2026 as the route to replace IEEPA country rates</w:t>
            </w:r>
          </w:p>
        </w:tc>
        <w:tc>
          <w:tcPr/>
          <w:p>
            <w:pPr>
              <w:pStyle w:val="Compact"/>
              <w:jc w:val="left"/>
            </w:pPr>
            <w:r>
              <w:t xml:space="preserve">Unknown: check for open investigations, determinations and duties in force (V5)</w:t>
            </w:r>
          </w:p>
        </w:tc>
        <w:tc>
          <w:tcPr/>
          <w:p>
            <w:pPr>
              <w:pStyle w:val="Compact"/>
              <w:jc w:val="left"/>
            </w:pPr>
            <w:hyperlink r:id="rId28">
              <w:r>
                <w:rPr>
                  <w:rStyle w:val="Hyperlink"/>
                </w:rPr>
                <w:t xml:space="preserve">https://ustr.gov/issue-areas/enforcement/section-301-investigations</w:t>
              </w:r>
            </w:hyperlink>
          </w:p>
        </w:tc>
        <w:tc>
          <w:tcPr/>
          <w:p>
            <w:pPr>
              <w:pStyle w:val="Compact"/>
              <w:jc w:val="left"/>
            </w:pPr>
            <w:r>
              <w:t xml:space="preserve">Unclear</w:t>
            </w:r>
          </w:p>
        </w:tc>
      </w:tr>
      <w:tr>
        <w:tc>
          <w:tcPr/>
          <w:p>
            <w:pPr>
              <w:pStyle w:val="Compact"/>
              <w:jc w:val="left"/>
            </w:pPr>
            <w:r>
              <w:t xml:space="preserve">Any other replacement measure (for example Section 338, or new Section 232 actions)</w:t>
            </w:r>
          </w:p>
        </w:tc>
        <w:tc>
          <w:tcPr/>
          <w:p>
            <w:pPr>
              <w:pStyle w:val="Compact"/>
              <w:jc w:val="left"/>
            </w:pPr>
            <w:r>
              <w:t xml:space="preserve">Section 338, Tariff Act of 1930 (19 U.S.C. 1338: up to 50%); Section 232</w:t>
            </w:r>
          </w:p>
        </w:tc>
        <w:tc>
          <w:tcPr/>
          <w:p>
            <w:pPr>
              <w:pStyle w:val="Compact"/>
              <w:jc w:val="left"/>
            </w:pPr>
            <w:r>
              <w:t xml:space="preserve">Unknown</w:t>
            </w:r>
          </w:p>
        </w:tc>
        <w:tc>
          <w:tcPr/>
          <w:p>
            <w:pPr>
              <w:pStyle w:val="Compact"/>
              <w:jc w:val="left"/>
            </w:pPr>
            <w:r>
              <w:t xml:space="preserve">Unknown</w:t>
            </w:r>
          </w:p>
        </w:tc>
        <w:tc>
          <w:tcPr/>
          <w:p>
            <w:pPr>
              <w:pStyle w:val="Compact"/>
              <w:jc w:val="left"/>
            </w:pPr>
            <w:r>
              <w:t xml:space="preserve">Federal Register; CBP CSMS</w:t>
            </w:r>
          </w:p>
        </w:tc>
        <w:tc>
          <w:tcPr/>
          <w:p>
            <w:pPr>
              <w:pStyle w:val="Compact"/>
              <w:jc w:val="left"/>
            </w:pPr>
            <w:r>
              <w:t xml:space="preserve">Unclear</w:t>
            </w:r>
          </w:p>
        </w:tc>
      </w:tr>
    </w:tbl>
    <w:bookmarkEnd w:id="35"/>
    <w:bookmarkStart w:id="38" w:name="Xf8ef408e4e4907c4be0f09d1ef3c9eaf61175cf"/>
    <w:p>
      <w:pPr>
        <w:pStyle w:val="Heading4"/>
      </w:pPr>
      <w:r>
        <w:t xml:space="preserve">US-3 Section 232 (Trade Expansion Act of 1962, 19 U.S.C. 1862)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Steel and steel derivatives</w:t>
            </w:r>
          </w:p>
        </w:tc>
        <w:tc>
          <w:tcPr/>
          <w:p>
            <w:pPr>
              <w:pStyle w:val="Compact"/>
              <w:jc w:val="left"/>
            </w:pPr>
            <w:r>
              <w:t xml:space="preserve">Proclamation 9705 (2018) as amended, including Proclamation 10896 (2025-02-10) and Proclamation 10947 (2025-06-03)</w:t>
            </w:r>
          </w:p>
        </w:tc>
        <w:tc>
          <w:tcPr/>
          <w:p>
            <w:pPr>
              <w:pStyle w:val="Compact"/>
              <w:jc w:val="left"/>
            </w:pPr>
            <w:r>
              <w:t xml:space="preserve">Steel articles and listed derivatives. For derivatives the duty applies to the value of the steel content. 50% from 2025-06-04 (UK 25%). Country exemptions and product exclusions ended 2025-03-12. Derivative list expanded through Commerce's inclusions process (407 HTS codes added from 2025-08-18). Melt-and-pour country reported on entry. No USMCA exemption</w:t>
            </w:r>
          </w:p>
        </w:tc>
        <w:tc>
          <w:tcPr/>
          <w:p>
            <w:pPr>
              <w:pStyle w:val="Compact"/>
              <w:jc w:val="left"/>
            </w:pPr>
            <w:r>
              <w:t xml:space="preserve">In force (last known). Check for later inclusion rounds and any 2026 change to how derivatives are taxed (V4)</w:t>
            </w:r>
          </w:p>
        </w:tc>
        <w:tc>
          <w:tcPr/>
          <w:p>
            <w:pPr>
              <w:pStyle w:val="Compact"/>
              <w:jc w:val="left"/>
            </w:pPr>
            <w:r>
              <w:t xml:space="preserve">CBP Section 232 page,</w:t>
            </w:r>
            <w:r>
              <w:t xml:space="preserve"> </w:t>
            </w:r>
            <w:hyperlink r:id="rId36">
              <w:r>
                <w:rPr>
                  <w:rStyle w:val="Hyperlink"/>
                </w:rPr>
                <w:t xml:space="preserve">https://www.cbp.gov/trade/programs-administration/trade-remedies/section-232-tariffs-aluminum-and-steel</w:t>
              </w:r>
            </w:hyperlink>
            <w:r>
              <w:t xml:space="preserve"> </w:t>
            </w:r>
            <w:r>
              <w:t xml:space="preserve">; Federal Register (2025)</w:t>
            </w:r>
          </w:p>
        </w:tc>
        <w:tc>
          <w:tcPr/>
          <w:p>
            <w:pPr>
              <w:pStyle w:val="Compact"/>
              <w:jc w:val="left"/>
            </w:pPr>
            <w:r>
              <w:t xml:space="preserve">Reported</w:t>
            </w:r>
          </w:p>
        </w:tc>
      </w:tr>
      <w:tr>
        <w:tc>
          <w:tcPr/>
          <w:p>
            <w:pPr>
              <w:pStyle w:val="Compact"/>
              <w:jc w:val="left"/>
            </w:pPr>
            <w:r>
              <w:t xml:space="preserve">Aluminum and aluminum derivatives</w:t>
            </w:r>
          </w:p>
        </w:tc>
        <w:tc>
          <w:tcPr/>
          <w:p>
            <w:pPr>
              <w:pStyle w:val="Compact"/>
              <w:jc w:val="left"/>
            </w:pPr>
            <w:r>
              <w:t xml:space="preserve">Proclamation 9704 (2018) as amended, including Proclamation 10895 (2025-02-10) and Proclamation 10947 (2025-06-03)</w:t>
            </w:r>
          </w:p>
        </w:tc>
        <w:tc>
          <w:tcPr/>
          <w:p>
            <w:pPr>
              <w:pStyle w:val="Compact"/>
              <w:jc w:val="left"/>
            </w:pPr>
            <w:r>
              <w:t xml:space="preserve">Same pattern as steel: 50% from 2025-06-04 (UK 25%), duty on the aluminum content of derivatives, country of smelt and cast reported. No USMCA exemption</w:t>
            </w:r>
          </w:p>
        </w:tc>
        <w:tc>
          <w:tcPr/>
          <w:p>
            <w:pPr>
              <w:pStyle w:val="Compact"/>
              <w:jc w:val="left"/>
            </w:pPr>
            <w:r>
              <w:t xml:space="preserve">In force (last known); verify (V4)</w:t>
            </w:r>
          </w:p>
        </w:tc>
        <w:tc>
          <w:tcPr/>
          <w:p>
            <w:pPr>
              <w:pStyle w:val="Compact"/>
              <w:jc w:val="left"/>
            </w:pPr>
            <w:r>
              <w:t xml:space="preserve">Same</w:t>
            </w:r>
          </w:p>
        </w:tc>
        <w:tc>
          <w:tcPr/>
          <w:p>
            <w:pPr>
              <w:pStyle w:val="Compact"/>
              <w:jc w:val="left"/>
            </w:pPr>
            <w:r>
              <w:t xml:space="preserve">Reported</w:t>
            </w:r>
          </w:p>
        </w:tc>
      </w:tr>
      <w:tr>
        <w:tc>
          <w:tcPr/>
          <w:p>
            <w:pPr>
              <w:pStyle w:val="Compact"/>
              <w:jc w:val="left"/>
            </w:pPr>
            <w:r>
              <w:t xml:space="preserve">Copper</w:t>
            </w:r>
          </w:p>
        </w:tc>
        <w:tc>
          <w:tcPr/>
          <w:p>
            <w:pPr>
              <w:pStyle w:val="Compact"/>
              <w:jc w:val="left"/>
            </w:pPr>
            <w:r>
              <w:t xml:space="preserve">Proclamation of 2025-07-30</w:t>
            </w:r>
          </w:p>
        </w:tc>
        <w:tc>
          <w:tcPr/>
          <w:p>
            <w:pPr>
              <w:pStyle w:val="Compact"/>
              <w:jc w:val="left"/>
            </w:pPr>
            <w:r>
              <w:t xml:space="preserve">50% on semi-finished copper products and copper-intensive derivatives from 2025-08-01, on the value of the copper content. Ores, concentrates, mattes, cathodes, anodes and scrap not covered. No USMCA exemption (reported)</w:t>
            </w:r>
          </w:p>
        </w:tc>
        <w:tc>
          <w:tcPr/>
          <w:p>
            <w:pPr>
              <w:pStyle w:val="Compact"/>
              <w:jc w:val="left"/>
            </w:pPr>
            <w:r>
              <w:t xml:space="preserve">In force (last known); verify (V4)</w:t>
            </w:r>
          </w:p>
        </w:tc>
        <w:tc>
          <w:tcPr/>
          <w:p>
            <w:pPr>
              <w:pStyle w:val="Compact"/>
              <w:jc w:val="left"/>
            </w:pPr>
            <w:r>
              <w:t xml:space="preserve">CBP trade remedies page; Federal Register (2025-08)</w:t>
            </w:r>
          </w:p>
        </w:tc>
        <w:tc>
          <w:tcPr/>
          <w:p>
            <w:pPr>
              <w:pStyle w:val="Compact"/>
              <w:jc w:val="left"/>
            </w:pPr>
            <w:r>
              <w:t xml:space="preserve">Reported</w:t>
            </w:r>
          </w:p>
        </w:tc>
      </w:tr>
      <w:tr>
        <w:tc>
          <w:tcPr/>
          <w:p>
            <w:pPr>
              <w:pStyle w:val="Compact"/>
              <w:jc w:val="left"/>
            </w:pPr>
            <w:r>
              <w:t xml:space="preserve">Passenger vehicles, light trucks and auto parts</w:t>
            </w:r>
          </w:p>
        </w:tc>
        <w:tc>
          <w:tcPr/>
          <w:p>
            <w:pPr>
              <w:pStyle w:val="Compact"/>
              <w:jc w:val="left"/>
            </w:pPr>
            <w:r>
              <w:t xml:space="preserve">Proclamation 10908 (2025-03-26), as amended</w:t>
            </w:r>
          </w:p>
        </w:tc>
        <w:tc>
          <w:tcPr/>
          <w:p>
            <w:pPr>
              <w:pStyle w:val="Compact"/>
              <w:jc w:val="left"/>
            </w:pPr>
            <w:r>
              <w:t xml:space="preserve">25%: vehicles from 2025-04-03, listed parts from 2025-05-03, more parts added through an inclusions process. Agreements set lower all-in rates for some partners (for example 15% for the EU, Japan and Korea; a UK quota at 10%) (reported). USMCA-qualifying vehicles pay only on non-US content; USMCA-qualifying parts exempt until Commerce sets a process to tax their non-US content</w:t>
            </w:r>
          </w:p>
        </w:tc>
        <w:tc>
          <w:tcPr/>
          <w:p>
            <w:pPr>
              <w:pStyle w:val="Compact"/>
              <w:jc w:val="left"/>
            </w:pPr>
            <w:r>
              <w:t xml:space="preserve">In force (last known). Verify whether the USMCA parts exemption still applies (V4)</w:t>
            </w:r>
          </w:p>
        </w:tc>
        <w:tc>
          <w:tcPr/>
          <w:p>
            <w:pPr>
              <w:pStyle w:val="Compact"/>
              <w:jc w:val="left"/>
            </w:pPr>
            <w:r>
              <w:t xml:space="preserve">CBP trade remedies page; Federal Register (2025-04)</w:t>
            </w:r>
          </w:p>
        </w:tc>
        <w:tc>
          <w:tcPr/>
          <w:p>
            <w:pPr>
              <w:pStyle w:val="Compact"/>
              <w:jc w:val="left"/>
            </w:pPr>
            <w:r>
              <w:t xml:space="preserve">Reported</w:t>
            </w:r>
          </w:p>
        </w:tc>
      </w:tr>
      <w:tr>
        <w:tc>
          <w:tcPr/>
          <w:p>
            <w:pPr>
              <w:pStyle w:val="Compact"/>
              <w:jc w:val="left"/>
            </w:pPr>
            <w:r>
              <w:t xml:space="preserve">Medium and heavy-duty trucks, their parts, and buses</w:t>
            </w:r>
          </w:p>
        </w:tc>
        <w:tc>
          <w:tcPr/>
          <w:p>
            <w:pPr>
              <w:pStyle w:val="Compact"/>
              <w:jc w:val="left"/>
            </w:pPr>
            <w:r>
              <w:t xml:space="preserve">Proclamation of 2025-10-17</w:t>
            </w:r>
          </w:p>
        </w:tc>
        <w:tc>
          <w:tcPr/>
          <w:p>
            <w:pPr>
              <w:pStyle w:val="Compact"/>
              <w:jc w:val="left"/>
            </w:pPr>
            <w:r>
              <w:t xml:space="preserve">25% on trucks and listed parts, 10% on buses, from 2025-11-01. USMCA treatment similar to autos (reported)</w:t>
            </w:r>
          </w:p>
        </w:tc>
        <w:tc>
          <w:tcPr/>
          <w:p>
            <w:pPr>
              <w:pStyle w:val="Compact"/>
              <w:jc w:val="left"/>
            </w:pPr>
            <w:r>
              <w:t xml:space="preserve">In force (last known); verify (V4)</w:t>
            </w:r>
          </w:p>
        </w:tc>
        <w:tc>
          <w:tcPr/>
          <w:p>
            <w:pPr>
              <w:pStyle w:val="Compact"/>
              <w:jc w:val="left"/>
            </w:pPr>
            <w:r>
              <w:t xml:space="preserve">CBP trade remedies page; Federal Register (2025-10)</w:t>
            </w:r>
          </w:p>
        </w:tc>
        <w:tc>
          <w:tcPr/>
          <w:p>
            <w:pPr>
              <w:pStyle w:val="Compact"/>
              <w:jc w:val="left"/>
            </w:pPr>
            <w:r>
              <w:t xml:space="preserve">Reported</w:t>
            </w:r>
          </w:p>
        </w:tc>
      </w:tr>
      <w:tr>
        <w:tc>
          <w:tcPr/>
          <w:p>
            <w:pPr>
              <w:pStyle w:val="Compact"/>
              <w:jc w:val="left"/>
            </w:pPr>
            <w:r>
              <w:t xml:space="preserve">Timber, lumber and wood products</w:t>
            </w:r>
          </w:p>
        </w:tc>
        <w:tc>
          <w:tcPr/>
          <w:p>
            <w:pPr>
              <w:pStyle w:val="Compact"/>
              <w:jc w:val="left"/>
            </w:pPr>
            <w:r>
              <w:t xml:space="preserve">Proclamation of 2025-09-29</w:t>
            </w:r>
          </w:p>
        </w:tc>
        <w:tc>
          <w:tcPr/>
          <w:p>
            <w:pPr>
              <w:pStyle w:val="Compact"/>
              <w:jc w:val="left"/>
            </w:pPr>
            <w:r>
              <w:t xml:space="preserve">From 2025-10-14: 10% on softwood timber and lumber; 25% on upholstered wooden furniture; 25% on kitchen cabinets and vanities. Increases (to 30% and 50%) set for 2026-01-01 were postponed to 2027-01-01 (reported). UK 10%; EU and Japan capped at 15% (reported). USMCA treatment: verify</w:t>
            </w:r>
          </w:p>
        </w:tc>
        <w:tc>
          <w:tcPr/>
          <w:p>
            <w:pPr>
              <w:pStyle w:val="Compact"/>
              <w:jc w:val="left"/>
            </w:pPr>
            <w:r>
              <w:t xml:space="preserve">In force (last known); watch 2027-01-01</w:t>
            </w:r>
          </w:p>
        </w:tc>
        <w:tc>
          <w:tcPr/>
          <w:p>
            <w:pPr>
              <w:pStyle w:val="Compact"/>
              <w:jc w:val="left"/>
            </w:pPr>
            <w:r>
              <w:t xml:space="preserve">CBP trade remedies page; Federal Register (2025-10 and 2025-12)</w:t>
            </w:r>
          </w:p>
        </w:tc>
        <w:tc>
          <w:tcPr/>
          <w:p>
            <w:pPr>
              <w:pStyle w:val="Compact"/>
              <w:jc w:val="left"/>
            </w:pPr>
            <w:r>
              <w:t xml:space="preserve">Reported</w:t>
            </w:r>
          </w:p>
        </w:tc>
      </w:tr>
      <w:tr>
        <w:tc>
          <w:tcPr/>
          <w:p>
            <w:pPr>
              <w:pStyle w:val="Compact"/>
              <w:jc w:val="left"/>
            </w:pPr>
            <w:r>
              <w:t xml:space="preserve">Semiconductors</w:t>
            </w:r>
          </w:p>
        </w:tc>
        <w:tc>
          <w:tcPr/>
          <w:p>
            <w:pPr>
              <w:pStyle w:val="Compact"/>
              <w:jc w:val="left"/>
            </w:pPr>
            <w:r>
              <w:t xml:space="preserve">Proclamation of January 2026 (reported)</w:t>
            </w:r>
          </w:p>
        </w:tc>
        <w:tc>
          <w:tcPr/>
          <w:p>
            <w:pPr>
              <w:pStyle w:val="Compact"/>
              <w:jc w:val="left"/>
            </w:pPr>
            <w:r>
              <w:t xml:space="preserve">Reported: 25% on a narrow set of advanced computing chips, with broad exceptions. Broader semiconductor tariffs had been announced but were not known to be in force</w:t>
            </w:r>
          </w:p>
        </w:tc>
        <w:tc>
          <w:tcPr/>
          <w:p>
            <w:pPr>
              <w:pStyle w:val="Compact"/>
              <w:jc w:val="left"/>
            </w:pPr>
            <w:r>
              <w:t xml:space="preserve">Unclear; verify scope (V4)</w:t>
            </w:r>
          </w:p>
        </w:tc>
        <w:tc>
          <w:tcPr/>
          <w:p>
            <w:pPr>
              <w:pStyle w:val="Compact"/>
              <w:jc w:val="left"/>
            </w:pPr>
            <w:hyperlink r:id="rId25">
              <w:r>
                <w:rPr>
                  <w:rStyle w:val="Hyperlink"/>
                </w:rPr>
                <w:t xml:space="preserve">https://www.whitehouse.gov/presidential-actions/</w:t>
              </w:r>
            </w:hyperlink>
            <w:r>
              <w:t xml:space="preserve"> </w:t>
            </w:r>
            <w:r>
              <w:t xml:space="preserve">(2026-01)</w:t>
            </w:r>
          </w:p>
        </w:tc>
        <w:tc>
          <w:tcPr/>
          <w:p>
            <w:pPr>
              <w:pStyle w:val="Compact"/>
              <w:jc w:val="left"/>
            </w:pPr>
            <w:r>
              <w:t xml:space="preserve">Unclear</w:t>
            </w:r>
          </w:p>
        </w:tc>
      </w:tr>
      <w:tr>
        <w:tc>
          <w:tcPr/>
          <w:p>
            <w:pPr>
              <w:pStyle w:val="Compact"/>
              <w:jc w:val="left"/>
            </w:pPr>
            <w:r>
              <w:t xml:space="preserve">Pharmaceuticals</w:t>
            </w:r>
          </w:p>
        </w:tc>
        <w:tc>
          <w:tcPr/>
          <w:p>
            <w:pPr>
              <w:pStyle w:val="Compact"/>
              <w:jc w:val="left"/>
            </w:pPr>
            <w:r>
              <w:t xml:space="preserve">Investigation opened 2025</w:t>
            </w:r>
          </w:p>
        </w:tc>
        <w:tc>
          <w:tcPr/>
          <w:p>
            <w:pPr>
              <w:pStyle w:val="Compact"/>
              <w:jc w:val="left"/>
            </w:pPr>
            <w:r>
              <w:t xml:space="preserve">100% on branded or patented products was announced on 2025-09-25 to start 2025-10-01</w:t>
            </w:r>
          </w:p>
        </w:tc>
        <w:tc>
          <w:tcPr/>
          <w:p>
            <w:pPr>
              <w:pStyle w:val="Compact"/>
              <w:jc w:val="left"/>
            </w:pPr>
            <w:r>
              <w:t xml:space="preserve">Not known to have been implemented by proclamation as of mid-2026. Unclear</w:t>
            </w:r>
          </w:p>
        </w:tc>
        <w:tc>
          <w:tcPr/>
          <w:p>
            <w:pPr>
              <w:pStyle w:val="Compact"/>
              <w:jc w:val="left"/>
            </w:pPr>
            <w:r>
              <w:t xml:space="preserve">Same</w:t>
            </w:r>
          </w:p>
        </w:tc>
        <w:tc>
          <w:tcPr/>
          <w:p>
            <w:pPr>
              <w:pStyle w:val="Compact"/>
              <w:jc w:val="left"/>
            </w:pPr>
            <w:r>
              <w:t xml:space="preserve">Unclear</w:t>
            </w:r>
          </w:p>
        </w:tc>
      </w:tr>
      <w:tr>
        <w:tc>
          <w:tcPr/>
          <w:p>
            <w:pPr>
              <w:pStyle w:val="Compact"/>
              <w:jc w:val="left"/>
            </w:pPr>
            <w:r>
              <w:t xml:space="preserve">Processed critical minerals</w:t>
            </w:r>
          </w:p>
        </w:tc>
        <w:tc>
          <w:tcPr/>
          <w:p>
            <w:pPr>
              <w:pStyle w:val="Compact"/>
              <w:jc w:val="left"/>
            </w:pPr>
            <w:r>
              <w:t xml:space="preserve">Investigation opened 2025</w:t>
            </w:r>
          </w:p>
        </w:tc>
        <w:tc>
          <w:tcPr/>
          <w:p>
            <w:pPr>
              <w:pStyle w:val="Compact"/>
              <w:jc w:val="left"/>
            </w:pPr>
            <w:r>
              <w:t xml:space="preserve">Outcome reported in January 2026: negotiations with suppliers rather than immediate tariffs</w:t>
            </w:r>
          </w:p>
        </w:tc>
        <w:tc>
          <w:tcPr/>
          <w:p>
            <w:pPr>
              <w:pStyle w:val="Compact"/>
              <w:jc w:val="left"/>
            </w:pPr>
            <w:r>
              <w:t xml:space="preserve">Unclear</w:t>
            </w:r>
          </w:p>
        </w:tc>
        <w:tc>
          <w:tcPr/>
          <w:p>
            <w:pPr>
              <w:pStyle w:val="Compact"/>
              <w:jc w:val="left"/>
            </w:pPr>
            <w:r>
              <w:t xml:space="preserve">Same</w:t>
            </w:r>
          </w:p>
        </w:tc>
        <w:tc>
          <w:tcPr/>
          <w:p>
            <w:pPr>
              <w:pStyle w:val="Compact"/>
              <w:jc w:val="left"/>
            </w:pPr>
            <w:r>
              <w:t xml:space="preserve">Unclear</w:t>
            </w:r>
          </w:p>
        </w:tc>
      </w:tr>
      <w:tr>
        <w:tc>
          <w:tcPr/>
          <w:p>
            <w:pPr>
              <w:pStyle w:val="Compact"/>
              <w:jc w:val="left"/>
            </w:pPr>
            <w:r>
              <w:t xml:space="preserve">Other investigations opened in 2025: commercial aircraft and jet engines; polysilicon; unmanned aircraft systems; wind turbines; robotics and industrial machinery; personal protective equipment and medical items</w:t>
            </w:r>
          </w:p>
        </w:tc>
        <w:tc>
          <w:tcPr/>
          <w:p>
            <w:pPr>
              <w:pStyle w:val="Compact"/>
              <w:jc w:val="left"/>
            </w:pPr>
            <w:r>
              <w:t xml:space="preserve">Section 232 investigations (Commerce)</w:t>
            </w:r>
          </w:p>
        </w:tc>
        <w:tc>
          <w:tcPr/>
          <w:p>
            <w:pPr>
              <w:pStyle w:val="Compact"/>
              <w:jc w:val="left"/>
            </w:pPr>
            <w:r>
              <w:t xml:space="preserve">Possible new product lists</w:t>
            </w:r>
          </w:p>
        </w:tc>
        <w:tc>
          <w:tcPr/>
          <w:p>
            <w:pPr>
              <w:pStyle w:val="Compact"/>
              <w:jc w:val="left"/>
            </w:pPr>
            <w:r>
              <w:t xml:space="preserve">Pending (last known). Results after mid-2026: Unknown</w:t>
            </w:r>
          </w:p>
        </w:tc>
        <w:tc>
          <w:tcPr/>
          <w:p>
            <w:pPr>
              <w:pStyle w:val="Compact"/>
              <w:jc w:val="left"/>
            </w:pPr>
            <w:r>
              <w:t xml:space="preserve">Commerce Section 232 pages via</w:t>
            </w:r>
            <w:r>
              <w:t xml:space="preserve"> </w:t>
            </w:r>
            <w:hyperlink r:id="rId37">
              <w:r>
                <w:rPr>
                  <w:rStyle w:val="Hyperlink"/>
                </w:rPr>
                <w:t xml:space="preserve">https://www.bis.gov/</w:t>
              </w:r>
            </w:hyperlink>
            <w:r>
              <w:t xml:space="preserve"> </w:t>
            </w:r>
            <w:r>
              <w:t xml:space="preserve">; Federal Register</w:t>
            </w:r>
          </w:p>
        </w:tc>
        <w:tc>
          <w:tcPr/>
          <w:p>
            <w:pPr>
              <w:pStyle w:val="Compact"/>
              <w:jc w:val="left"/>
            </w:pPr>
            <w:r>
              <w:t xml:space="preserve">Unclear</w:t>
            </w:r>
          </w:p>
        </w:tc>
      </w:tr>
    </w:tbl>
    <w:bookmarkEnd w:id="38"/>
    <w:bookmarkStart w:id="40" w:name="X5b25d55b5d16bcb93791abd6ba0f33cd53ef868"/>
    <w:p>
      <w:pPr>
        <w:pStyle w:val="Heading4"/>
      </w:pPr>
      <w:r>
        <w:t xml:space="preserve">US-4 Section 301 (Trade Act of 1974, 19 U.S.C. 2411)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China, Lists 1 to 4A</w:t>
            </w:r>
          </w:p>
        </w:tc>
        <w:tc>
          <w:tcPr/>
          <w:p>
            <w:pPr>
              <w:pStyle w:val="Compact"/>
              <w:jc w:val="left"/>
            </w:pPr>
            <w:r>
              <w:t xml:space="preserve">USTR actions of 2018 and 2019</w:t>
            </w:r>
          </w:p>
        </w:tc>
        <w:tc>
          <w:tcPr/>
          <w:p>
            <w:pPr>
              <w:pStyle w:val="Compact"/>
              <w:jc w:val="left"/>
            </w:pPr>
            <w:r>
              <w:t xml:space="preserve">25% on Lists 1, 2 and 3; 7.5% on List 4A (HTSUS heading group 9903.88)</w:t>
            </w:r>
          </w:p>
        </w:tc>
        <w:tc>
          <w:tcPr/>
          <w:p>
            <w:pPr>
              <w:pStyle w:val="Compact"/>
              <w:jc w:val="left"/>
            </w:pPr>
            <w:r>
              <w:t xml:space="preserve">In force (last known)</w:t>
            </w:r>
          </w:p>
        </w:tc>
        <w:tc>
          <w:tcPr/>
          <w:p>
            <w:pPr>
              <w:pStyle w:val="Compact"/>
              <w:jc w:val="left"/>
            </w:pPr>
            <w:r>
              <w:t xml:space="preserve">USTR Section 301 page,</w:t>
            </w:r>
            <w:r>
              <w:t xml:space="preserve"> </w:t>
            </w:r>
            <w:hyperlink r:id="rId28">
              <w:r>
                <w:rPr>
                  <w:rStyle w:val="Hyperlink"/>
                </w:rPr>
                <w:t xml:space="preserve">https://ustr.gov/issue-areas/enforcement/section-301-investigations</w:t>
              </w:r>
            </w:hyperlink>
            <w:r>
              <w:t xml:space="preserve"> </w:t>
            </w:r>
            <w:r>
              <w:t xml:space="preserve">; CBP Section 301 page,</w:t>
            </w:r>
            <w:r>
              <w:t xml:space="preserve"> </w:t>
            </w:r>
            <w:hyperlink r:id="rId39">
              <w:r>
                <w:rPr>
                  <w:rStyle w:val="Hyperlink"/>
                </w:rPr>
                <w:t xml:space="preserve">https://www.cbp.gov/trade/programs-administration/trade-remedies/section-301-trade-remedies</w:t>
              </w:r>
            </w:hyperlink>
          </w:p>
        </w:tc>
        <w:tc>
          <w:tcPr/>
          <w:p>
            <w:pPr>
              <w:pStyle w:val="Compact"/>
              <w:jc w:val="left"/>
            </w:pPr>
            <w:r>
              <w:t xml:space="preserve">Reported</w:t>
            </w:r>
          </w:p>
        </w:tc>
      </w:tr>
      <w:tr>
        <w:tc>
          <w:tcPr/>
          <w:p>
            <w:pPr>
              <w:pStyle w:val="Compact"/>
              <w:jc w:val="left"/>
            </w:pPr>
            <w:r>
              <w:t xml:space="preserve">China, four-year review increases</w:t>
            </w:r>
          </w:p>
        </w:tc>
        <w:tc>
          <w:tcPr/>
          <w:p>
            <w:pPr>
              <w:pStyle w:val="Compact"/>
              <w:jc w:val="left"/>
            </w:pPr>
            <w:r>
              <w:t xml:space="preserve">USTR modification of 2024</w:t>
            </w:r>
          </w:p>
        </w:tc>
        <w:tc>
          <w:tcPr/>
          <w:p>
            <w:pPr>
              <w:pStyle w:val="Compact"/>
              <w:jc w:val="left"/>
            </w:pPr>
            <w:r>
              <w:t xml:space="preserve">Higher rates on strategic goods (for example electric vehicles 100%, semiconductors 50%, and increases on solar cells, batteries, critical minerals, steel and aluminum products, ship-to-shore cranes, some medical products, tungsten, wafers and polysilicon), phased in from 2024 to 2026-01-01</w:t>
            </w:r>
          </w:p>
        </w:tc>
        <w:tc>
          <w:tcPr/>
          <w:p>
            <w:pPr>
              <w:pStyle w:val="Compact"/>
              <w:jc w:val="left"/>
            </w:pPr>
            <w:r>
              <w:t xml:space="preserve">In force (last known)</w:t>
            </w:r>
          </w:p>
        </w:tc>
        <w:tc>
          <w:tcPr/>
          <w:p>
            <w:pPr>
              <w:pStyle w:val="Compact"/>
              <w:jc w:val="left"/>
            </w:pPr>
            <w:r>
              <w:t xml:space="preserve">Same; Federal Register (2024-09)</w:t>
            </w:r>
          </w:p>
        </w:tc>
        <w:tc>
          <w:tcPr/>
          <w:p>
            <w:pPr>
              <w:pStyle w:val="Compact"/>
              <w:jc w:val="left"/>
            </w:pPr>
            <w:r>
              <w:t xml:space="preserve">Reported</w:t>
            </w:r>
          </w:p>
        </w:tc>
      </w:tr>
      <w:tr>
        <w:tc>
          <w:tcPr/>
          <w:p>
            <w:pPr>
              <w:pStyle w:val="Compact"/>
              <w:jc w:val="left"/>
            </w:pPr>
            <w:r>
              <w:t xml:space="preserve">China, product exclusions</w:t>
            </w:r>
          </w:p>
        </w:tc>
        <w:tc>
          <w:tcPr/>
          <w:p>
            <w:pPr>
              <w:pStyle w:val="Compact"/>
              <w:jc w:val="left"/>
            </w:pPr>
            <w:r>
              <w:t xml:space="preserve">USTR exclusion extensions</w:t>
            </w:r>
          </w:p>
        </w:tc>
        <w:tc>
          <w:tcPr/>
          <w:p>
            <w:pPr>
              <w:pStyle w:val="Compact"/>
              <w:jc w:val="left"/>
            </w:pPr>
            <w:r>
              <w:t xml:space="preserve">178 exclusions extended to 2026-11-10 (reported, USTR notice of 2025-11)</w:t>
            </w:r>
          </w:p>
        </w:tc>
        <w:tc>
          <w:tcPr/>
          <w:p>
            <w:pPr>
              <w:pStyle w:val="Compact"/>
              <w:jc w:val="left"/>
            </w:pPr>
            <w:r>
              <w:t xml:space="preserve">Expire 2026-11-10 unless extended. Watch USTR (V5)</w:t>
            </w:r>
          </w:p>
        </w:tc>
        <w:tc>
          <w:tcPr/>
          <w:p>
            <w:pPr>
              <w:pStyle w:val="Compact"/>
              <w:jc w:val="left"/>
            </w:pPr>
            <w:r>
              <w:t xml:space="preserve">USTR Section 301 page</w:t>
            </w:r>
          </w:p>
        </w:tc>
        <w:tc>
          <w:tcPr/>
          <w:p>
            <w:pPr>
              <w:pStyle w:val="Compact"/>
              <w:jc w:val="left"/>
            </w:pPr>
            <w:r>
              <w:t xml:space="preserve">Reported</w:t>
            </w:r>
          </w:p>
        </w:tc>
      </w:tr>
      <w:tr>
        <w:tc>
          <w:tcPr/>
          <w:p>
            <w:pPr>
              <w:pStyle w:val="Compact"/>
              <w:jc w:val="left"/>
            </w:pPr>
            <w:r>
              <w:t xml:space="preserve">China, maritime, logistics and shipbuilding</w:t>
            </w:r>
          </w:p>
        </w:tc>
        <w:tc>
          <w:tcPr/>
          <w:p>
            <w:pPr>
              <w:pStyle w:val="Compact"/>
              <w:jc w:val="left"/>
            </w:pPr>
            <w:r>
              <w:t xml:space="preserve">USTR action of 2025</w:t>
            </w:r>
          </w:p>
        </w:tc>
        <w:tc>
          <w:tcPr/>
          <w:p>
            <w:pPr>
              <w:pStyle w:val="Compact"/>
              <w:jc w:val="left"/>
            </w:pPr>
            <w:r>
              <w:t xml:space="preserve">Fees on vessels linked to China from 2025-10-14, and related equipment measures</w:t>
            </w:r>
          </w:p>
        </w:tc>
        <w:tc>
          <w:tcPr/>
          <w:p>
            <w:pPr>
              <w:pStyle w:val="Compact"/>
              <w:jc w:val="left"/>
            </w:pPr>
            <w:r>
              <w:t xml:space="preserve">Suspended for one year from 2025-11-10 under the US-China arrangement (reported); watch 2026-11-10</w:t>
            </w:r>
          </w:p>
        </w:tc>
        <w:tc>
          <w:tcPr/>
          <w:p>
            <w:pPr>
              <w:pStyle w:val="Compact"/>
              <w:jc w:val="left"/>
            </w:pPr>
            <w:r>
              <w:t xml:space="preserve">Same</w:t>
            </w:r>
          </w:p>
        </w:tc>
        <w:tc>
          <w:tcPr/>
          <w:p>
            <w:pPr>
              <w:pStyle w:val="Compact"/>
              <w:jc w:val="left"/>
            </w:pPr>
            <w:r>
              <w:t xml:space="preserve">Reported</w:t>
            </w:r>
          </w:p>
        </w:tc>
      </w:tr>
      <w:tr>
        <w:tc>
          <w:tcPr/>
          <w:p>
            <w:pPr>
              <w:pStyle w:val="Compact"/>
              <w:jc w:val="left"/>
            </w:pPr>
            <w:r>
              <w:t xml:space="preserve">China, legacy semiconductors</w:t>
            </w:r>
          </w:p>
        </w:tc>
        <w:tc>
          <w:tcPr/>
          <w:p>
            <w:pPr>
              <w:pStyle w:val="Compact"/>
              <w:jc w:val="left"/>
            </w:pPr>
            <w:r>
              <w:t xml:space="preserve">USTR determination of 2025-12 (reported)</w:t>
            </w:r>
          </w:p>
        </w:tc>
        <w:tc>
          <w:tcPr/>
          <w:p>
            <w:pPr>
              <w:pStyle w:val="Compact"/>
              <w:jc w:val="left"/>
            </w:pPr>
            <w:r>
              <w:t xml:space="preserve">Action set at 0% at first, with an increase scheduled for June 2027 at a rate to be announced (reported)</w:t>
            </w:r>
          </w:p>
        </w:tc>
        <w:tc>
          <w:tcPr/>
          <w:p>
            <w:pPr>
              <w:pStyle w:val="Compact"/>
              <w:jc w:val="left"/>
            </w:pPr>
            <w:r>
              <w:t xml:space="preserve">Unclear; verify</w:t>
            </w:r>
          </w:p>
        </w:tc>
        <w:tc>
          <w:tcPr/>
          <w:p>
            <w:pPr>
              <w:pStyle w:val="Compact"/>
              <w:jc w:val="left"/>
            </w:pPr>
            <w:r>
              <w:t xml:space="preserve">Same</w:t>
            </w:r>
          </w:p>
        </w:tc>
        <w:tc>
          <w:tcPr/>
          <w:p>
            <w:pPr>
              <w:pStyle w:val="Compact"/>
              <w:jc w:val="left"/>
            </w:pPr>
            <w:r>
              <w:t xml:space="preserve">Unclear</w:t>
            </w:r>
          </w:p>
        </w:tc>
      </w:tr>
      <w:tr>
        <w:tc>
          <w:tcPr/>
          <w:p>
            <w:pPr>
              <w:pStyle w:val="Compact"/>
              <w:jc w:val="left"/>
            </w:pPr>
            <w:r>
              <w:t xml:space="preserve">Nicaragua</w:t>
            </w:r>
          </w:p>
        </w:tc>
        <w:tc>
          <w:tcPr/>
          <w:p>
            <w:pPr>
              <w:pStyle w:val="Compact"/>
              <w:jc w:val="left"/>
            </w:pPr>
            <w:r>
              <w:t xml:space="preserve">USTR determination of 2025-12 (reported)</w:t>
            </w:r>
          </w:p>
        </w:tc>
        <w:tc>
          <w:tcPr/>
          <w:p>
            <w:pPr>
              <w:pStyle w:val="Compact"/>
              <w:jc w:val="left"/>
            </w:pPr>
            <w:r>
              <w:t xml:space="preserve">Phased duties on goods not originating under CAFTA-DR, starting 2027 (reported)</w:t>
            </w:r>
          </w:p>
        </w:tc>
        <w:tc>
          <w:tcPr/>
          <w:p>
            <w:pPr>
              <w:pStyle w:val="Compact"/>
              <w:jc w:val="left"/>
            </w:pPr>
            <w:r>
              <w:t xml:space="preserve">Unclear; verify</w:t>
            </w:r>
          </w:p>
        </w:tc>
        <w:tc>
          <w:tcPr/>
          <w:p>
            <w:pPr>
              <w:pStyle w:val="Compact"/>
              <w:jc w:val="left"/>
            </w:pPr>
            <w:r>
              <w:t xml:space="preserve">Same</w:t>
            </w:r>
          </w:p>
        </w:tc>
        <w:tc>
          <w:tcPr/>
          <w:p>
            <w:pPr>
              <w:pStyle w:val="Compact"/>
              <w:jc w:val="left"/>
            </w:pPr>
            <w:r>
              <w:t xml:space="preserve">Unclear</w:t>
            </w:r>
          </w:p>
        </w:tc>
      </w:tr>
      <w:tr>
        <w:tc>
          <w:tcPr/>
          <w:p>
            <w:pPr>
              <w:pStyle w:val="Compact"/>
              <w:jc w:val="left"/>
            </w:pPr>
            <w:r>
              <w:t xml:space="preserve">Brazil</w:t>
            </w:r>
          </w:p>
        </w:tc>
        <w:tc>
          <w:tcPr/>
          <w:p>
            <w:pPr>
              <w:pStyle w:val="Compact"/>
              <w:jc w:val="left"/>
            </w:pPr>
            <w:r>
              <w:t xml:space="preserve">Investigation opened 2025-07</w:t>
            </w:r>
          </w:p>
        </w:tc>
        <w:tc>
          <w:tcPr/>
          <w:p>
            <w:pPr>
              <w:pStyle w:val="Compact"/>
              <w:jc w:val="left"/>
            </w:pPr>
            <w:r>
              <w:t xml:space="preserve">Unfair practices investigation</w:t>
            </w:r>
          </w:p>
        </w:tc>
        <w:tc>
          <w:tcPr/>
          <w:p>
            <w:pPr>
              <w:pStyle w:val="Compact"/>
              <w:jc w:val="left"/>
            </w:pPr>
            <w:r>
              <w:t xml:space="preserve">Unknown</w:t>
            </w:r>
          </w:p>
        </w:tc>
        <w:tc>
          <w:tcPr/>
          <w:p>
            <w:pPr>
              <w:pStyle w:val="Compact"/>
              <w:jc w:val="left"/>
            </w:pPr>
            <w:r>
              <w:t xml:space="preserve">Same</w:t>
            </w:r>
          </w:p>
        </w:tc>
        <w:tc>
          <w:tcPr/>
          <w:p>
            <w:pPr>
              <w:pStyle w:val="Compact"/>
              <w:jc w:val="left"/>
            </w:pPr>
            <w:r>
              <w:t xml:space="preserve">Unclear</w:t>
            </w:r>
          </w:p>
        </w:tc>
      </w:tr>
    </w:tbl>
    <w:bookmarkEnd w:id="40"/>
    <w:bookmarkStart w:id="42" w:name="us-5-other-us-authorities"/>
    <w:p>
      <w:pPr>
        <w:pStyle w:val="Heading4"/>
      </w:pPr>
      <w:r>
        <w:t xml:space="preserve">US-5 Other US authorities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Solar cells and modules safeguard</w:t>
            </w:r>
          </w:p>
        </w:tc>
        <w:tc>
          <w:tcPr/>
          <w:p>
            <w:pPr>
              <w:pStyle w:val="Compact"/>
              <w:jc w:val="left"/>
            </w:pPr>
            <w:r>
              <w:t xml:space="preserve">Section 201, Trade Act of 1974 (19 U.S.C. 2251)</w:t>
            </w:r>
          </w:p>
        </w:tc>
        <w:tc>
          <w:tcPr/>
          <w:p>
            <w:pPr>
              <w:pStyle w:val="Compact"/>
              <w:jc w:val="left"/>
            </w:pPr>
            <w:r>
              <w:t xml:space="preserve">Extended in 2022 for four years</w:t>
            </w:r>
          </w:p>
        </w:tc>
        <w:tc>
          <w:tcPr/>
          <w:p>
            <w:pPr>
              <w:pStyle w:val="Compact"/>
              <w:jc w:val="left"/>
            </w:pPr>
            <w:r>
              <w:t xml:space="preserve">Scheduled to end 2026-02-06; verify</w:t>
            </w:r>
          </w:p>
        </w:tc>
        <w:tc>
          <w:tcPr/>
          <w:p>
            <w:pPr>
              <w:pStyle w:val="Compact"/>
              <w:jc w:val="left"/>
            </w:pPr>
            <w:r>
              <w:t xml:space="preserve">Federal Register (2022-02)</w:t>
            </w:r>
          </w:p>
        </w:tc>
        <w:tc>
          <w:tcPr/>
          <w:p>
            <w:pPr>
              <w:pStyle w:val="Compact"/>
              <w:jc w:val="left"/>
            </w:pPr>
            <w:r>
              <w:t xml:space="preserve">Unclear</w:t>
            </w:r>
          </w:p>
        </w:tc>
      </w:tr>
      <w:tr>
        <w:tc>
          <w:tcPr/>
          <w:p>
            <w:pPr>
              <w:pStyle w:val="Compact"/>
              <w:jc w:val="left"/>
            </w:pPr>
            <w:r>
              <w:t xml:space="preserve">Section 338 duties</w:t>
            </w:r>
          </w:p>
        </w:tc>
        <w:tc>
          <w:tcPr/>
          <w:p>
            <w:pPr>
              <w:pStyle w:val="Compact"/>
              <w:jc w:val="left"/>
            </w:pPr>
            <w:r>
              <w:t xml:space="preserve">Tariff Act of 1930, section 338 (19 U.S.C. 1338)</w:t>
            </w:r>
          </w:p>
        </w:tc>
        <w:tc>
          <w:tcPr/>
          <w:p>
            <w:pPr>
              <w:pStyle w:val="Compact"/>
              <w:jc w:val="left"/>
            </w:pPr>
            <w:r>
              <w:t xml:space="preserve">Up to 50% on countries that discriminate against US commerce</w:t>
            </w:r>
          </w:p>
        </w:tc>
        <w:tc>
          <w:tcPr/>
          <w:p>
            <w:pPr>
              <w:pStyle w:val="Compact"/>
              <w:jc w:val="left"/>
            </w:pPr>
            <w:r>
              <w:t xml:space="preserve">No use known as of mid-2026; verify</w:t>
            </w:r>
          </w:p>
        </w:tc>
        <w:tc>
          <w:tcPr/>
          <w:p>
            <w:pPr>
              <w:pStyle w:val="Compact"/>
              <w:jc w:val="left"/>
            </w:pPr>
            <w:r>
              <w:t xml:space="preserve">Federal Register</w:t>
            </w:r>
          </w:p>
        </w:tc>
        <w:tc>
          <w:tcPr/>
          <w:p>
            <w:pPr>
              <w:pStyle w:val="Compact"/>
              <w:jc w:val="left"/>
            </w:pPr>
            <w:r>
              <w:t xml:space="preserve">Unclear</w:t>
            </w:r>
          </w:p>
        </w:tc>
      </w:tr>
      <w:tr>
        <w:tc>
          <w:tcPr/>
          <w:p>
            <w:pPr>
              <w:pStyle w:val="Compact"/>
              <w:jc w:val="left"/>
            </w:pPr>
            <w:r>
              <w:t xml:space="preserve">Antidumping and countervailing duties</w:t>
            </w:r>
          </w:p>
        </w:tc>
        <w:tc>
          <w:tcPr/>
          <w:p>
            <w:pPr>
              <w:pStyle w:val="Compact"/>
              <w:jc w:val="left"/>
            </w:pPr>
            <w:r>
              <w:t xml:space="preserve">Tariff Act of 1930, Title VII</w:t>
            </w:r>
          </w:p>
        </w:tc>
        <w:tc>
          <w:tcPr/>
          <w:p>
            <w:pPr>
              <w:pStyle w:val="Compact"/>
              <w:jc w:val="left"/>
            </w:pPr>
            <w:r>
              <w:t xml:space="preserve">Orders on specific products from specific countries, producer-specific rates</w:t>
            </w:r>
          </w:p>
        </w:tc>
        <w:tc>
          <w:tcPr/>
          <w:p>
            <w:pPr>
              <w:pStyle w:val="Compact"/>
              <w:jc w:val="left"/>
            </w:pPr>
            <w:r>
              <w:t xml:space="preserve">Case by case: check orders on our product lines ([COMPANY: product lines])</w:t>
            </w:r>
          </w:p>
        </w:tc>
        <w:tc>
          <w:tcPr/>
          <w:p>
            <w:pPr>
              <w:pStyle w:val="Compact"/>
              <w:jc w:val="left"/>
            </w:pPr>
            <w:hyperlink r:id="rId41">
              <w:r>
                <w:rPr>
                  <w:rStyle w:val="Hyperlink"/>
                </w:rPr>
                <w:t xml:space="preserve">https://www.trade.gov/</w:t>
              </w:r>
            </w:hyperlink>
            <w:r>
              <w:t xml:space="preserve"> </w:t>
            </w:r>
            <w:r>
              <w:t xml:space="preserve">; Federal Register</w:t>
            </w:r>
          </w:p>
        </w:tc>
        <w:tc>
          <w:tcPr/>
          <w:p>
            <w:pPr>
              <w:pStyle w:val="Compact"/>
              <w:jc w:val="left"/>
            </w:pPr>
            <w:r>
              <w:t xml:space="preserve">Not applicable</w:t>
            </w:r>
          </w:p>
        </w:tc>
      </w:tr>
    </w:tbl>
    <w:bookmarkEnd w:id="42"/>
    <w:bookmarkStart w:id="44" w:name="us-6-de-minimis-section-321-19-usc-1321"/>
    <w:p>
      <w:pPr>
        <w:pStyle w:val="Heading4"/>
      </w:pPr>
      <w:r>
        <w:t xml:space="preserve">US-6 De minimis (Section 321, 19 U.S.C. 1321)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End of de minimis for China and Hong Kong</w:t>
            </w:r>
          </w:p>
        </w:tc>
        <w:tc>
          <w:tcPr/>
          <w:p>
            <w:pPr>
              <w:pStyle w:val="Compact"/>
              <w:jc w:val="left"/>
            </w:pPr>
            <w:r>
              <w:t xml:space="preserve">IEEPA; EO 14256 (2025-04-02)</w:t>
            </w:r>
          </w:p>
        </w:tc>
        <w:tc>
          <w:tcPr/>
          <w:p>
            <w:pPr>
              <w:pStyle w:val="Compact"/>
              <w:jc w:val="left"/>
            </w:pPr>
            <w:r>
              <w:t xml:space="preserve">Low-value shipments of China and Hong Kong origin</w:t>
            </w:r>
          </w:p>
        </w:tc>
        <w:tc>
          <w:tcPr/>
          <w:p>
            <w:pPr>
              <w:pStyle w:val="Compact"/>
              <w:jc w:val="left"/>
            </w:pPr>
            <w:r>
              <w:t xml:space="preserve">Ended from 2025-05-02 (reported)</w:t>
            </w:r>
          </w:p>
        </w:tc>
        <w:tc>
          <w:tcPr/>
          <w:p>
            <w:pPr>
              <w:pStyle w:val="Compact"/>
              <w:jc w:val="left"/>
            </w:pPr>
            <w:r>
              <w:t xml:space="preserve">Federal Register (2025-04)</w:t>
            </w:r>
          </w:p>
        </w:tc>
        <w:tc>
          <w:tcPr/>
          <w:p>
            <w:pPr>
              <w:pStyle w:val="Compact"/>
              <w:jc w:val="left"/>
            </w:pPr>
            <w:r>
              <w:t xml:space="preserve">Reported</w:t>
            </w:r>
          </w:p>
        </w:tc>
      </w:tr>
      <w:tr>
        <w:tc>
          <w:tcPr/>
          <w:p>
            <w:pPr>
              <w:pStyle w:val="Compact"/>
              <w:jc w:val="left"/>
            </w:pPr>
            <w:r>
              <w:t xml:space="preserve">Global suspension of duty-free de minimis</w:t>
            </w:r>
          </w:p>
        </w:tc>
        <w:tc>
          <w:tcPr/>
          <w:p>
            <w:pPr>
              <w:pStyle w:val="Compact"/>
              <w:jc w:val="left"/>
            </w:pPr>
            <w:r>
              <w:t xml:space="preserve">IEEPA; EO 14324 (2025-07-30)</w:t>
            </w:r>
          </w:p>
        </w:tc>
        <w:tc>
          <w:tcPr/>
          <w:p>
            <w:pPr>
              <w:pStyle w:val="Compact"/>
              <w:jc w:val="left"/>
            </w:pPr>
            <w:r>
              <w:t xml:space="preserve">Low-value commercial shipments from all countries, with special duty methods for postal shipments</w:t>
            </w:r>
          </w:p>
        </w:tc>
        <w:tc>
          <w:tcPr/>
          <w:p>
            <w:pPr>
              <w:pStyle w:val="Compact"/>
              <w:jc w:val="left"/>
            </w:pPr>
            <w:r>
              <w:t xml:space="preserve">Effective 2025-08-29 (reported). Status after the IEEPA ruling: Unknown. Verify whether CBP still denies Section 321 treatment and on what authority (V6)</w:t>
            </w:r>
          </w:p>
        </w:tc>
        <w:tc>
          <w:tcPr/>
          <w:p>
            <w:pPr>
              <w:pStyle w:val="Compact"/>
              <w:jc w:val="left"/>
            </w:pPr>
            <w:r>
              <w:t xml:space="preserve">Federal Register (2025-08); CBP CSMS</w:t>
            </w:r>
          </w:p>
        </w:tc>
        <w:tc>
          <w:tcPr/>
          <w:p>
            <w:pPr>
              <w:pStyle w:val="Compact"/>
              <w:jc w:val="left"/>
            </w:pPr>
            <w:r>
              <w:t xml:space="preserve">Unclear</w:t>
            </w:r>
          </w:p>
        </w:tc>
      </w:tr>
      <w:tr>
        <w:tc>
          <w:tcPr/>
          <w:p>
            <w:pPr>
              <w:pStyle w:val="Compact"/>
              <w:jc w:val="left"/>
            </w:pPr>
            <w:r>
              <w:t xml:space="preserve">Statutory repeal for commercial shipments</w:t>
            </w:r>
          </w:p>
        </w:tc>
        <w:tc>
          <w:tcPr/>
          <w:p>
            <w:pPr>
              <w:pStyle w:val="Compact"/>
              <w:jc w:val="left"/>
            </w:pPr>
            <w:r>
              <w:t xml:space="preserve">Pub. L. 119-21 (2025-07-04)</w:t>
            </w:r>
          </w:p>
        </w:tc>
        <w:tc>
          <w:tcPr/>
          <w:p>
            <w:pPr>
              <w:pStyle w:val="Compact"/>
              <w:jc w:val="left"/>
            </w:pPr>
            <w:r>
              <w:t xml:space="preserve">Removes de minimis for commercial shipments by law</w:t>
            </w:r>
          </w:p>
        </w:tc>
        <w:tc>
          <w:tcPr/>
          <w:p>
            <w:pPr>
              <w:pStyle w:val="Compact"/>
              <w:jc w:val="left"/>
            </w:pPr>
            <w:r>
              <w:t xml:space="preserve">Effective 2027-07-01 (reported)</w:t>
            </w:r>
          </w:p>
        </w:tc>
        <w:tc>
          <w:tcPr/>
          <w:p>
            <w:pPr>
              <w:pStyle w:val="Compact"/>
              <w:jc w:val="left"/>
            </w:pPr>
            <w:hyperlink r:id="rId43">
              <w:r>
                <w:rPr>
                  <w:rStyle w:val="Hyperlink"/>
                </w:rPr>
                <w:t xml:space="preserve">https://www.congress.gov/bill/119th-congress/house-bill/1</w:t>
              </w:r>
            </w:hyperlink>
          </w:p>
        </w:tc>
        <w:tc>
          <w:tcPr/>
          <w:p>
            <w:pPr>
              <w:pStyle w:val="Compact"/>
              <w:jc w:val="left"/>
            </w:pPr>
            <w:r>
              <w:t xml:space="preserve">Reported</w:t>
            </w:r>
          </w:p>
        </w:tc>
      </w:tr>
    </w:tbl>
    <w:p>
      <w:pPr>
        <w:pStyle w:val="BodyText"/>
      </w:pPr>
      <w:r>
        <w:t xml:space="preserve">For us: [COMPANY: do any of our flows use Section 321 or type 86 entries? If not, record "not used" in every brief].</w:t>
      </w:r>
    </w:p>
    <w:bookmarkEnd w:id="44"/>
    <w:bookmarkStart w:id="45" w:name="Xda12c8dd9981f4326994dd31cd42159c427ea8e"/>
    <w:p>
      <w:pPr>
        <w:pStyle w:val="Heading4"/>
      </w:pPr>
      <w:r>
        <w:t xml:space="preserve">US-7 USMCA-qualifying goods of Canada and Mexico across US 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Action</w:t>
            </w:r>
          </w:p>
        </w:tc>
        <w:tc>
          <w:tcPr/>
          <w:p>
            <w:pPr>
              <w:pStyle w:val="Compact"/>
              <w:jc w:val="left"/>
            </w:pPr>
            <w:r>
              <w:t xml:space="preserve">Goods that qualify for USMCA</w:t>
            </w:r>
          </w:p>
        </w:tc>
        <w:tc>
          <w:tcPr/>
          <w:p>
            <w:pPr>
              <w:pStyle w:val="Compact"/>
              <w:jc w:val="left"/>
            </w:pPr>
            <w:r>
              <w:t xml:space="preserve">Goods of Canada or Mexico that do not qualify</w:t>
            </w:r>
          </w:p>
        </w:tc>
        <w:tc>
          <w:tcPr/>
          <w:p>
            <w:pPr>
              <w:pStyle w:val="Compact"/>
              <w:jc w:val="left"/>
            </w:pPr>
            <w:r>
              <w:t xml:space="preserve">Confidence</w:t>
            </w:r>
          </w:p>
        </w:tc>
      </w:tr>
      <w:tr>
        <w:tc>
          <w:tcPr/>
          <w:p>
            <w:pPr>
              <w:pStyle w:val="Compact"/>
              <w:jc w:val="left"/>
            </w:pPr>
            <w:r>
              <w:t xml:space="preserve">IEEPA duties (ended)</w:t>
            </w:r>
          </w:p>
        </w:tc>
        <w:tc>
          <w:tcPr/>
          <w:p>
            <w:pPr>
              <w:pStyle w:val="Compact"/>
              <w:jc w:val="left"/>
            </w:pPr>
            <w:r>
              <w:t xml:space="preserve">Exempt from 2025-03-07</w:t>
            </w:r>
          </w:p>
        </w:tc>
        <w:tc>
          <w:tcPr/>
          <w:p>
            <w:pPr>
              <w:pStyle w:val="Compact"/>
              <w:jc w:val="left"/>
            </w:pPr>
            <w:r>
              <w:t xml:space="preserve">Covered (25%; Canada 35% from 2025-08-01; Canadian energy and potash 10%)</w:t>
            </w:r>
          </w:p>
        </w:tc>
        <w:tc>
          <w:tcPr/>
          <w:p>
            <w:pPr>
              <w:pStyle w:val="Compact"/>
              <w:jc w:val="left"/>
            </w:pPr>
            <w:r>
              <w:t xml:space="preserve">Reported</w:t>
            </w:r>
          </w:p>
        </w:tc>
      </w:tr>
      <w:tr>
        <w:tc>
          <w:tcPr/>
          <w:p>
            <w:pPr>
              <w:pStyle w:val="Compact"/>
              <w:jc w:val="left"/>
            </w:pPr>
            <w:r>
              <w:t xml:space="preserve">Section 122 surcharge (2026)</w:t>
            </w:r>
          </w:p>
        </w:tc>
        <w:tc>
          <w:tcPr/>
          <w:p>
            <w:pPr>
              <w:pStyle w:val="Compact"/>
              <w:jc w:val="left"/>
            </w:pPr>
            <w:r>
              <w:t xml:space="preserve">Reported exempt; verify</w:t>
            </w:r>
          </w:p>
        </w:tc>
        <w:tc>
          <w:tcPr/>
          <w:p>
            <w:pPr>
              <w:pStyle w:val="Compact"/>
              <w:jc w:val="left"/>
            </w:pPr>
            <w:r>
              <w:t xml:space="preserve">Reported covered; verify</w:t>
            </w:r>
          </w:p>
        </w:tc>
        <w:tc>
          <w:tcPr/>
          <w:p>
            <w:pPr>
              <w:pStyle w:val="Compact"/>
              <w:jc w:val="left"/>
            </w:pPr>
            <w:r>
              <w:t xml:space="preserve">Unclear</w:t>
            </w:r>
          </w:p>
        </w:tc>
      </w:tr>
      <w:tr>
        <w:tc>
          <w:tcPr/>
          <w:p>
            <w:pPr>
              <w:pStyle w:val="Compact"/>
              <w:jc w:val="left"/>
            </w:pPr>
            <w:r>
              <w:t xml:space="preserve">Section 232 steel, aluminum and copper</w:t>
            </w:r>
          </w:p>
        </w:tc>
        <w:tc>
          <w:tcPr/>
          <w:p>
            <w:pPr>
              <w:pStyle w:val="Compact"/>
              <w:jc w:val="left"/>
            </w:pPr>
            <w:r>
              <w:t xml:space="preserve">No exemption: duty applies</w:t>
            </w:r>
          </w:p>
        </w:tc>
        <w:tc>
          <w:tcPr/>
          <w:p>
            <w:pPr>
              <w:pStyle w:val="Compact"/>
              <w:jc w:val="left"/>
            </w:pPr>
            <w:r>
              <w:t xml:space="preserve">Duty applies</w:t>
            </w:r>
          </w:p>
        </w:tc>
        <w:tc>
          <w:tcPr/>
          <w:p>
            <w:pPr>
              <w:pStyle w:val="Compact"/>
              <w:jc w:val="left"/>
            </w:pPr>
            <w:r>
              <w:t xml:space="preserve">Reported</w:t>
            </w:r>
          </w:p>
        </w:tc>
      </w:tr>
      <w:tr>
        <w:tc>
          <w:tcPr/>
          <w:p>
            <w:pPr>
              <w:pStyle w:val="Compact"/>
              <w:jc w:val="left"/>
            </w:pPr>
            <w:r>
              <w:t xml:space="preserve">Section 232 autos, auto parts, trucks</w:t>
            </w:r>
          </w:p>
        </w:tc>
        <w:tc>
          <w:tcPr/>
          <w:p>
            <w:pPr>
              <w:pStyle w:val="Compact"/>
              <w:jc w:val="left"/>
            </w:pPr>
            <w:r>
              <w:t xml:space="preserve">Vehicles: duty on non-US content only. Parts: exempt until a non-US-content process exists</w:t>
            </w:r>
          </w:p>
        </w:tc>
        <w:tc>
          <w:tcPr/>
          <w:p>
            <w:pPr>
              <w:pStyle w:val="Compact"/>
              <w:jc w:val="left"/>
            </w:pPr>
            <w:r>
              <w:t xml:space="preserve">Full duty</w:t>
            </w:r>
          </w:p>
        </w:tc>
        <w:tc>
          <w:tcPr/>
          <w:p>
            <w:pPr>
              <w:pStyle w:val="Compact"/>
              <w:jc w:val="left"/>
            </w:pPr>
            <w:r>
              <w:t xml:space="preserve">Reported</w:t>
            </w:r>
          </w:p>
        </w:tc>
      </w:tr>
      <w:tr>
        <w:tc>
          <w:tcPr/>
          <w:p>
            <w:pPr>
              <w:pStyle w:val="Compact"/>
              <w:jc w:val="left"/>
            </w:pPr>
            <w:r>
              <w:t xml:space="preserve">Section 232 timber, lumber, furniture, cabinets</w:t>
            </w:r>
          </w:p>
        </w:tc>
        <w:tc>
          <w:tcPr/>
          <w:p>
            <w:pPr>
              <w:pStyle w:val="Compact"/>
              <w:jc w:val="left"/>
            </w:pPr>
            <w:r>
              <w:t xml:space="preserve">Verify</w:t>
            </w:r>
          </w:p>
        </w:tc>
        <w:tc>
          <w:tcPr/>
          <w:p>
            <w:pPr>
              <w:pStyle w:val="Compact"/>
              <w:jc w:val="left"/>
            </w:pPr>
            <w:r>
              <w:t xml:space="preserve">Covered</w:t>
            </w:r>
          </w:p>
        </w:tc>
        <w:tc>
          <w:tcPr/>
          <w:p>
            <w:pPr>
              <w:pStyle w:val="Compact"/>
              <w:jc w:val="left"/>
            </w:pPr>
            <w:r>
              <w:t xml:space="preserve">Unclear</w:t>
            </w:r>
          </w:p>
        </w:tc>
      </w:tr>
      <w:tr>
        <w:tc>
          <w:tcPr/>
          <w:p>
            <w:pPr>
              <w:pStyle w:val="Compact"/>
              <w:jc w:val="left"/>
            </w:pPr>
            <w:r>
              <w:t xml:space="preserve">Section 301 China</w:t>
            </w:r>
          </w:p>
        </w:tc>
        <w:tc>
          <w:tcPr/>
          <w:p>
            <w:pPr>
              <w:pStyle w:val="Compact"/>
              <w:jc w:val="left"/>
            </w:pPr>
            <w:r>
              <w:t xml:space="preserve">Not applicable: covers goods of China origin only. Goods made in Canada or Mexico from Chinese inputs are covered if the Chinese input is not substantially transformed there (CBP applies its substantial transformation test for Section 301 origin; confirm case by case)</w:t>
            </w:r>
          </w:p>
        </w:tc>
        <w:tc>
          <w:tcPr/>
          <w:p>
            <w:pPr>
              <w:pStyle w:val="Compact"/>
              <w:jc w:val="left"/>
            </w:pPr>
            <w:r>
              <w:t xml:space="preserve">Same</w:t>
            </w:r>
          </w:p>
        </w:tc>
        <w:tc>
          <w:tcPr/>
          <w:p>
            <w:pPr>
              <w:pStyle w:val="Compact"/>
              <w:jc w:val="left"/>
            </w:pPr>
            <w:r>
              <w:t xml:space="preserve">Reported</w:t>
            </w:r>
          </w:p>
        </w:tc>
      </w:tr>
    </w:tbl>
    <w:p>
      <w:pPr>
        <w:pStyle w:val="BodyText"/>
      </w:pPr>
      <w:r>
        <w:t xml:space="preserve">Origin rules differ by action (substantial transformation, melt-and-pour, smelt-and-cast, marking rules). Flag every item made in Canada or Mexico from Chinese or other third-country inputs to the Senior.</w:t>
      </w:r>
    </w:p>
    <w:bookmarkEnd w:id="45"/>
    <w:bookmarkStart w:id="46" w:name="us-8-stacking-last-known-cbp-practice"/>
    <w:p>
      <w:pPr>
        <w:pStyle w:val="Heading4"/>
      </w:pPr>
      <w:r>
        <w:t xml:space="preserve">US-8 Stacking: last known CBP practice</w:t>
      </w:r>
    </w:p>
    <w:p>
      <w:pPr>
        <w:numPr>
          <w:ilvl w:val="0"/>
          <w:numId w:val="1005"/>
        </w:numPr>
        <w:pStyle w:val="Compact"/>
      </w:pPr>
      <w:r>
        <w:rPr>
          <w:bCs/>
          <w:b/>
        </w:rPr>
        <w:t xml:space="preserve">Default:</w:t>
      </w:r>
      <w:r>
        <w:t xml:space="preserve"> </w:t>
      </w:r>
      <w:r>
        <w:t xml:space="preserve">additional duties add to the base rate and to each other, unless the instrument says otherwise. Every instrument has to be read for its own "does not apply to" or interaction paragraph.</w:t>
      </w:r>
    </w:p>
    <w:p>
      <w:pPr>
        <w:numPr>
          <w:ilvl w:val="0"/>
          <w:numId w:val="1005"/>
        </w:numPr>
        <w:pStyle w:val="Compact"/>
      </w:pPr>
      <w:r>
        <w:rPr>
          <w:bCs/>
          <w:b/>
        </w:rPr>
        <w:t xml:space="preserve">2025 non-stacking rules:</w:t>
      </w:r>
      <w:r>
        <w:t xml:space="preserve"> </w:t>
      </w:r>
      <w:r>
        <w:t xml:space="preserve">EO 14289 (2025-04-29) set rules so that the auto and auto parts Section 232 duties were not stacked with the Canada and Mexico IEEPA duties or the steel and aluminum Section 232 duties, and the Canada and Mexico IEEPA duties were not stacked with the steel and aluminum Section 232 duties (reported). With IEEPA duties ended, the live questions are Section 232 against Section 232 (autos, trucks, metals, copper, wood products) and Section 301 on top of Section 232.</w:t>
      </w:r>
    </w:p>
    <w:p>
      <w:pPr>
        <w:numPr>
          <w:ilvl w:val="0"/>
          <w:numId w:val="1005"/>
        </w:numPr>
        <w:pStyle w:val="Compact"/>
      </w:pPr>
      <w:r>
        <w:rPr>
          <w:bCs/>
          <w:b/>
        </w:rPr>
        <w:t xml:space="preserve">Section 301 on China</w:t>
      </w:r>
      <w:r>
        <w:t xml:space="preserve"> </w:t>
      </w:r>
      <w:r>
        <w:t xml:space="preserve">has applied in addition to Section 232 duties since 2018 (reported).</w:t>
      </w:r>
    </w:p>
    <w:p>
      <w:pPr>
        <w:numPr>
          <w:ilvl w:val="0"/>
          <w:numId w:val="1005"/>
        </w:numPr>
        <w:pStyle w:val="Compact"/>
      </w:pPr>
      <w:r>
        <w:rPr>
          <w:bCs/>
          <w:b/>
        </w:rPr>
        <w:t xml:space="preserve">Content-based Section 232 duties:</w:t>
      </w:r>
      <w:r>
        <w:t xml:space="preserve"> </w:t>
      </w:r>
      <w:r>
        <w:t xml:space="preserve">CBP has required the metal content and the non-metal content to be reported on separate entry lines, with other duties possible on the non-metal line (reported). Check the latest CSMS message for each action.</w:t>
      </w:r>
    </w:p>
    <w:p>
      <w:pPr>
        <w:numPr>
          <w:ilvl w:val="0"/>
          <w:numId w:val="1005"/>
        </w:numPr>
        <w:pStyle w:val="Compact"/>
      </w:pPr>
      <w:r>
        <w:rPr>
          <w:bCs/>
          <w:b/>
        </w:rPr>
        <w:t xml:space="preserve">Reporting order:</w:t>
      </w:r>
      <w:r>
        <w:t xml:space="preserve"> </w:t>
      </w:r>
      <w:r>
        <w:t xml:space="preserve">CBP publishes the order in which Chapter 99 numbers are reported in CSMS messages. The current stacking and reporting-order message was not identified for this edition (V4). Record its number here when found.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Last known</w:t>
            </w:r>
          </w:p>
        </w:tc>
        <w:tc>
          <w:tcPr/>
          <w:p>
            <w:pPr>
              <w:pStyle w:val="Compact"/>
              <w:jc w:val="left"/>
            </w:pPr>
            <w:r>
              <w:t xml:space="preserve">Source</w:t>
            </w:r>
          </w:p>
        </w:tc>
        <w:tc>
          <w:tcPr/>
          <w:p>
            <w:pPr>
              <w:pStyle w:val="Compact"/>
              <w:jc w:val="left"/>
            </w:pPr>
            <w:r>
              <w:t xml:space="preserve">Confidence</w:t>
            </w:r>
          </w:p>
        </w:tc>
      </w:tr>
      <w:tr>
        <w:tc>
          <w:tcPr/>
          <w:p>
            <w:pPr>
              <w:pStyle w:val="Compact"/>
              <w:jc w:val="left"/>
            </w:pPr>
            <w:r>
              <w:t xml:space="preserve">Latest CBP stacking and reporting-order message</w:t>
            </w:r>
          </w:p>
        </w:tc>
        <w:tc>
          <w:tcPr/>
          <w:p>
            <w:pPr>
              <w:pStyle w:val="Compact"/>
              <w:jc w:val="left"/>
            </w:pPr>
            <w:r>
              <w:t xml:space="preserve">Unknown</w:t>
            </w:r>
          </w:p>
        </w:tc>
        <w:tc>
          <w:tcPr/>
          <w:p>
            <w:pPr>
              <w:pStyle w:val="Compact"/>
              <w:jc w:val="left"/>
            </w:pPr>
            <w:r>
              <w:t xml:space="preserve">CBP CSMS archive,</w:t>
            </w:r>
            <w:r>
              <w:t xml:space="preserve"> </w:t>
            </w:r>
            <w:hyperlink r:id="rId23">
              <w:r>
                <w:rPr>
                  <w:rStyle w:val="Hyperlink"/>
                </w:rPr>
                <w:t xml:space="preserve">https://www.cbp.gov/document/guidance/csms-archive</w:t>
              </w:r>
            </w:hyperlink>
          </w:p>
        </w:tc>
        <w:tc>
          <w:tcPr/>
          <w:p>
            <w:pPr>
              <w:pStyle w:val="Compact"/>
              <w:jc w:val="left"/>
            </w:pPr>
            <w:r>
              <w:t xml:space="preserve">Unclear</w:t>
            </w:r>
          </w:p>
        </w:tc>
      </w:tr>
    </w:tbl>
    <w:bookmarkEnd w:id="46"/>
    <w:bookmarkStart w:id="49" w:name="us-9-customs-fees-used-in-landed-cost"/>
    <w:p>
      <w:pPr>
        <w:pStyle w:val="Heading4"/>
      </w:pPr>
      <w:r>
        <w:t xml:space="preserve">US-9 Customs fees used in landed cost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Fee</w:t>
            </w:r>
          </w:p>
        </w:tc>
        <w:tc>
          <w:tcPr/>
          <w:p>
            <w:pPr>
              <w:pStyle w:val="Compact"/>
              <w:jc w:val="left"/>
            </w:pPr>
            <w:r>
              <w:t xml:space="preserve">Authority</w:t>
            </w:r>
          </w:p>
        </w:tc>
        <w:tc>
          <w:tcPr/>
          <w:p>
            <w:pPr>
              <w:pStyle w:val="Compact"/>
              <w:jc w:val="left"/>
            </w:pPr>
            <w:r>
              <w:t xml:space="preserve">Basis</w:t>
            </w:r>
          </w:p>
        </w:tc>
        <w:tc>
          <w:tcPr/>
          <w:p>
            <w:pPr>
              <w:pStyle w:val="Compact"/>
              <w:jc w:val="left"/>
            </w:pPr>
            <w:r>
              <w:t xml:space="preserve">Status as of 2026-10-08</w:t>
            </w:r>
          </w:p>
        </w:tc>
        <w:tc>
          <w:tcPr/>
          <w:p>
            <w:pPr>
              <w:pStyle w:val="Compact"/>
              <w:jc w:val="left"/>
            </w:pPr>
            <w:r>
              <w:t xml:space="preserve">Source</w:t>
            </w:r>
          </w:p>
        </w:tc>
        <w:tc>
          <w:tcPr/>
          <w:p>
            <w:pPr>
              <w:pStyle w:val="Compact"/>
              <w:jc w:val="left"/>
            </w:pPr>
            <w:r>
              <w:t xml:space="preserve">Confidence</w:t>
            </w:r>
          </w:p>
        </w:tc>
      </w:tr>
      <w:tr>
        <w:tc>
          <w:tcPr/>
          <w:p>
            <w:pPr>
              <w:pStyle w:val="Compact"/>
              <w:jc w:val="left"/>
            </w:pPr>
            <w:r>
              <w:t xml:space="preserve">Merchandise Processing Fee (MPF), formal entries</w:t>
            </w:r>
          </w:p>
        </w:tc>
        <w:tc>
          <w:tcPr/>
          <w:p>
            <w:pPr>
              <w:pStyle w:val="Compact"/>
              <w:jc w:val="left"/>
            </w:pPr>
            <w:r>
              <w:t xml:space="preserve">19 U.S.C. 58c; 19 CFR 24.23</w:t>
            </w:r>
          </w:p>
        </w:tc>
        <w:tc>
          <w:tcPr/>
          <w:p>
            <w:pPr>
              <w:pStyle w:val="Compact"/>
              <w:jc w:val="left"/>
            </w:pPr>
            <w:r>
              <w:t xml:space="preserve">0.3464% ad valorem, with a per-entry minimum and maximum adjusted every fiscal year. USMCA-originating goods properly claimed are exempt</w:t>
            </w:r>
          </w:p>
        </w:tc>
        <w:tc>
          <w:tcPr/>
          <w:p>
            <w:pPr>
              <w:pStyle w:val="Compact"/>
              <w:jc w:val="left"/>
            </w:pPr>
            <w:r>
              <w:t xml:space="preserve">Fiscal year 2027 minimum and maximum (from 2026-10-01): not obtained for this edition (V10). Do not reuse the fiscal year 2026 amounts</w:t>
            </w:r>
          </w:p>
        </w:tc>
        <w:tc>
          <w:tcPr/>
          <w:p>
            <w:pPr>
              <w:pStyle w:val="Compact"/>
              <w:jc w:val="left"/>
            </w:pPr>
            <w:hyperlink r:id="rId32">
              <w:r>
                <w:rPr>
                  <w:rStyle w:val="Hyperlink"/>
                </w:rPr>
                <w:t xml:space="preserve">https://www.cbp.gov/trade/priority-issues/trade-agreements/merchandise-processing-fee</w:t>
              </w:r>
            </w:hyperlink>
            <w:r>
              <w:t xml:space="preserve"> </w:t>
            </w:r>
            <w:r>
              <w:t xml:space="preserve">;</w:t>
            </w:r>
            <w:r>
              <w:t xml:space="preserve"> </w:t>
            </w:r>
            <w:hyperlink r:id="rId47">
              <w:r>
                <w:rPr>
                  <w:rStyle w:val="Hyperlink"/>
                </w:rPr>
                <w:t xml:space="preserve">https://www.ecfr.gov/current/title-19/section-24.23</w:t>
              </w:r>
            </w:hyperlink>
            <w:r>
              <w:t xml:space="preserve"> </w:t>
            </w:r>
            <w:r>
              <w:t xml:space="preserve">; CBP user-fee notice in the Federal Register</w:t>
            </w:r>
          </w:p>
        </w:tc>
        <w:tc>
          <w:tcPr/>
          <w:p>
            <w:pPr>
              <w:pStyle w:val="Compact"/>
              <w:jc w:val="left"/>
            </w:pPr>
            <w:r>
              <w:t xml:space="preserve">Reported (rate); Unclear (FY2027 amounts)</w:t>
            </w:r>
          </w:p>
        </w:tc>
      </w:tr>
      <w:tr>
        <w:tc>
          <w:tcPr/>
          <w:p>
            <w:pPr>
              <w:pStyle w:val="Compact"/>
              <w:jc w:val="left"/>
            </w:pPr>
            <w:r>
              <w:t xml:space="preserve">Harbor Maintenance Fee (HMF)</w:t>
            </w:r>
          </w:p>
        </w:tc>
        <w:tc>
          <w:tcPr/>
          <w:p>
            <w:pPr>
              <w:pStyle w:val="Compact"/>
              <w:jc w:val="left"/>
            </w:pPr>
            <w:r>
              <w:t xml:space="preserve">26 U.S.C. 4461; 19 CFR 24.24</w:t>
            </w:r>
          </w:p>
        </w:tc>
        <w:tc>
          <w:tcPr/>
          <w:p>
            <w:pPr>
              <w:pStyle w:val="Compact"/>
              <w:jc w:val="left"/>
            </w:pPr>
            <w:r>
              <w:t xml:space="preserve">0.125% of the value of commercial cargo loaded or unloaded at covered ports; vessel shipments only; no minimum or cap</w:t>
            </w:r>
          </w:p>
        </w:tc>
        <w:tc>
          <w:tcPr/>
          <w:p>
            <w:pPr>
              <w:pStyle w:val="Compact"/>
              <w:jc w:val="left"/>
            </w:pPr>
            <w:r>
              <w:t xml:space="preserve">In force (last known)</w:t>
            </w:r>
          </w:p>
        </w:tc>
        <w:tc>
          <w:tcPr/>
          <w:p>
            <w:pPr>
              <w:pStyle w:val="Compact"/>
              <w:jc w:val="left"/>
            </w:pPr>
            <w:hyperlink r:id="rId48">
              <w:r>
                <w:rPr>
                  <w:rStyle w:val="Hyperlink"/>
                </w:rPr>
                <w:t xml:space="preserve">https://www.ecfr.gov/current/title-19/section-24.24</w:t>
              </w:r>
            </w:hyperlink>
          </w:p>
        </w:tc>
        <w:tc>
          <w:tcPr/>
          <w:p>
            <w:pPr>
              <w:pStyle w:val="Compact"/>
              <w:jc w:val="left"/>
            </w:pPr>
            <w:r>
              <w:t xml:space="preserve">Reported</w:t>
            </w:r>
          </w:p>
        </w:tc>
      </w:tr>
    </w:tbl>
    <w:bookmarkEnd w:id="49"/>
    <w:bookmarkStart w:id="51" w:name="us-10-drawback-eligibility-last-known"/>
    <w:p>
      <w:pPr>
        <w:pStyle w:val="Heading4"/>
      </w:pPr>
      <w:r>
        <w:t xml:space="preserve">US-10 Drawback eligibility (last known)</w:t>
      </w:r>
    </w:p>
    <w:p>
      <w:pPr>
        <w:pStyle w:val="FirstParagraph"/>
      </w:pPr>
      <w:r>
        <w:t xml:space="preserve">US duty drawback stays with the Senior (M9). Research reports what each instrument says.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Duty</w:t>
            </w:r>
          </w:p>
        </w:tc>
        <w:tc>
          <w:tcPr/>
          <w:p>
            <w:pPr>
              <w:pStyle w:val="Compact"/>
              <w:jc w:val="left"/>
            </w:pPr>
            <w:r>
              <w:t xml:space="preserve">Drawback (last known)</w:t>
            </w:r>
          </w:p>
        </w:tc>
        <w:tc>
          <w:tcPr/>
          <w:p>
            <w:pPr>
              <w:pStyle w:val="Compact"/>
              <w:jc w:val="left"/>
            </w:pPr>
            <w:r>
              <w:t xml:space="preserve">Source</w:t>
            </w:r>
          </w:p>
        </w:tc>
        <w:tc>
          <w:tcPr/>
          <w:p>
            <w:pPr>
              <w:pStyle w:val="Compact"/>
              <w:jc w:val="left"/>
            </w:pPr>
            <w:r>
              <w:t xml:space="preserve">Confidence</w:t>
            </w:r>
          </w:p>
        </w:tc>
      </w:tr>
      <w:tr>
        <w:tc>
          <w:tcPr/>
          <w:p>
            <w:pPr>
              <w:pStyle w:val="Compact"/>
              <w:jc w:val="left"/>
            </w:pPr>
            <w:r>
              <w:t xml:space="preserve">Section 301 China</w:t>
            </w:r>
          </w:p>
        </w:tc>
        <w:tc>
          <w:tcPr/>
          <w:p>
            <w:pPr>
              <w:pStyle w:val="Compact"/>
              <w:jc w:val="left"/>
            </w:pPr>
            <w:r>
              <w:t xml:space="preserve">Eligible under normal drawback rules</w:t>
            </w:r>
          </w:p>
        </w:tc>
        <w:tc>
          <w:tcPr/>
          <w:p>
            <w:pPr>
              <w:pStyle w:val="Compact"/>
              <w:jc w:val="left"/>
            </w:pPr>
            <w:r>
              <w:t xml:space="preserve">CBP Section 301 page</w:t>
            </w:r>
          </w:p>
        </w:tc>
        <w:tc>
          <w:tcPr/>
          <w:p>
            <w:pPr>
              <w:pStyle w:val="Compact"/>
              <w:jc w:val="left"/>
            </w:pPr>
            <w:r>
              <w:t xml:space="preserve">Reported</w:t>
            </w:r>
          </w:p>
        </w:tc>
      </w:tr>
      <w:tr>
        <w:tc>
          <w:tcPr/>
          <w:p>
            <w:pPr>
              <w:pStyle w:val="Compact"/>
              <w:jc w:val="left"/>
            </w:pPr>
            <w:r>
              <w:t xml:space="preserve">Section 232 actions of 2025 and 2026</w:t>
            </w:r>
          </w:p>
        </w:tc>
        <w:tc>
          <w:tcPr/>
          <w:p>
            <w:pPr>
              <w:pStyle w:val="Compact"/>
              <w:jc w:val="left"/>
            </w:pPr>
            <w:r>
              <w:t xml:space="preserve">Not established for this edition: read each proclamation's drawback paragraph</w:t>
            </w:r>
          </w:p>
        </w:tc>
        <w:tc>
          <w:tcPr/>
          <w:p>
            <w:pPr>
              <w:pStyle w:val="Compact"/>
              <w:jc w:val="left"/>
            </w:pPr>
            <w:r>
              <w:t xml:space="preserve">Each proclamation</w:t>
            </w:r>
          </w:p>
        </w:tc>
        <w:tc>
          <w:tcPr/>
          <w:p>
            <w:pPr>
              <w:pStyle w:val="Compact"/>
              <w:jc w:val="left"/>
            </w:pPr>
            <w:r>
              <w:t xml:space="preserve">Unclear</w:t>
            </w:r>
          </w:p>
        </w:tc>
      </w:tr>
      <w:tr>
        <w:tc>
          <w:tcPr/>
          <w:p>
            <w:pPr>
              <w:pStyle w:val="Compact"/>
              <w:jc w:val="left"/>
            </w:pPr>
            <w:r>
              <w:t xml:space="preserve">IEEPA duties on past entries</w:t>
            </w:r>
          </w:p>
        </w:tc>
        <w:tc>
          <w:tcPr/>
          <w:p>
            <w:pPr>
              <w:pStyle w:val="Compact"/>
              <w:jc w:val="left"/>
            </w:pPr>
            <w:r>
              <w:t xml:space="preserve">Not established for this edition</w:t>
            </w:r>
          </w:p>
        </w:tc>
        <w:tc>
          <w:tcPr/>
          <w:p>
            <w:pPr>
              <w:pStyle w:val="Compact"/>
              <w:jc w:val="left"/>
            </w:pPr>
            <w:r>
              <w:t xml:space="preserve">Each executive order; Senior</w:t>
            </w:r>
          </w:p>
        </w:tc>
        <w:tc>
          <w:tcPr/>
          <w:p>
            <w:pPr>
              <w:pStyle w:val="Compact"/>
              <w:jc w:val="left"/>
            </w:pPr>
            <w:r>
              <w:t xml:space="preserve">Unclear</w:t>
            </w:r>
          </w:p>
        </w:tc>
      </w:tr>
      <w:tr>
        <w:tc>
          <w:tcPr/>
          <w:p>
            <w:pPr>
              <w:pStyle w:val="Compact"/>
              <w:jc w:val="left"/>
            </w:pPr>
            <w:r>
              <w:t xml:space="preserve">Section 122 surcharge</w:t>
            </w:r>
          </w:p>
        </w:tc>
        <w:tc>
          <w:tcPr/>
          <w:p>
            <w:pPr>
              <w:pStyle w:val="Compact"/>
              <w:jc w:val="left"/>
            </w:pPr>
            <w:r>
              <w:t xml:space="preserve">Not established for this edition</w:t>
            </w:r>
          </w:p>
        </w:tc>
        <w:tc>
          <w:tcPr/>
          <w:p>
            <w:pPr>
              <w:pStyle w:val="Compact"/>
              <w:jc w:val="left"/>
            </w:pPr>
            <w:r>
              <w:t xml:space="preserve">Proclamation</w:t>
            </w:r>
          </w:p>
        </w:tc>
        <w:tc>
          <w:tcPr/>
          <w:p>
            <w:pPr>
              <w:pStyle w:val="Compact"/>
              <w:jc w:val="left"/>
            </w:pPr>
            <w:r>
              <w:t xml:space="preserve">Unclear</w:t>
            </w:r>
          </w:p>
        </w:tc>
      </w:tr>
      <w:tr>
        <w:tc>
          <w:tcPr/>
          <w:p>
            <w:pPr>
              <w:pStyle w:val="Compact"/>
              <w:jc w:val="left"/>
            </w:pPr>
            <w:r>
              <w:t xml:space="preserve">Antidumping and countervailing duties</w:t>
            </w:r>
          </w:p>
        </w:tc>
        <w:tc>
          <w:tcPr/>
          <w:p>
            <w:pPr>
              <w:pStyle w:val="Compact"/>
              <w:jc w:val="left"/>
            </w:pPr>
            <w:r>
              <w:t xml:space="preserve">Not eligible (19 U.S.C. 1677h)</w:t>
            </w:r>
          </w:p>
        </w:tc>
        <w:tc>
          <w:tcPr/>
          <w:p>
            <w:pPr>
              <w:pStyle w:val="Compact"/>
              <w:jc w:val="left"/>
            </w:pPr>
            <w:hyperlink r:id="rId50">
              <w:r>
                <w:rPr>
                  <w:rStyle w:val="Hyperlink"/>
                </w:rPr>
                <w:t xml:space="preserve">https://uscode.house.gov/</w:t>
              </w:r>
            </w:hyperlink>
          </w:p>
        </w:tc>
        <w:tc>
          <w:tcPr/>
          <w:p>
            <w:pPr>
              <w:pStyle w:val="Compact"/>
              <w:jc w:val="left"/>
            </w:pPr>
            <w:r>
              <w:t xml:space="preserve">Reported</w:t>
            </w:r>
          </w:p>
        </w:tc>
      </w:tr>
    </w:tbl>
    <w:bookmarkEnd w:id="51"/>
    <w:bookmarkEnd w:id="52"/>
    <w:bookmarkStart w:id="57" w:name="X4c5d038cb16461c4a7a94df30521694f400d4ab"/>
    <w:p>
      <w:pPr>
        <w:pStyle w:val="Heading3"/>
      </w:pPr>
      <w:r>
        <w:t xml:space="preserve">1.3 Canada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Countermeasure surtaxes on US goods</w:t>
            </w:r>
          </w:p>
        </w:tc>
        <w:tc>
          <w:tcPr/>
          <w:p>
            <w:pPr>
              <w:pStyle w:val="Compact"/>
              <w:jc w:val="left"/>
            </w:pPr>
            <w:r>
              <w:t xml:space="preserve">Customs Tariff, section 53 (surtax orders, 2025)</w:t>
            </w:r>
          </w:p>
        </w:tc>
        <w:tc>
          <w:tcPr/>
          <w:p>
            <w:pPr>
              <w:pStyle w:val="Compact"/>
              <w:jc w:val="left"/>
            </w:pPr>
            <w:r>
              <w:t xml:space="preserve">25% on about C</w:t>
            </w:r>
            <m:oMath>
              <m:r>
                <m:t>30</m:t>
              </m:r>
              <m:r>
                <m:t>b</m:t>
              </m:r>
              <m:r>
                <m:t>i</m:t>
              </m:r>
              <m:r>
                <m:t>l</m:t>
              </m:r>
              <m:r>
                <m:t>l</m:t>
              </m:r>
              <m:r>
                <m:t>i</m:t>
              </m:r>
              <m:r>
                <m:t>o</m:t>
              </m:r>
              <m:r>
                <m:t>n</m:t>
              </m:r>
              <m:r>
                <m:t>o</m:t>
              </m:r>
              <m:r>
                <m:t>f</m:t>
              </m:r>
              <m:r>
                <m:t>U</m:t>
              </m:r>
              <m:r>
                <m:t>S</m:t>
              </m:r>
              <m:r>
                <m:t>g</m:t>
              </m:r>
              <m:r>
                <m:t>o</m:t>
              </m:r>
              <m:r>
                <m:t>o</m:t>
              </m:r>
              <m:r>
                <m:t>d</m:t>
              </m:r>
              <m:r>
                <m:t>s</m:t>
              </m:r>
              <m:r>
                <m:t>f</m:t>
              </m:r>
              <m:r>
                <m:t>r</m:t>
              </m:r>
              <m:r>
                <m:t>o</m:t>
              </m:r>
              <m:r>
                <m:t>m</m:t>
              </m:r>
              <m:r>
                <m:t>2025</m:t>
              </m:r>
              <m:r>
                <m:rPr>
                  <m:sty m:val="p"/>
                </m:rPr>
                <m:t>−</m:t>
              </m:r>
              <m:r>
                <m:t>03</m:t>
              </m:r>
              <m:r>
                <m:rPr>
                  <m:sty m:val="p"/>
                </m:rPr>
                <m:t>−</m:t>
              </m:r>
              <m:r>
                <m:t>04</m:t>
              </m:r>
              <m:r>
                <m:rPr>
                  <m:sty m:val="p"/>
                </m:rPr>
                <m:t>;</m:t>
              </m:r>
              <m:r>
                <m:t>25</m:t>
              </m:r>
            </m:oMath>
            <w:r>
              <w:t xml:space="preserve">29.8 billion) from 2025-03-13; 25% on US vehicles that are not CUSMA-compliant, and on the non-Canadian, non-Mexican content of CUSMA-compliant vehicles, from 2025-04-09</w:t>
            </w:r>
          </w:p>
        </w:tc>
        <w:tc>
          <w:tcPr/>
          <w:p>
            <w:pPr>
              <w:pStyle w:val="Compact"/>
              <w:jc w:val="left"/>
            </w:pPr>
            <w:r>
              <w:t xml:space="preserve">From 2025-09-01, surtaxes were removed on US goods that qualify under CUSMA, except steel, aluminum and autos (reported). Status after mid-2026: Unknown (V7)</w:t>
            </w:r>
          </w:p>
        </w:tc>
        <w:tc>
          <w:tcPr/>
          <w:p>
            <w:pPr>
              <w:pStyle w:val="Compact"/>
              <w:jc w:val="left"/>
            </w:pPr>
            <w:r>
              <w:t xml:space="preserve">Finance Canada,</w:t>
            </w:r>
            <w:r>
              <w:t xml:space="preserve"> </w:t>
            </w:r>
            <w:hyperlink r:id="rId29">
              <w:r>
                <w:rPr>
                  <w:rStyle w:val="Hyperlink"/>
                </w:rPr>
                <w:t xml:space="preserve">https://www.canada.ca/en/department-finance/programs/international-trade-finance-policy/canadas-response-us-tariffs.html</w:t>
              </w:r>
            </w:hyperlink>
            <w:r>
              <w:t xml:space="preserve"> </w:t>
            </w:r>
            <w:r>
              <w:t xml:space="preserve">; Canada Gazette Part II,</w:t>
            </w:r>
            <w:r>
              <w:t xml:space="preserve"> </w:t>
            </w:r>
            <w:hyperlink r:id="rId53">
              <w:r>
                <w:rPr>
                  <w:rStyle w:val="Hyperlink"/>
                </w:rPr>
                <w:t xml:space="preserve">https://gazette.gc.ca/</w:t>
              </w:r>
            </w:hyperlink>
          </w:p>
        </w:tc>
        <w:tc>
          <w:tcPr/>
          <w:p>
            <w:pPr>
              <w:pStyle w:val="Compact"/>
              <w:jc w:val="left"/>
            </w:pPr>
            <w:r>
              <w:t xml:space="preserve">Reported (to 2025-09); Unclear (now)</w:t>
            </w:r>
          </w:p>
        </w:tc>
      </w:tr>
      <w:tr>
        <w:tc>
          <w:tcPr/>
          <w:p>
            <w:pPr>
              <w:pStyle w:val="Compact"/>
              <w:jc w:val="left"/>
            </w:pPr>
            <w:r>
              <w:t xml:space="preserve">Remission of countermeasure surtaxes</w:t>
            </w:r>
          </w:p>
        </w:tc>
        <w:tc>
          <w:tcPr/>
          <w:p>
            <w:pPr>
              <w:pStyle w:val="Compact"/>
              <w:jc w:val="left"/>
            </w:pPr>
            <w:r>
              <w:t xml:space="preserve">Customs Tariff, section 115 (remission orders)</w:t>
            </w:r>
          </w:p>
        </w:tc>
        <w:tc>
          <w:tcPr/>
          <w:p>
            <w:pPr>
              <w:pStyle w:val="Compact"/>
              <w:jc w:val="left"/>
            </w:pPr>
            <w:r>
              <w:t xml:space="preserve">Framework announced in mid-April 2025: six months of remission for US goods used in Canadian manufacturing, processing, and food and beverage packaging, and for public health, health care, public safety and national security; remission quotas for automakers linked to their Canadian production</w:t>
            </w:r>
          </w:p>
        </w:tc>
        <w:tc>
          <w:tcPr/>
          <w:p>
            <w:pPr>
              <w:pStyle w:val="Compact"/>
              <w:jc w:val="left"/>
            </w:pPr>
            <w:r>
              <w:t xml:space="preserve">Extensions and end dates: Unknown (V7)</w:t>
            </w:r>
          </w:p>
        </w:tc>
        <w:tc>
          <w:tcPr/>
          <w:p>
            <w:pPr>
              <w:pStyle w:val="Compact"/>
              <w:jc w:val="left"/>
            </w:pPr>
            <w:r>
              <w:t xml:space="preserve">Finance Canada (2025-04); CBSA Customs Notices,</w:t>
            </w:r>
            <w:r>
              <w:t xml:space="preserve"> </w:t>
            </w:r>
            <w:hyperlink r:id="rId54">
              <w:r>
                <w:rPr>
                  <w:rStyle w:val="Hyperlink"/>
                </w:rPr>
                <w:t xml:space="preserve">https://www.cbsa-asfc.gc.ca/publications/cn-ad/menu-eng.html</w:t>
              </w:r>
            </w:hyperlink>
          </w:p>
        </w:tc>
        <w:tc>
          <w:tcPr/>
          <w:p>
            <w:pPr>
              <w:pStyle w:val="Compact"/>
              <w:jc w:val="left"/>
            </w:pPr>
            <w:r>
              <w:t xml:space="preserve">Reported (framework); Unclear (now)</w:t>
            </w:r>
          </w:p>
        </w:tc>
      </w:tr>
      <w:tr>
        <w:tc>
          <w:tcPr/>
          <w:p>
            <w:pPr>
              <w:pStyle w:val="Compact"/>
              <w:jc w:val="left"/>
            </w:pPr>
            <w:r>
              <w:t xml:space="preserve">Steel measures on non-US imports</w:t>
            </w:r>
          </w:p>
        </w:tc>
        <w:tc>
          <w:tcPr/>
          <w:p>
            <w:pPr>
              <w:pStyle w:val="Compact"/>
              <w:jc w:val="left"/>
            </w:pPr>
            <w:r>
              <w:t xml:space="preserve">Customs Tariff surtax orders (verify the instruments)</w:t>
            </w:r>
          </w:p>
        </w:tc>
        <w:tc>
          <w:tcPr/>
          <w:p>
            <w:pPr>
              <w:pStyle w:val="Compact"/>
              <w:jc w:val="left"/>
            </w:pPr>
            <w:r>
              <w:t xml:space="preserve">From 2025-06-27: tariff rate quotas on steel from countries without a free trade agreement, with a 50% surtax above the quota; tightened and widened later in 2025 (reported to include FTA partners other than the US and Mexico, and some derivative goods); 25% surtax on steel goods melted and poured in China (reported)</w:t>
            </w:r>
          </w:p>
        </w:tc>
        <w:tc>
          <w:tcPr/>
          <w:p>
            <w:pPr>
              <w:pStyle w:val="Compact"/>
              <w:jc w:val="left"/>
            </w:pPr>
            <w:r>
              <w:t xml:space="preserve">Current quotas, rates and covered goods: Unknown</w:t>
            </w:r>
          </w:p>
        </w:tc>
        <w:tc>
          <w:tcPr/>
          <w:p>
            <w:pPr>
              <w:pStyle w:val="Compact"/>
              <w:jc w:val="left"/>
            </w:pPr>
            <w:r>
              <w:t xml:space="preserve">Finance Canada; CBSA Customs Notices</w:t>
            </w:r>
          </w:p>
        </w:tc>
        <w:tc>
          <w:tcPr/>
          <w:p>
            <w:pPr>
              <w:pStyle w:val="Compact"/>
              <w:jc w:val="left"/>
            </w:pPr>
            <w:r>
              <w:t xml:space="preserve">Unclear</w:t>
            </w:r>
          </w:p>
        </w:tc>
      </w:tr>
      <w:tr>
        <w:tc>
          <w:tcPr/>
          <w:p>
            <w:pPr>
              <w:pStyle w:val="Compact"/>
              <w:jc w:val="left"/>
            </w:pPr>
            <w:r>
              <w:t xml:space="preserve">Surtaxes on goods of China</w:t>
            </w:r>
          </w:p>
        </w:tc>
        <w:tc>
          <w:tcPr/>
          <w:p>
            <w:pPr>
              <w:pStyle w:val="Compact"/>
              <w:jc w:val="left"/>
            </w:pPr>
            <w:r>
              <w:t xml:space="preserve">Customs Tariff, section 53</w:t>
            </w:r>
          </w:p>
        </w:tc>
        <w:tc>
          <w:tcPr/>
          <w:p>
            <w:pPr>
              <w:pStyle w:val="Compact"/>
              <w:jc w:val="left"/>
            </w:pPr>
            <w:r>
              <w:t xml:space="preserve">100% on Chinese electric vehicles from 2024-10-01; 25% on Chinese steel and aluminum products from 2024-10-22. A Canada-China arrangement in January 2026 was reported to allow a quota of Chinese electric vehicles at the MFN rate</w:t>
            </w:r>
          </w:p>
        </w:tc>
        <w:tc>
          <w:tcPr/>
          <w:p>
            <w:pPr>
              <w:pStyle w:val="Compact"/>
              <w:jc w:val="left"/>
            </w:pPr>
            <w:r>
              <w:t xml:space="preserve">Unclear; verify</w:t>
            </w:r>
          </w:p>
        </w:tc>
        <w:tc>
          <w:tcPr/>
          <w:p>
            <w:pPr>
              <w:pStyle w:val="Compact"/>
              <w:jc w:val="left"/>
            </w:pPr>
            <w:r>
              <w:t xml:space="preserve">Finance Canada; Canada Gazette Part II</w:t>
            </w:r>
          </w:p>
        </w:tc>
        <w:tc>
          <w:tcPr/>
          <w:p>
            <w:pPr>
              <w:pStyle w:val="Compact"/>
              <w:jc w:val="left"/>
            </w:pPr>
            <w:r>
              <w:t xml:space="preserve">Unclear</w:t>
            </w:r>
          </w:p>
        </w:tc>
      </w:tr>
      <w:tr>
        <w:tc>
          <w:tcPr/>
          <w:p>
            <w:pPr>
              <w:pStyle w:val="Compact"/>
              <w:jc w:val="left"/>
            </w:pPr>
            <w:r>
              <w:t xml:space="preserve">CARM</w:t>
            </w:r>
          </w:p>
        </w:tc>
        <w:tc>
          <w:tcPr/>
          <w:p>
            <w:pPr>
              <w:pStyle w:val="Compact"/>
              <w:jc w:val="left"/>
            </w:pPr>
            <w:r>
              <w:t xml:space="preserve">Customs Act; CBSA</w:t>
            </w:r>
          </w:p>
        </w:tc>
        <w:tc>
          <w:tcPr/>
          <w:p>
            <w:pPr>
              <w:pStyle w:val="Compact"/>
              <w:jc w:val="left"/>
            </w:pPr>
            <w:r>
              <w:t xml:space="preserve">System of record for assessing and collecting duties and taxes on commercial imports since 2024-10-21. Since the transition period ended on 2025-05-20, importers must post their own financial security to use release prior to payment</w:t>
            </w:r>
          </w:p>
        </w:tc>
        <w:tc>
          <w:tcPr/>
          <w:p>
            <w:pPr>
              <w:pStyle w:val="Compact"/>
              <w:jc w:val="left"/>
            </w:pPr>
            <w:r>
              <w:t xml:space="preserve">In force (last known); later releases: verify</w:t>
            </w:r>
          </w:p>
        </w:tc>
        <w:tc>
          <w:tcPr/>
          <w:p>
            <w:pPr>
              <w:pStyle w:val="Compact"/>
              <w:jc w:val="left"/>
            </w:pPr>
            <w:r>
              <w:t xml:space="preserve">CBSA CARM,</w:t>
            </w:r>
            <w:r>
              <w:t xml:space="preserve"> </w:t>
            </w:r>
            <w:hyperlink r:id="rId55">
              <w:r>
                <w:rPr>
                  <w:rStyle w:val="Hyperlink"/>
                </w:rPr>
                <w:t xml:space="preserve">https://www.cbsa-asfc.gc.ca/services/carm-gcra/menu-eng.html</w:t>
              </w:r>
            </w:hyperlink>
            <w:r>
              <w:t xml:space="preserve"> </w:t>
            </w:r>
            <w:r>
              <w:t xml:space="preserve">; CBSA news (2025-05),</w:t>
            </w:r>
            <w:r>
              <w:t xml:space="preserve"> </w:t>
            </w:r>
            <w:hyperlink r:id="rId56">
              <w:r>
                <w:rPr>
                  <w:rStyle w:val="Hyperlink"/>
                </w:rPr>
                <w:t xml:space="preserve">https://www.canada.ca/en/border-services-agency/news/2025/05/reminder-extension-to-submit-financial-security-during-carm-transition-period-ends-on-may-20.html</w:t>
              </w:r>
            </w:hyperlink>
          </w:p>
        </w:tc>
        <w:tc>
          <w:tcPr/>
          <w:p>
            <w:pPr>
              <w:pStyle w:val="Compact"/>
              <w:jc w:val="left"/>
            </w:pPr>
            <w:r>
              <w:t xml:space="preserve">Reported</w:t>
            </w:r>
          </w:p>
        </w:tc>
      </w:tr>
    </w:tbl>
    <w:bookmarkEnd w:id="57"/>
    <w:bookmarkStart w:id="61" w:name="X6eceebb82dd28e939a3f6ae5f461312fa8d7637"/>
    <w:p>
      <w:pPr>
        <w:pStyle w:val="Heading3"/>
      </w:pPr>
      <w:r>
        <w:t xml:space="preserve">1.4 Mexico</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Action</w:t>
            </w:r>
          </w:p>
        </w:tc>
        <w:tc>
          <w:tcPr/>
          <w:p>
            <w:pPr>
              <w:pStyle w:val="Compact"/>
              <w:jc w:val="left"/>
            </w:pPr>
            <w:r>
              <w:t xml:space="preserve">Authority</w:t>
            </w:r>
          </w:p>
        </w:tc>
        <w:tc>
          <w:tcPr/>
          <w:p>
            <w:pPr>
              <w:pStyle w:val="Compact"/>
              <w:jc w:val="left"/>
            </w:pPr>
            <w:r>
              <w:t xml:space="preserve">Scope</w:t>
            </w:r>
          </w:p>
        </w:tc>
        <w:tc>
          <w:tcPr/>
          <w:p>
            <w:pPr>
              <w:pStyle w:val="Compact"/>
              <w:jc w:val="left"/>
            </w:pPr>
            <w:r>
              <w:t xml:space="preserve">Status as of 2026-10-08</w:t>
            </w:r>
          </w:p>
        </w:tc>
        <w:tc>
          <w:tcPr/>
          <w:p>
            <w:pPr>
              <w:pStyle w:val="Compact"/>
              <w:jc w:val="left"/>
            </w:pPr>
            <w:r>
              <w:t xml:space="preserve">Source (date)</w:t>
            </w:r>
          </w:p>
        </w:tc>
        <w:tc>
          <w:tcPr/>
          <w:p>
            <w:pPr>
              <w:pStyle w:val="Compact"/>
              <w:jc w:val="left"/>
            </w:pPr>
            <w:r>
              <w:t xml:space="preserve">Confidence</w:t>
            </w:r>
          </w:p>
        </w:tc>
      </w:tr>
      <w:tr>
        <w:tc>
          <w:tcPr/>
          <w:p>
            <w:pPr>
              <w:pStyle w:val="Compact"/>
              <w:jc w:val="left"/>
            </w:pPr>
            <w:r>
              <w:t xml:space="preserve">Higher import duty (IGI) on goods from countries without a trade agreement with Mexico</w:t>
            </w:r>
          </w:p>
        </w:tc>
        <w:tc>
          <w:tcPr/>
          <w:p>
            <w:pPr>
              <w:pStyle w:val="Compact"/>
              <w:jc w:val="left"/>
            </w:pPr>
            <w:r>
              <w:t xml:space="preserve">Reform of the tariff of the Ley de los Impuestos Generales de Importación y de Exportación (LIGIE), approved by Congress in December 2025</w:t>
            </w:r>
          </w:p>
        </w:tc>
        <w:tc>
          <w:tcPr/>
          <w:p>
            <w:pPr>
              <w:pStyle w:val="Compact"/>
              <w:jc w:val="left"/>
            </w:pPr>
            <w:r>
              <w:t xml:space="preserve">About 1,463 fracciones (textiles, apparel, footwear, steel, autos and auto parts, plastics, toys, furniture, appliances and others), at rates up to 50%, for countries such as China, South Korea, India, Taiwan, Thailand and Indonesia. Goods of trade-agreement partners with a valid preference claim, including T-MEC, are not affected</w:t>
            </w:r>
          </w:p>
        </w:tc>
        <w:tc>
          <w:tcPr/>
          <w:p>
            <w:pPr>
              <w:pStyle w:val="Compact"/>
              <w:jc w:val="left"/>
            </w:pPr>
            <w:r>
              <w:t xml:space="preserve">In force from 2026-01-01 (reported); verify (V8)</w:t>
            </w:r>
          </w:p>
        </w:tc>
        <w:tc>
          <w:tcPr/>
          <w:p>
            <w:pPr>
              <w:pStyle w:val="Compact"/>
              <w:jc w:val="left"/>
            </w:pPr>
            <w:r>
              <w:t xml:space="preserve">DOF, December 2025,</w:t>
            </w:r>
            <w:r>
              <w:t xml:space="preserve"> </w:t>
            </w:r>
            <w:hyperlink r:id="rId30">
              <w:r>
                <w:rPr>
                  <w:rStyle w:val="Hyperlink"/>
                </w:rPr>
                <w:t xml:space="preserve">https://www.dof.gob.mx/</w:t>
              </w:r>
            </w:hyperlink>
          </w:p>
        </w:tc>
        <w:tc>
          <w:tcPr/>
          <w:p>
            <w:pPr>
              <w:pStyle w:val="Compact"/>
              <w:jc w:val="left"/>
            </w:pPr>
            <w:r>
              <w:t xml:space="preserve">Reported</w:t>
            </w:r>
          </w:p>
        </w:tc>
      </w:tr>
      <w:tr>
        <w:tc>
          <w:tcPr/>
          <w:p>
            <w:pPr>
              <w:pStyle w:val="Compact"/>
              <w:jc w:val="left"/>
            </w:pPr>
            <w:r>
              <w:t xml:space="preserve">Textiles and apparel measures</w:t>
            </w:r>
          </w:p>
        </w:tc>
        <w:tc>
          <w:tcPr/>
          <w:p>
            <w:pPr>
              <w:pStyle w:val="Compact"/>
              <w:jc w:val="left"/>
            </w:pPr>
            <w:r>
              <w:t xml:space="preserve">Decrees of December 2024</w:t>
            </w:r>
          </w:p>
        </w:tc>
        <w:tc>
          <w:tcPr/>
          <w:p>
            <w:pPr>
              <w:pStyle w:val="Compact"/>
              <w:jc w:val="left"/>
            </w:pPr>
            <w:r>
              <w:t xml:space="preserve">Higher IGI on listed apparel and textile fracciones, and limits on temporary import of listed textile fracciones under IMMEX (reported)</w:t>
            </w:r>
          </w:p>
        </w:tc>
        <w:tc>
          <w:tcPr/>
          <w:p>
            <w:pPr>
              <w:pStyle w:val="Compact"/>
              <w:jc w:val="left"/>
            </w:pPr>
            <w:r>
              <w:t xml:space="preserve">Unclear; verify</w:t>
            </w:r>
          </w:p>
        </w:tc>
        <w:tc>
          <w:tcPr/>
          <w:p>
            <w:pPr>
              <w:pStyle w:val="Compact"/>
              <w:jc w:val="left"/>
            </w:pPr>
            <w:r>
              <w:t xml:space="preserve">DOF (2024-12)</w:t>
            </w:r>
          </w:p>
        </w:tc>
        <w:tc>
          <w:tcPr/>
          <w:p>
            <w:pPr>
              <w:pStyle w:val="Compact"/>
              <w:jc w:val="left"/>
            </w:pPr>
            <w:r>
              <w:t xml:space="preserve">Unclear</w:t>
            </w:r>
          </w:p>
        </w:tc>
      </w:tr>
      <w:tr>
        <w:tc>
          <w:tcPr/>
          <w:p>
            <w:pPr>
              <w:pStyle w:val="Compact"/>
              <w:jc w:val="left"/>
            </w:pPr>
            <w:r>
              <w:t xml:space="preserve">IMMEX and PROSEC changes</w:t>
            </w:r>
          </w:p>
        </w:tc>
        <w:tc>
          <w:tcPr/>
          <w:p>
            <w:pPr>
              <w:pStyle w:val="Compact"/>
              <w:jc w:val="left"/>
            </w:pPr>
            <w:r>
              <w:t xml:space="preserve">Secretaría de Economía decrees and acuerdos</w:t>
            </w:r>
          </w:p>
        </w:tc>
        <w:tc>
          <w:tcPr/>
          <w:p>
            <w:pPr>
              <w:pStyle w:val="Compact"/>
              <w:jc w:val="left"/>
            </w:pPr>
            <w:r>
              <w:t xml:space="preserve">Reported: PROSEC used as a relief route for some inputs affected by the 2026 increases</w:t>
            </w:r>
          </w:p>
        </w:tc>
        <w:tc>
          <w:tcPr/>
          <w:p>
            <w:pPr>
              <w:pStyle w:val="Compact"/>
              <w:jc w:val="left"/>
            </w:pPr>
            <w:r>
              <w:t xml:space="preserve">Unclear; ask the agente aduanal (V8)</w:t>
            </w:r>
          </w:p>
        </w:tc>
        <w:tc>
          <w:tcPr/>
          <w:p>
            <w:pPr>
              <w:pStyle w:val="Compact"/>
              <w:jc w:val="left"/>
            </w:pPr>
            <w:hyperlink r:id="rId58">
              <w:r>
                <w:rPr>
                  <w:rStyle w:val="Hyperlink"/>
                </w:rPr>
                <w:t xml:space="preserve">https://www.gob.mx/se</w:t>
              </w:r>
            </w:hyperlink>
            <w:r>
              <w:t xml:space="preserve"> </w:t>
            </w:r>
            <w:r>
              <w:t xml:space="preserve">; DOF</w:t>
            </w:r>
          </w:p>
        </w:tc>
        <w:tc>
          <w:tcPr/>
          <w:p>
            <w:pPr>
              <w:pStyle w:val="Compact"/>
              <w:jc w:val="left"/>
            </w:pPr>
            <w:r>
              <w:t xml:space="preserve">Unclear</w:t>
            </w:r>
          </w:p>
        </w:tc>
      </w:tr>
      <w:tr>
        <w:tc>
          <w:tcPr/>
          <w:p>
            <w:pPr>
              <w:pStyle w:val="Compact"/>
              <w:jc w:val="left"/>
            </w:pPr>
            <w:r>
              <w:t xml:space="preserve">Ley Aduanera reform</w:t>
            </w:r>
          </w:p>
        </w:tc>
        <w:tc>
          <w:tcPr/>
          <w:p>
            <w:pPr>
              <w:pStyle w:val="Compact"/>
              <w:jc w:val="left"/>
            </w:pPr>
            <w:r>
              <w:t xml:space="preserve">Decree published in the DOF on 2025-11-19</w:t>
            </w:r>
          </w:p>
        </w:tc>
        <w:tc>
          <w:tcPr/>
          <w:p>
            <w:pPr>
              <w:pStyle w:val="Compact"/>
              <w:jc w:val="left"/>
            </w:pPr>
            <w:r>
              <w:t xml:space="preserve">Stricter obligations for agentes aduanales, a fuller electronic file for importers, higher fines</w:t>
            </w:r>
          </w:p>
        </w:tc>
        <w:tc>
          <w:tcPr/>
          <w:p>
            <w:pPr>
              <w:pStyle w:val="Compact"/>
              <w:jc w:val="left"/>
            </w:pPr>
            <w:r>
              <w:t xml:space="preserve">In force from 2026-01-01; reform of the Reglamento in force from 2026-02-24 (as stated in</w:t>
            </w:r>
            <w:r>
              <w:t xml:space="preserve"> </w:t>
            </w:r>
            <w:r>
              <w:rPr>
                <w:rStyle w:val="VerbatimChar"/>
              </w:rPr>
              <w:t xml:space="preserve">docs/primers/customs-trade-compliance-primer.md</w:t>
            </w:r>
            <w:r>
              <w:t xml:space="preserve">, section 6.4)</w:t>
            </w:r>
          </w:p>
        </w:tc>
        <w:tc>
          <w:tcPr/>
          <w:p>
            <w:pPr>
              <w:pStyle w:val="Compact"/>
              <w:jc w:val="left"/>
            </w:pPr>
            <w:r>
              <w:t xml:space="preserve">DOF (2025-11-19);</w:t>
            </w:r>
            <w:r>
              <w:t xml:space="preserve"> </w:t>
            </w:r>
            <w:hyperlink r:id="rId30">
              <w:r>
                <w:rPr>
                  <w:rStyle w:val="Hyperlink"/>
                </w:rPr>
                <w:t xml:space="preserve">https://www.dof.gob.mx/</w:t>
              </w:r>
            </w:hyperlink>
          </w:p>
        </w:tc>
        <w:tc>
          <w:tcPr/>
          <w:p>
            <w:pPr>
              <w:pStyle w:val="Compact"/>
              <w:jc w:val="left"/>
            </w:pPr>
            <w:r>
              <w:t xml:space="preserve">Reported</w:t>
            </w:r>
          </w:p>
        </w:tc>
      </w:tr>
      <w:tr>
        <w:tc>
          <w:tcPr/>
          <w:p>
            <w:pPr>
              <w:pStyle w:val="Compact"/>
              <w:jc w:val="left"/>
            </w:pPr>
            <w:r>
              <w:t xml:space="preserve">Single window</w:t>
            </w:r>
          </w:p>
        </w:tc>
        <w:tc>
          <w:tcPr/>
          <w:p>
            <w:pPr>
              <w:pStyle w:val="Compact"/>
              <w:jc w:val="left"/>
            </w:pPr>
            <w:r>
              <w:t xml:space="preserve">Decree published in the DOF on 2026-05-04</w:t>
            </w:r>
          </w:p>
        </w:tc>
        <w:tc>
          <w:tcPr/>
          <w:p>
            <w:pPr>
              <w:pStyle w:val="Compact"/>
              <w:jc w:val="left"/>
            </w:pPr>
            <w:r>
              <w:t xml:space="preserve">New foreign-trade single window run by the Agencia de Transformación Digital y Telecomunicaciones (ATDT), replacing the SAT-run VUCEM</w:t>
            </w:r>
          </w:p>
        </w:tc>
        <w:tc>
          <w:tcPr/>
          <w:p>
            <w:pPr>
              <w:pStyle w:val="Compact"/>
              <w:jc w:val="left"/>
            </w:pPr>
            <w:r>
              <w:t xml:space="preserve">Transition rules: verify</w:t>
            </w:r>
          </w:p>
        </w:tc>
        <w:tc>
          <w:tcPr/>
          <w:p>
            <w:pPr>
              <w:pStyle w:val="Compact"/>
              <w:jc w:val="left"/>
            </w:pPr>
            <w:hyperlink r:id="rId59">
              <w:r>
                <w:rPr>
                  <w:rStyle w:val="Hyperlink"/>
                </w:rPr>
                <w:t xml:space="preserve">https://www.dof.gob.mx/nota_detalle.php?codigo=5786598&amp;fecha=04/05/2026</w:t>
              </w:r>
            </w:hyperlink>
            <w:r>
              <w:t xml:space="preserve"> </w:t>
            </w:r>
            <w:r>
              <w:t xml:space="preserve">(2026-05-04)</w:t>
            </w:r>
          </w:p>
        </w:tc>
        <w:tc>
          <w:tcPr/>
          <w:p>
            <w:pPr>
              <w:pStyle w:val="Compact"/>
              <w:jc w:val="left"/>
            </w:pPr>
            <w:r>
              <w:t xml:space="preserve">Reported</w:t>
            </w:r>
          </w:p>
        </w:tc>
      </w:tr>
      <w:tr>
        <w:tc>
          <w:tcPr/>
          <w:p>
            <w:pPr>
              <w:pStyle w:val="Compact"/>
              <w:jc w:val="left"/>
            </w:pPr>
            <w:r>
              <w:t xml:space="preserve">Measures on goods of the US or Canada</w:t>
            </w:r>
          </w:p>
        </w:tc>
        <w:tc>
          <w:tcPr/>
          <w:p>
            <w:pPr>
              <w:pStyle w:val="Compact"/>
              <w:jc w:val="left"/>
            </w:pPr>
            <w:r>
              <w:t xml:space="preserve">None known</w:t>
            </w:r>
          </w:p>
        </w:tc>
        <w:tc>
          <w:tcPr/>
          <w:p>
            <w:pPr>
              <w:pStyle w:val="Compact"/>
              <w:jc w:val="left"/>
            </w:pPr>
            <w:r>
              <w:t xml:space="preserve">Mexico did not impose countermeasures on US goods in 2025 (reported)</w:t>
            </w:r>
          </w:p>
        </w:tc>
        <w:tc>
          <w:tcPr/>
          <w:p>
            <w:pPr>
              <w:pStyle w:val="Compact"/>
              <w:jc w:val="left"/>
            </w:pPr>
            <w:r>
              <w:t xml:space="preserve">Unknown after mid-2026</w:t>
            </w:r>
          </w:p>
        </w:tc>
        <w:tc>
          <w:tcPr/>
          <w:p>
            <w:pPr>
              <w:pStyle w:val="Compact"/>
              <w:jc w:val="left"/>
            </w:pPr>
            <w:r>
              <w:t xml:space="preserve">DOF;</w:t>
            </w:r>
            <w:r>
              <w:t xml:space="preserve"> </w:t>
            </w:r>
            <w:hyperlink r:id="rId58">
              <w:r>
                <w:rPr>
                  <w:rStyle w:val="Hyperlink"/>
                </w:rPr>
                <w:t xml:space="preserve">https://www.gob.mx/se</w:t>
              </w:r>
            </w:hyperlink>
          </w:p>
        </w:tc>
        <w:tc>
          <w:tcPr/>
          <w:p>
            <w:pPr>
              <w:pStyle w:val="Compact"/>
              <w:jc w:val="left"/>
            </w:pPr>
            <w:r>
              <w:t xml:space="preserve">Unclear</w:t>
            </w:r>
          </w:p>
        </w:tc>
      </w:tr>
    </w:tbl>
    <w:p>
      <w:pPr>
        <w:pStyle w:val="BodyText"/>
      </w:pPr>
      <w:r>
        <w:t xml:space="preserve">Durable point for IMMEX (Reported): under the USMCA's rules on drawback and duty deferral programs (Chapter 2, Article 2.5; text at</w:t>
      </w:r>
      <w:r>
        <w:t xml:space="preserve"> </w:t>
      </w:r>
      <w:hyperlink r:id="rId60">
        <w:r>
          <w:rPr>
            <w:rStyle w:val="Hyperlink"/>
          </w:rPr>
          <w:t xml:space="preserve">https://ustr.gov/trade-agreements/free-trade-agreements/united-states-mexico-canada-agreement/agreement-between</w:t>
        </w:r>
      </w:hyperlink>
      <w:r>
        <w:t xml:space="preserve">), Mexico limits the duty it waives on non-originating inputs in goods exported to the US or Canada. So a Mexican IGI increase on non-FTA inputs can matter even for IMMEX operations, and PROSEC rates can reduce the effect. Check the article in the text, and confirm how it applies to our operations with the agente aduanal, before writing it into any brief.</w:t>
      </w:r>
    </w:p>
    <w:bookmarkEnd w:id="61"/>
    <w:bookmarkStart w:id="63" w:name="X6dab86ada0ff3e55217047385392aa6ea67fe45"/>
    <w:p>
      <w:pPr>
        <w:pStyle w:val="Heading3"/>
      </w:pPr>
      <w:r>
        <w:t xml:space="preserve">1.5 USMCA, CUSMA, T-MEC: the 2026 joint review</w:t>
      </w:r>
    </w:p>
    <w:p>
      <w:pPr>
        <w:pStyle w:val="FirstParagraph"/>
      </w:pPr>
      <w:r>
        <w:t xml:space="preserve">What the agreement says (durable, Article 34.7,</w:t>
      </w:r>
      <w:r>
        <w:t xml:space="preserve"> </w:t>
      </w:r>
      <w:hyperlink r:id="rId62">
        <w:r>
          <w:rPr>
            <w:rStyle w:val="Hyperlink"/>
          </w:rPr>
          <w:t xml:space="preserve">https://ustr.gov/sites/default/files/files/agreements/FTA/USMCA/Text/34_Final_Provisions.pdf</w:t>
        </w:r>
      </w:hyperlink>
      <w:r>
        <w:t xml:space="preserve">):</w:t>
      </w:r>
    </w:p>
    <w:p>
      <w:pPr>
        <w:numPr>
          <w:ilvl w:val="0"/>
          <w:numId w:val="1006"/>
        </w:numPr>
        <w:pStyle w:val="Compact"/>
      </w:pPr>
      <w:r>
        <w:t xml:space="preserve">The agreement entered into force on 2020-07-01 for a 16-year term (to 2036-07-01).</w:t>
      </w:r>
    </w:p>
    <w:p>
      <w:pPr>
        <w:numPr>
          <w:ilvl w:val="0"/>
          <w:numId w:val="1006"/>
        </w:numPr>
        <w:pStyle w:val="Compact"/>
      </w:pPr>
      <w:r>
        <w:t xml:space="preserve">The Free Trade Commission holds a joint review on the sixth anniversary, 2026-07-01. Each party confirms in writing whether it wants to extend the term for another 16 years.</w:t>
      </w:r>
    </w:p>
    <w:p>
      <w:pPr>
        <w:numPr>
          <w:ilvl w:val="0"/>
          <w:numId w:val="1006"/>
        </w:numPr>
        <w:pStyle w:val="Compact"/>
      </w:pPr>
      <w:r>
        <w:t xml:space="preserve">If all three confirm, the term is extended to 2042 and the next joint review is due within six years.</w:t>
      </w:r>
    </w:p>
    <w:p>
      <w:pPr>
        <w:numPr>
          <w:ilvl w:val="0"/>
          <w:numId w:val="1006"/>
        </w:numPr>
        <w:pStyle w:val="Compact"/>
      </w:pPr>
      <w:r>
        <w:t xml:space="preserve">If any party does not confirm, the agreement stays in force and the parties hold annual joint reviews for the rest of the term. Any later review can still confirm the extension. Without it, the agreement ends on 2036-07-01.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Status as of 2026-10-08</w:t>
            </w:r>
          </w:p>
        </w:tc>
        <w:tc>
          <w:tcPr/>
          <w:p>
            <w:pPr>
              <w:pStyle w:val="Compact"/>
              <w:jc w:val="left"/>
            </w:pPr>
            <w:r>
              <w:t xml:space="preserve">Source</w:t>
            </w:r>
          </w:p>
        </w:tc>
        <w:tc>
          <w:tcPr/>
          <w:p>
            <w:pPr>
              <w:pStyle w:val="Compact"/>
              <w:jc w:val="left"/>
            </w:pPr>
            <w:r>
              <w:t xml:space="preserve">Confidence</w:t>
            </w:r>
          </w:p>
        </w:tc>
      </w:tr>
      <w:tr>
        <w:tc>
          <w:tcPr/>
          <w:p>
            <w:pPr>
              <w:pStyle w:val="Compact"/>
              <w:jc w:val="left"/>
            </w:pPr>
            <w:r>
              <w:t xml:space="preserve">US preparation: USTR request for public comments and public hearing (2025)</w:t>
            </w:r>
          </w:p>
        </w:tc>
        <w:tc>
          <w:tcPr/>
          <w:p>
            <w:pPr>
              <w:pStyle w:val="Compact"/>
              <w:jc w:val="left"/>
            </w:pPr>
            <w:r>
              <w:t xml:space="preserve">Held in late 2025 (reported)</w:t>
            </w:r>
          </w:p>
        </w:tc>
        <w:tc>
          <w:tcPr/>
          <w:p>
            <w:pPr>
              <w:pStyle w:val="Compact"/>
              <w:jc w:val="left"/>
            </w:pPr>
            <w:hyperlink r:id="rId31">
              <w:r>
                <w:rPr>
                  <w:rStyle w:val="Hyperlink"/>
                </w:rPr>
                <w:t xml:space="preserve">https://ustr.gov/trade-agreements/free-trade-agreements/united-states-mexico-canada-agreement</w:t>
              </w:r>
            </w:hyperlink>
            <w:r>
              <w:t xml:space="preserve"> </w:t>
            </w:r>
            <w:r>
              <w:t xml:space="preserve">; Federal Register (2025)</w:t>
            </w:r>
          </w:p>
        </w:tc>
        <w:tc>
          <w:tcPr/>
          <w:p>
            <w:pPr>
              <w:pStyle w:val="Compact"/>
              <w:jc w:val="left"/>
            </w:pPr>
            <w:r>
              <w:t xml:space="preserve">Reported</w:t>
            </w:r>
          </w:p>
        </w:tc>
      </w:tr>
      <w:tr>
        <w:tc>
          <w:tcPr/>
          <w:p>
            <w:pPr>
              <w:pStyle w:val="Compact"/>
              <w:jc w:val="left"/>
            </w:pPr>
            <w:r>
              <w:t xml:space="preserve">Outcome of the July 2026 joint review (extension confirmed, or annual reviews)</w:t>
            </w:r>
          </w:p>
        </w:tc>
        <w:tc>
          <w:tcPr/>
          <w:p>
            <w:pPr>
              <w:pStyle w:val="Compact"/>
              <w:jc w:val="left"/>
            </w:pPr>
            <w:r>
              <w:t xml:space="preserve">Unknown: not established for this edition (V9)</w:t>
            </w:r>
          </w:p>
        </w:tc>
        <w:tc>
          <w:tcPr/>
          <w:p>
            <w:pPr>
              <w:pStyle w:val="Compact"/>
              <w:jc w:val="left"/>
            </w:pPr>
            <w:r>
              <w:t xml:space="preserve">USTR; Global Affairs Canada; Secretaría de Economía</w:t>
            </w:r>
          </w:p>
        </w:tc>
        <w:tc>
          <w:tcPr/>
          <w:p>
            <w:pPr>
              <w:pStyle w:val="Compact"/>
              <w:jc w:val="left"/>
            </w:pPr>
            <w:r>
              <w:t xml:space="preserve">Unclear</w:t>
            </w:r>
          </w:p>
        </w:tc>
      </w:tr>
      <w:tr>
        <w:tc>
          <w:tcPr/>
          <w:p>
            <w:pPr>
              <w:pStyle w:val="Compact"/>
              <w:jc w:val="left"/>
            </w:pPr>
            <w:r>
              <w:t xml:space="preserve">Any agreed changes (rules of origin, side letters, new commitments)</w:t>
            </w:r>
          </w:p>
        </w:tc>
        <w:tc>
          <w:tcPr/>
          <w:p>
            <w:pPr>
              <w:pStyle w:val="Compact"/>
              <w:jc w:val="left"/>
            </w:pPr>
            <w:r>
              <w:t xml:space="preserve">Unknown</w:t>
            </w:r>
          </w:p>
        </w:tc>
        <w:tc>
          <w:tcPr/>
          <w:p>
            <w:pPr>
              <w:pStyle w:val="Compact"/>
              <w:jc w:val="left"/>
            </w:pPr>
            <w:r>
              <w:t xml:space="preserve">Same</w:t>
            </w:r>
          </w:p>
        </w:tc>
        <w:tc>
          <w:tcPr/>
          <w:p>
            <w:pPr>
              <w:pStyle w:val="Compact"/>
              <w:jc w:val="left"/>
            </w:pPr>
            <w:r>
              <w:t xml:space="preserve">Unclear</w:t>
            </w:r>
          </w:p>
        </w:tc>
      </w:tr>
    </w:tbl>
    <w:p>
      <w:pPr>
        <w:pStyle w:val="BodyText"/>
      </w:pPr>
      <w:r>
        <w:t xml:space="preserve">What it means for us either way: USMCA preference keeps working until the agreement ends or is amended. What changes is the risk horizon (annual reviews mean recurring uncertainty) and any rule changes, which would affect qualification and certifications. Record the outcome here and in the Anki deck once confirmed.</w:t>
      </w:r>
    </w:p>
    <w:bookmarkEnd w:id="63"/>
    <w:bookmarkStart w:id="64" w:name="X80c55df85cb67a76e06e554488a21ff9d5f3a02"/>
    <w:p>
      <w:pPr>
        <w:pStyle w:val="Heading3"/>
      </w:pPr>
      <w:r>
        <w:t xml:space="preserve">1.6 Dates to watch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What</w:t>
            </w:r>
          </w:p>
        </w:tc>
        <w:tc>
          <w:tcPr/>
          <w:p>
            <w:pPr>
              <w:pStyle w:val="Compact"/>
              <w:jc w:val="left"/>
            </w:pPr>
            <w:r>
              <w:t xml:space="preserve">Why it matters for us</w:t>
            </w:r>
          </w:p>
        </w:tc>
        <w:tc>
          <w:tcPr/>
          <w:p>
            <w:pPr>
              <w:pStyle w:val="Compact"/>
              <w:jc w:val="left"/>
            </w:pPr>
            <w:r>
              <w:t xml:space="preserve">Source</w:t>
            </w:r>
          </w:p>
        </w:tc>
        <w:tc>
          <w:tcPr/>
          <w:p>
            <w:pPr>
              <w:pStyle w:val="Compact"/>
              <w:jc w:val="left"/>
            </w:pPr>
            <w:r>
              <w:t xml:space="preserve">Confidence</w:t>
            </w:r>
          </w:p>
        </w:tc>
      </w:tr>
      <w:tr>
        <w:tc>
          <w:tcPr/>
          <w:p>
            <w:pPr>
              <w:pStyle w:val="Compact"/>
              <w:jc w:val="left"/>
            </w:pPr>
            <w:r>
              <w:t xml:space="preserve">2026-10-01</w:t>
            </w:r>
          </w:p>
        </w:tc>
        <w:tc>
          <w:tcPr/>
          <w:p>
            <w:pPr>
              <w:pStyle w:val="Compact"/>
              <w:jc w:val="left"/>
            </w:pPr>
            <w:r>
              <w:t xml:space="preserve">Fiscal year 2027 MPF minimum and maximum took effect</w:t>
            </w:r>
          </w:p>
        </w:tc>
        <w:tc>
          <w:tcPr/>
          <w:p>
            <w:pPr>
              <w:pStyle w:val="Compact"/>
              <w:jc w:val="left"/>
            </w:pPr>
            <w:r>
              <w:t xml:space="preserve">Cost inputs (Hire B)</w:t>
            </w:r>
          </w:p>
        </w:tc>
        <w:tc>
          <w:tcPr/>
          <w:p>
            <w:pPr>
              <w:pStyle w:val="Compact"/>
              <w:jc w:val="left"/>
            </w:pPr>
            <w:r>
              <w:t xml:space="preserve">CBP user-fee notice</w:t>
            </w:r>
          </w:p>
        </w:tc>
        <w:tc>
          <w:tcPr/>
          <w:p>
            <w:pPr>
              <w:pStyle w:val="Compact"/>
              <w:jc w:val="left"/>
            </w:pPr>
            <w:r>
              <w:t xml:space="preserve">Reported (annual cycle); amounts Unclear</w:t>
            </w:r>
          </w:p>
        </w:tc>
      </w:tr>
      <w:tr>
        <w:tc>
          <w:tcPr/>
          <w:p>
            <w:pPr>
              <w:pStyle w:val="Compact"/>
              <w:jc w:val="left"/>
            </w:pPr>
            <w:r>
              <w:t xml:space="preserve">2026-11-10</w:t>
            </w:r>
          </w:p>
        </w:tc>
        <w:tc>
          <w:tcPr/>
          <w:p>
            <w:pPr>
              <w:pStyle w:val="Compact"/>
              <w:jc w:val="left"/>
            </w:pPr>
            <w:r>
              <w:t xml:space="preserve">Section 301 China exclusions expire unless extended; suspension of the Section 301 maritime fees ends unless extended; one-year mark of the 2025 US-China arrangement</w:t>
            </w:r>
          </w:p>
        </w:tc>
        <w:tc>
          <w:tcPr/>
          <w:p>
            <w:pPr>
              <w:pStyle w:val="Compact"/>
              <w:jc w:val="left"/>
            </w:pPr>
            <w:r>
              <w:t xml:space="preserve">Items using an exclusion would pay the Section 301 duty</w:t>
            </w:r>
          </w:p>
        </w:tc>
        <w:tc>
          <w:tcPr/>
          <w:p>
            <w:pPr>
              <w:pStyle w:val="Compact"/>
              <w:jc w:val="left"/>
            </w:pPr>
            <w:r>
              <w:t xml:space="preserve">USTR Section 301 page</w:t>
            </w:r>
          </w:p>
        </w:tc>
        <w:tc>
          <w:tcPr/>
          <w:p>
            <w:pPr>
              <w:pStyle w:val="Compact"/>
              <w:jc w:val="left"/>
            </w:pPr>
            <w:r>
              <w:t xml:space="preserve">Reported</w:t>
            </w:r>
          </w:p>
        </w:tc>
      </w:tr>
      <w:tr>
        <w:tc>
          <w:tcPr/>
          <w:p>
            <w:pPr>
              <w:pStyle w:val="Compact"/>
              <w:jc w:val="left"/>
            </w:pPr>
            <w:r>
              <w:t xml:space="preserve">2027-01-01</w:t>
            </w:r>
          </w:p>
        </w:tc>
        <w:tc>
          <w:tcPr/>
          <w:p>
            <w:pPr>
              <w:pStyle w:val="Compact"/>
              <w:jc w:val="left"/>
            </w:pPr>
            <w:r>
              <w:t xml:space="preserve">Postponed Section 232 increases on upholstered wooden furniture and kitchen cabinets and vanities</w:t>
            </w:r>
          </w:p>
        </w:tc>
        <w:tc>
          <w:tcPr/>
          <w:p>
            <w:pPr>
              <w:pStyle w:val="Compact"/>
              <w:jc w:val="left"/>
            </w:pPr>
            <w:r>
              <w:t xml:space="preserve">Rate change if not postponed again</w:t>
            </w:r>
          </w:p>
        </w:tc>
        <w:tc>
          <w:tcPr/>
          <w:p>
            <w:pPr>
              <w:pStyle w:val="Compact"/>
              <w:jc w:val="left"/>
            </w:pPr>
            <w:r>
              <w:t xml:space="preserve">Proclamation of 2025-12 (reported)</w:t>
            </w:r>
          </w:p>
        </w:tc>
        <w:tc>
          <w:tcPr/>
          <w:p>
            <w:pPr>
              <w:pStyle w:val="Compact"/>
              <w:jc w:val="left"/>
            </w:pPr>
            <w:r>
              <w:t xml:space="preserve">Reported</w:t>
            </w:r>
          </w:p>
        </w:tc>
      </w:tr>
      <w:tr>
        <w:tc>
          <w:tcPr/>
          <w:p>
            <w:pPr>
              <w:pStyle w:val="Compact"/>
              <w:jc w:val="left"/>
            </w:pPr>
            <w:r>
              <w:t xml:space="preserve">2027-01</w:t>
            </w:r>
          </w:p>
        </w:tc>
        <w:tc>
          <w:tcPr/>
          <w:p>
            <w:pPr>
              <w:pStyle w:val="Compact"/>
              <w:jc w:val="left"/>
            </w:pPr>
            <w:r>
              <w:t xml:space="preserve">New Mexican RGCE and possible year-start tariff changes</w:t>
            </w:r>
          </w:p>
        </w:tc>
        <w:tc>
          <w:tcPr/>
          <w:p>
            <w:pPr>
              <w:pStyle w:val="Compact"/>
              <w:jc w:val="left"/>
            </w:pPr>
            <w:r>
              <w:t xml:space="preserve">Pedimento rules and rates</w:t>
            </w:r>
          </w:p>
        </w:tc>
        <w:tc>
          <w:tcPr/>
          <w:p>
            <w:pPr>
              <w:pStyle w:val="Compact"/>
              <w:jc w:val="left"/>
            </w:pPr>
            <w:r>
              <w:t xml:space="preserve">DOF; SAT</w:t>
            </w:r>
          </w:p>
        </w:tc>
        <w:tc>
          <w:tcPr/>
          <w:p>
            <w:pPr>
              <w:pStyle w:val="Compact"/>
              <w:jc w:val="left"/>
            </w:pPr>
            <w:r>
              <w:t xml:space="preserve">Reported (annual cycle)</w:t>
            </w:r>
          </w:p>
        </w:tc>
      </w:tr>
      <w:tr>
        <w:tc>
          <w:tcPr/>
          <w:p>
            <w:pPr>
              <w:pStyle w:val="Compact"/>
              <w:jc w:val="left"/>
            </w:pPr>
            <w:r>
              <w:t xml:space="preserve">2027 (June, reported)</w:t>
            </w:r>
          </w:p>
        </w:tc>
        <w:tc>
          <w:tcPr/>
          <w:p>
            <w:pPr>
              <w:pStyle w:val="Compact"/>
              <w:jc w:val="left"/>
            </w:pPr>
            <w:r>
              <w:t xml:space="preserve">Scheduled increase of the Section 301 action on Chinese legacy semiconductors</w:t>
            </w:r>
          </w:p>
        </w:tc>
        <w:tc>
          <w:tcPr/>
          <w:p>
            <w:pPr>
              <w:pStyle w:val="Compact"/>
              <w:jc w:val="left"/>
            </w:pPr>
            <w:r>
              <w:t xml:space="preserve">Items with Chinese chips, if any</w:t>
            </w:r>
          </w:p>
        </w:tc>
        <w:tc>
          <w:tcPr/>
          <w:p>
            <w:pPr>
              <w:pStyle w:val="Compact"/>
              <w:jc w:val="left"/>
            </w:pPr>
            <w:r>
              <w:t xml:space="preserve">USTR</w:t>
            </w:r>
          </w:p>
        </w:tc>
        <w:tc>
          <w:tcPr/>
          <w:p>
            <w:pPr>
              <w:pStyle w:val="Compact"/>
              <w:jc w:val="left"/>
            </w:pPr>
            <w:r>
              <w:t xml:space="preserve">Unclear</w:t>
            </w:r>
          </w:p>
        </w:tc>
      </w:tr>
      <w:tr>
        <w:tc>
          <w:tcPr/>
          <w:p>
            <w:pPr>
              <w:pStyle w:val="Compact"/>
              <w:jc w:val="left"/>
            </w:pPr>
            <w:r>
              <w:t xml:space="preserve">2027-07-01</w:t>
            </w:r>
          </w:p>
        </w:tc>
        <w:tc>
          <w:tcPr/>
          <w:p>
            <w:pPr>
              <w:pStyle w:val="Compact"/>
              <w:jc w:val="left"/>
            </w:pPr>
            <w:r>
              <w:t xml:space="preserve">Statutory end of de minimis for commercial shipments</w:t>
            </w:r>
          </w:p>
        </w:tc>
        <w:tc>
          <w:tcPr/>
          <w:p>
            <w:pPr>
              <w:pStyle w:val="Compact"/>
              <w:jc w:val="left"/>
            </w:pPr>
            <w:r>
              <w:t xml:space="preserve">Any low-value flows</w:t>
            </w:r>
          </w:p>
        </w:tc>
        <w:tc>
          <w:tcPr/>
          <w:p>
            <w:pPr>
              <w:pStyle w:val="Compact"/>
              <w:jc w:val="left"/>
            </w:pPr>
            <w:r>
              <w:t xml:space="preserve">Pub. L. 119-21</w:t>
            </w:r>
          </w:p>
        </w:tc>
        <w:tc>
          <w:tcPr/>
          <w:p>
            <w:pPr>
              <w:pStyle w:val="Compact"/>
              <w:jc w:val="left"/>
            </w:pPr>
            <w:r>
              <w:t xml:space="preserve">Reported</w:t>
            </w:r>
          </w:p>
        </w:tc>
      </w:tr>
      <w:tr>
        <w:tc>
          <w:tcPr/>
          <w:p>
            <w:pPr>
              <w:pStyle w:val="Compact"/>
              <w:jc w:val="left"/>
            </w:pPr>
            <w:r>
              <w:t xml:space="preserve">2036-07-01</w:t>
            </w:r>
          </w:p>
        </w:tc>
        <w:tc>
          <w:tcPr/>
          <w:p>
            <w:pPr>
              <w:pStyle w:val="Compact"/>
              <w:jc w:val="left"/>
            </w:pPr>
            <w:r>
              <w:t xml:space="preserve">End of the USMCA term unless extended</w:t>
            </w:r>
          </w:p>
        </w:tc>
        <w:tc>
          <w:tcPr/>
          <w:p>
            <w:pPr>
              <w:pStyle w:val="Compact"/>
              <w:jc w:val="left"/>
            </w:pPr>
            <w:r>
              <w:t xml:space="preserve">Long-range</w:t>
            </w:r>
          </w:p>
        </w:tc>
        <w:tc>
          <w:tcPr/>
          <w:p>
            <w:pPr>
              <w:pStyle w:val="Compact"/>
              <w:jc w:val="left"/>
            </w:pPr>
            <w:r>
              <w:t xml:space="preserve">USMCA Article 34.7</w:t>
            </w:r>
          </w:p>
        </w:tc>
        <w:tc>
          <w:tcPr/>
          <w:p>
            <w:pPr>
              <w:pStyle w:val="Compact"/>
              <w:jc w:val="left"/>
            </w:pPr>
            <w:r>
              <w:t xml:space="preserve">Reported</w:t>
            </w:r>
          </w:p>
        </w:tc>
      </w:tr>
    </w:tbl>
    <w:p>
      <w:pPr>
        <w:pStyle w:val="BodyText"/>
      </w:pPr>
      <w:r>
        <w:t xml:space="preserve">Add every new effective date, step change, expiry and comment deadline here as you find it.</w:t>
      </w:r>
    </w:p>
    <w:bookmarkEnd w:id="64"/>
    <w:bookmarkStart w:id="65" w:name="X6f80911eb263ac684caadccd0c46e605598e059"/>
    <w:p>
      <w:pPr>
        <w:pStyle w:val="Heading3"/>
      </w:pPr>
      <w:r>
        <w:t xml:space="preserve">1.7 How Part 1 is kept current (Hire A, weekly)</w:t>
      </w:r>
    </w:p>
    <w:p>
      <w:pPr>
        <w:numPr>
          <w:ilvl w:val="0"/>
          <w:numId w:val="1007"/>
        </w:numPr>
        <w:pStyle w:val="Compact"/>
      </w:pPr>
      <w:r>
        <w:t xml:space="preserve">Every Friday, as part of the weekly routine in Part 2 (2.4), update every row that changed this week. Until Hire A takes over in W2, the Manager does this.</w:t>
      </w:r>
    </w:p>
    <w:p>
      <w:pPr>
        <w:numPr>
          <w:ilvl w:val="0"/>
          <w:numId w:val="1007"/>
        </w:numPr>
        <w:pStyle w:val="Compact"/>
      </w:pPr>
      <w:r>
        <w:t xml:space="preserve">Open the primary source before you change a row. Record the source, its date and the confidence label. Only mark a row Confirmed if you opened the source that day.</w:t>
      </w:r>
    </w:p>
    <w:p>
      <w:pPr>
        <w:numPr>
          <w:ilvl w:val="0"/>
          <w:numId w:val="1007"/>
        </w:numPr>
        <w:pStyle w:val="Compact"/>
      </w:pPr>
      <w:r>
        <w:t xml:space="preserve">Never delete an ended action in the same year it ended. Change its status to Ended with the date. Past entries may still need it for refunds, drawback or audits.</w:t>
      </w:r>
    </w:p>
    <w:p>
      <w:pPr>
        <w:numPr>
          <w:ilvl w:val="0"/>
          <w:numId w:val="1007"/>
        </w:numPr>
        <w:pStyle w:val="Compact"/>
      </w:pPr>
      <w:r>
        <w:t xml:space="preserve">Add a line to the maintenance log for every change, with the source.</w:t>
      </w:r>
    </w:p>
    <w:p>
      <w:pPr>
        <w:numPr>
          <w:ilvl w:val="0"/>
          <w:numId w:val="1007"/>
        </w:numPr>
        <w:pStyle w:val="Compact"/>
      </w:pPr>
      <w:r>
        <w:t xml:space="preserve">Change the "Last updated" date at the top.</w:t>
      </w:r>
    </w:p>
    <w:p>
      <w:pPr>
        <w:numPr>
          <w:ilvl w:val="0"/>
          <w:numId w:val="1007"/>
        </w:numPr>
        <w:pStyle w:val="Compact"/>
      </w:pPr>
      <w:r>
        <w:t xml:space="preserve">A status change on an action that touches our items also goes in the research log, and to the Manager the same day.</w:t>
      </w:r>
    </w:p>
    <w:p>
      <w:pPr>
        <w:numPr>
          <w:ilvl w:val="0"/>
          <w:numId w:val="1007"/>
        </w:numPr>
        <w:pStyle w:val="Compact"/>
      </w:pPr>
      <w:r>
        <w:t xml:space="preserve">The Senior spot-checks two changed rows a month against their sources (about 10 minutes, inside the normal review time) and initials the maintenance log line.</w:t>
      </w:r>
    </w:p>
    <w:p>
      <w:pPr>
        <w:numPr>
          <w:ilvl w:val="0"/>
          <w:numId w:val="1007"/>
        </w:numPr>
        <w:pStyle w:val="Compact"/>
      </w:pPr>
      <w:r>
        <w:t xml:space="preserve">When all ten verification sprint items are done and checked, the edition becomes v1.0.</w:t>
      </w:r>
    </w:p>
    <w:bookmarkEnd w:id="65"/>
    <w:bookmarkEnd w:id="66"/>
    <w:bookmarkStart w:id="91" w:name="X2f9204bc800011e40600312aa8bc69699ed7fe3"/>
    <w:p>
      <w:pPr>
        <w:pStyle w:val="Heading2"/>
      </w:pPr>
      <w:r>
        <w:t xml:space="preserve">Part 2: How to research a new tariff action</w:t>
      </w:r>
    </w:p>
    <w:bookmarkStart w:id="67" w:name="X80c3415eb5867efec7d3fa4c0178bf77079f060"/>
    <w:p>
      <w:pPr>
        <w:pStyle w:val="Heading3"/>
      </w:pPr>
      <w:r>
        <w:t xml:space="preserve">2.1 What you produce, and the boundary</w:t>
      </w:r>
    </w:p>
    <w:p>
      <w:pPr>
        <w:numPr>
          <w:ilvl w:val="0"/>
          <w:numId w:val="1008"/>
        </w:numPr>
        <w:pStyle w:val="Compact"/>
      </w:pPr>
      <w:r>
        <w:rPr>
          <w:bCs/>
          <w:b/>
        </w:rPr>
        <w:t xml:space="preserve">Research owns the WHAT:</w:t>
      </w:r>
      <w:r>
        <w:t xml:space="preserve"> </w:t>
      </w:r>
      <w:r>
        <w:t xml:space="preserve">the legal authority, scope (HTS, Chapter 99, countries, product language), rates, effective dates, exclusions, stacking, USMCA treatment and sources. You deliver it in a Tariff-Impact Brief (</w:t>
      </w:r>
      <w:r>
        <w:rPr>
          <w:rStyle w:val="VerbatimChar"/>
        </w:rPr>
        <w:t xml:space="preserve">docs/templates/domain/tariff-impact-brief.md</w:t>
      </w:r>
      <w:r>
        <w:t xml:space="preserve">) and the Action tab of the shared Tariff-Impact Model (</w:t>
      </w:r>
      <w:r>
        <w:rPr>
          <w:rStyle w:val="VerbatimChar"/>
        </w:rPr>
        <w:t xml:space="preserve">docs/templates/domain/tariff-impact-model-guide.md</w:t>
      </w:r>
      <w:r>
        <w:t xml:space="preserve">).</w:t>
      </w:r>
    </w:p>
    <w:p>
      <w:pPr>
        <w:numPr>
          <w:ilvl w:val="0"/>
          <w:numId w:val="1008"/>
        </w:numPr>
        <w:pStyle w:val="Compact"/>
      </w:pPr>
      <w:r>
        <w:rPr>
          <w:bCs/>
          <w:b/>
        </w:rPr>
        <w:t xml:space="preserve">Standard Cost owns the $:</w:t>
      </w:r>
      <w:r>
        <w:t xml:space="preserve"> </w:t>
      </w:r>
      <w:r>
        <w:t xml:space="preserve">landed cost, margin, the Oracle cost update and variance explanations. If anyone asks you "how much will this cost us?", the answer is: "Standard Cost will model it from brief v1.0. I can tell you which items, from when and at what rate."</w:t>
      </w:r>
    </w:p>
    <w:p>
      <w:pPr>
        <w:numPr>
          <w:ilvl w:val="0"/>
          <w:numId w:val="1008"/>
        </w:numPr>
        <w:pStyle w:val="Compact"/>
      </w:pPr>
      <w:r>
        <w:rPr>
          <w:bCs/>
          <w:b/>
        </w:rPr>
        <w:t xml:space="preserve">Maker-checker:</w:t>
      </w:r>
      <w:r>
        <w:t xml:space="preserve"> </w:t>
      </w:r>
      <w:r>
        <w:t xml:space="preserve">no brief is released without a documented check by the Senior or the Manager. This continues after day 90.</w:t>
      </w:r>
    </w:p>
    <w:p>
      <w:pPr>
        <w:numPr>
          <w:ilvl w:val="0"/>
          <w:numId w:val="1008"/>
        </w:numPr>
        <w:pStyle w:val="Compact"/>
      </w:pPr>
      <w:r>
        <w:rPr>
          <w:bCs/>
          <w:b/>
        </w:rPr>
        <w:t xml:space="preserve">No legal advice:</w:t>
      </w:r>
      <w:r>
        <w:t xml:space="preserve"> </w:t>
      </w:r>
      <w:r>
        <w:t xml:space="preserve">you record "our working interpretation" with a confidence level. Anything uncertain that changes scope, rate or date goes to the broker or trade counsel before release.</w:t>
      </w:r>
    </w:p>
    <w:bookmarkEnd w:id="67"/>
    <w:bookmarkStart w:id="78" w:name="X9832dd67e82c4c6e477f8da7f6bf0446b794365"/>
    <w:p>
      <w:pPr>
        <w:pStyle w:val="Heading3"/>
      </w:pPr>
      <w:r>
        <w:t xml:space="preserve">2.2 Where announcements appear, and in what order</w:t>
      </w:r>
    </w:p>
    <w:p>
      <w:pPr>
        <w:pStyle w:val="FirstParagraph"/>
      </w:pPr>
      <w:r>
        <w:t xml:space="preserve">Only the legal instrument and the agency's implementing guidance are sources. Press releases, social media posts, news articles, law-firm alerts and broker newsletters are leads: use them to find the instrument, and expect details to change between the announcement and the text.</w:t>
      </w:r>
    </w:p>
    <w:bookmarkStart w:id="71" w:name="united-states"/>
    <w:p>
      <w:pPr>
        <w:pStyle w:val="Heading4"/>
      </w:pPr>
      <w:r>
        <w:t xml:space="preserve">United States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Order</w:t>
            </w:r>
          </w:p>
        </w:tc>
        <w:tc>
          <w:tcPr/>
          <w:p>
            <w:pPr>
              <w:pStyle w:val="Compact"/>
              <w:jc w:val="left"/>
            </w:pPr>
            <w:r>
              <w:t xml:space="preserve">Where it appears</w:t>
            </w:r>
          </w:p>
        </w:tc>
        <w:tc>
          <w:tcPr/>
          <w:p>
            <w:pPr>
              <w:pStyle w:val="Compact"/>
              <w:jc w:val="left"/>
            </w:pPr>
            <w:r>
              <w:t xml:space="preserve">What you get</w:t>
            </w:r>
          </w:p>
        </w:tc>
        <w:tc>
          <w:tcPr/>
          <w:p>
            <w:pPr>
              <w:pStyle w:val="Compact"/>
              <w:jc w:val="left"/>
            </w:pPr>
            <w:r>
              <w:t xml:space="preserve">Watch out</w:t>
            </w:r>
          </w:p>
        </w:tc>
      </w:tr>
      <w:tr>
        <w:tc>
          <w:tcPr/>
          <w:p>
            <w:pPr>
              <w:pStyle w:val="Compact"/>
              <w:jc w:val="left"/>
            </w:pPr>
            <w:r>
              <w:t xml:space="preserve">1 Signal</w:t>
            </w:r>
          </w:p>
        </w:tc>
        <w:tc>
          <w:tcPr/>
          <w:p>
            <w:pPr>
              <w:pStyle w:val="Compact"/>
              <w:jc w:val="left"/>
            </w:pPr>
            <w:r>
              <w:t xml:space="preserve">White House statements and fact sheets; USTR and Commerce press releases; Federal Register notices opening a Section 232 investigation (Commerce, with a comment period) or a Section 301 investigation (USTR, with hearing dates)</w:t>
            </w:r>
          </w:p>
        </w:tc>
        <w:tc>
          <w:tcPr/>
          <w:p>
            <w:pPr>
              <w:pStyle w:val="Compact"/>
              <w:jc w:val="left"/>
            </w:pPr>
            <w:r>
              <w:t xml:space="preserve">Intent, sometimes rates and dates; no legal effect</w:t>
            </w:r>
          </w:p>
        </w:tc>
        <w:tc>
          <w:tcPr/>
          <w:p>
            <w:pPr>
              <w:pStyle w:val="Compact"/>
              <w:jc w:val="left"/>
            </w:pPr>
            <w:r>
              <w:t xml:space="preserve">Investigations give weeks or months of warning; announcements can come hours before effect</w:t>
            </w:r>
          </w:p>
        </w:tc>
      </w:tr>
      <w:tr>
        <w:tc>
          <w:tcPr/>
          <w:p>
            <w:pPr>
              <w:pStyle w:val="Compact"/>
              <w:jc w:val="left"/>
            </w:pPr>
            <w:r>
              <w:t xml:space="preserve">2 Legal instrument</w:t>
            </w:r>
          </w:p>
        </w:tc>
        <w:tc>
          <w:tcPr/>
          <w:p>
            <w:pPr>
              <w:pStyle w:val="Compact"/>
              <w:jc w:val="left"/>
            </w:pPr>
            <w:r>
              <w:t xml:space="preserve">Presidential actions on</w:t>
            </w:r>
            <w:r>
              <w:t xml:space="preserve"> </w:t>
            </w:r>
            <w:hyperlink r:id="rId25">
              <w:r>
                <w:rPr>
                  <w:rStyle w:val="Hyperlink"/>
                </w:rPr>
                <w:t xml:space="preserve">https://www.whitehouse.gov/presidential-actions/</w:t>
              </w:r>
            </w:hyperlink>
            <w:r>
              <w:t xml:space="preserve"> </w:t>
            </w:r>
            <w:r>
              <w:t xml:space="preserve">(proclamation or executive order, sometimes with annexes); USTR notices of action for Section 301</w:t>
            </w:r>
          </w:p>
        </w:tc>
        <w:tc>
          <w:tcPr/>
          <w:p>
            <w:pPr>
              <w:pStyle w:val="Compact"/>
              <w:jc w:val="left"/>
            </w:pPr>
            <w:r>
              <w:t xml:space="preserve">The legal text: scope, rate, effective date and time, in-transit rule, exclusions, interaction with other duties, drawback</w:t>
            </w:r>
          </w:p>
        </w:tc>
        <w:tc>
          <w:tcPr/>
          <w:p>
            <w:pPr>
              <w:pStyle w:val="Compact"/>
              <w:jc w:val="left"/>
            </w:pPr>
            <w:r>
              <w:t xml:space="preserve">Annexes are sometimes posted later or corrected</w:t>
            </w:r>
          </w:p>
        </w:tc>
      </w:tr>
      <w:tr>
        <w:tc>
          <w:tcPr/>
          <w:p>
            <w:pPr>
              <w:pStyle w:val="Compact"/>
              <w:jc w:val="left"/>
            </w:pPr>
            <w:r>
              <w:t xml:space="preserve">3 Federal Register</w:t>
            </w:r>
          </w:p>
        </w:tc>
        <w:tc>
          <w:tcPr/>
          <w:p>
            <w:pPr>
              <w:pStyle w:val="Compact"/>
              <w:jc w:val="left"/>
            </w:pPr>
            <w:r>
              <w:t xml:space="preserve">Public inspection, usually the business day before publication,</w:t>
            </w:r>
            <w:r>
              <w:t xml:space="preserve"> </w:t>
            </w:r>
            <w:hyperlink r:id="rId68">
              <w:r>
                <w:rPr>
                  <w:rStyle w:val="Hyperlink"/>
                </w:rPr>
                <w:t xml:space="preserve">https://www.federalregister.gov/public-inspection/current</w:t>
              </w:r>
            </w:hyperlink>
            <w:r>
              <w:t xml:space="preserve"> </w:t>
            </w:r>
            <w:r>
              <w:t xml:space="preserve">; then the daily issue,</w:t>
            </w:r>
            <w:r>
              <w:t xml:space="preserve"> </w:t>
            </w:r>
            <w:hyperlink r:id="rId26">
              <w:r>
                <w:rPr>
                  <w:rStyle w:val="Hyperlink"/>
                </w:rPr>
                <w:t xml:space="preserve">https://www.federalregister.gov/</w:t>
              </w:r>
            </w:hyperlink>
          </w:p>
        </w:tc>
        <w:tc>
          <w:tcPr/>
          <w:p>
            <w:pPr>
              <w:pStyle w:val="Compact"/>
              <w:jc w:val="left"/>
            </w:pPr>
            <w:r>
              <w:t xml:space="preserve">The official citation (for example 91 FR page) and the published annexes</w:t>
            </w:r>
          </w:p>
        </w:tc>
        <w:tc>
          <w:tcPr/>
          <w:p>
            <w:pPr>
              <w:pStyle w:val="Compact"/>
              <w:jc w:val="left"/>
            </w:pPr>
            <w:r>
              <w:t xml:space="preserve">Publication can come after the effective date for fast actions; the instrument still governs</w:t>
            </w:r>
          </w:p>
        </w:tc>
      </w:tr>
      <w:tr>
        <w:tc>
          <w:tcPr/>
          <w:p>
            <w:pPr>
              <w:pStyle w:val="Compact"/>
              <w:jc w:val="left"/>
            </w:pPr>
            <w:r>
              <w:t xml:space="preserve">4 CBP CSMS message</w:t>
            </w:r>
          </w:p>
        </w:tc>
        <w:tc>
          <w:tcPr/>
          <w:p>
            <w:pPr>
              <w:pStyle w:val="Compact"/>
              <w:jc w:val="left"/>
            </w:pPr>
            <w:hyperlink r:id="rId69">
              <w:r>
                <w:rPr>
                  <w:rStyle w:val="Hyperlink"/>
                </w:rPr>
                <w:t xml:space="preserve">https://www.cbp.gov/trade/automated/cargo-systems-messaging-service</w:t>
              </w:r>
            </w:hyperlink>
            <w:r>
              <w:t xml:space="preserve"> </w:t>
            </w:r>
            <w:r>
              <w:t xml:space="preserve">(archive:</w:t>
            </w:r>
            <w:r>
              <w:t xml:space="preserve"> </w:t>
            </w:r>
            <w:hyperlink r:id="rId23">
              <w:r>
                <w:rPr>
                  <w:rStyle w:val="Hyperlink"/>
                </w:rPr>
                <w:t xml:space="preserve">https://www.cbp.gov/document/guidance/csms-archive</w:t>
              </w:r>
            </w:hyperlink>
            <w:r>
              <w:t xml:space="preserve">)</w:t>
            </w:r>
          </w:p>
        </w:tc>
        <w:tc>
          <w:tcPr/>
          <w:p>
            <w:pPr>
              <w:pStyle w:val="Compact"/>
              <w:jc w:val="left"/>
            </w:pPr>
            <w:r>
              <w:t xml:space="preserve">Chapter 99 numbers, reporting order, in-transit claim number, ACE effective time, FAQs; corrections follow</w:t>
            </w:r>
          </w:p>
        </w:tc>
        <w:tc>
          <w:tcPr/>
          <w:p>
            <w:pPr>
              <w:pStyle w:val="Compact"/>
              <w:jc w:val="left"/>
            </w:pPr>
            <w:r>
              <w:t xml:space="preserve">Often the day before or the day of effect, sometimes before Federal Register publication. Read every follow-up message</w:t>
            </w:r>
          </w:p>
        </w:tc>
      </w:tr>
      <w:tr>
        <w:tc>
          <w:tcPr/>
          <w:p>
            <w:pPr>
              <w:pStyle w:val="Compact"/>
              <w:jc w:val="left"/>
            </w:pPr>
            <w:r>
              <w:t xml:space="preserve">5 HTSUS revision</w:t>
            </w:r>
          </w:p>
        </w:tc>
        <w:tc>
          <w:tcPr/>
          <w:p>
            <w:pPr>
              <w:pStyle w:val="Compact"/>
              <w:jc w:val="left"/>
            </w:pPr>
            <w:hyperlink r:id="rId70">
              <w:r>
                <w:rPr>
                  <w:rStyle w:val="Hyperlink"/>
                </w:rPr>
                <w:t xml:space="preserve">https://hts.usitc.gov/</w:t>
              </w:r>
            </w:hyperlink>
            <w:r>
              <w:t xml:space="preserve"> </w:t>
            </w:r>
            <w:r>
              <w:t xml:space="preserve">(new revision with a change record)</w:t>
            </w:r>
          </w:p>
        </w:tc>
        <w:tc>
          <w:tcPr/>
          <w:p>
            <w:pPr>
              <w:pStyle w:val="Compact"/>
              <w:jc w:val="left"/>
            </w:pPr>
            <w:r>
              <w:t xml:space="preserve">Chapter 99 headings and U.S. notes in the official schedule</w:t>
            </w:r>
          </w:p>
        </w:tc>
        <w:tc>
          <w:tcPr/>
          <w:p>
            <w:pPr>
              <w:pStyle w:val="Compact"/>
              <w:jc w:val="left"/>
            </w:pPr>
            <w:r>
              <w:t xml:space="preserve">Can lag the effective date by days or weeks</w:t>
            </w:r>
          </w:p>
        </w:tc>
      </w:tr>
      <w:tr>
        <w:tc>
          <w:tcPr/>
          <w:p>
            <w:pPr>
              <w:pStyle w:val="Compact"/>
              <w:jc w:val="left"/>
            </w:pPr>
            <w:r>
              <w:t xml:space="preserve">6 Follow-up processes</w:t>
            </w:r>
          </w:p>
        </w:tc>
        <w:tc>
          <w:tcPr/>
          <w:p>
            <w:pPr>
              <w:pStyle w:val="Compact"/>
              <w:jc w:val="left"/>
            </w:pPr>
            <w:r>
              <w:t xml:space="preserve">CBP trade remedies pages,</w:t>
            </w:r>
            <w:r>
              <w:t xml:space="preserve"> </w:t>
            </w:r>
            <w:hyperlink r:id="rId27">
              <w:r>
                <w:rPr>
                  <w:rStyle w:val="Hyperlink"/>
                </w:rPr>
                <w:t xml:space="preserve">https://www.cbp.gov/trade/programs-administration/trade-remedies</w:t>
              </w:r>
            </w:hyperlink>
            <w:r>
              <w:t xml:space="preserve"> </w:t>
            </w:r>
            <w:r>
              <w:t xml:space="preserve">; Commerce Section 232 inclusion rounds; USTR exclusion notices</w:t>
            </w:r>
          </w:p>
        </w:tc>
        <w:tc>
          <w:tcPr/>
          <w:p>
            <w:pPr>
              <w:pStyle w:val="Compact"/>
              <w:jc w:val="left"/>
            </w:pPr>
            <w:r>
              <w:t xml:space="preserve">FAQs, new products added, exclusions extended or ended</w:t>
            </w:r>
          </w:p>
        </w:tc>
        <w:tc>
          <w:tcPr/>
          <w:p>
            <w:pPr>
              <w:pStyle w:val="Compact"/>
              <w:jc w:val="left"/>
            </w:pPr>
            <w:r>
              <w:t xml:space="preserve">Inclusion rounds add HTS codes to an action that is already in force</w:t>
            </w:r>
          </w:p>
        </w:tc>
      </w:tr>
      <w:tr>
        <w:tc>
          <w:tcPr/>
          <w:p>
            <w:pPr>
              <w:pStyle w:val="Compact"/>
              <w:jc w:val="left"/>
            </w:pPr>
            <w:r>
              <w:t xml:space="preserve">7 Litigation</w:t>
            </w:r>
          </w:p>
        </w:tc>
        <w:tc>
          <w:tcPr/>
          <w:p>
            <w:pPr>
              <w:pStyle w:val="Compact"/>
              <w:jc w:val="left"/>
            </w:pPr>
            <w:r>
              <w:t xml:space="preserve">Court of International Trade, Federal Circuit, Supreme Court</w:t>
            </w:r>
          </w:p>
        </w:tc>
        <w:tc>
          <w:tcPr/>
          <w:p>
            <w:pPr>
              <w:pStyle w:val="Compact"/>
              <w:jc w:val="left"/>
            </w:pPr>
            <w:r>
              <w:t xml:space="preserve">Rulings that can end or change an action and raise refund questions</w:t>
            </w:r>
          </w:p>
        </w:tc>
        <w:tc>
          <w:tcPr/>
          <w:p>
            <w:pPr>
              <w:pStyle w:val="Compact"/>
              <w:jc w:val="left"/>
            </w:pPr>
            <w:r>
              <w:t xml:space="preserve">Months to years; liquidation deadlines keep running meanwhile</w:t>
            </w:r>
          </w:p>
        </w:tc>
      </w:tr>
    </w:tbl>
    <w:bookmarkEnd w:id="71"/>
    <w:bookmarkStart w:id="74" w:name="canada"/>
    <w:p>
      <w:pPr>
        <w:pStyle w:val="Heading4"/>
      </w:pPr>
      <w:r>
        <w:t xml:space="preserve">Canada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Order</w:t>
            </w:r>
          </w:p>
        </w:tc>
        <w:tc>
          <w:tcPr/>
          <w:p>
            <w:pPr>
              <w:pStyle w:val="Compact"/>
              <w:jc w:val="left"/>
            </w:pPr>
            <w:r>
              <w:t xml:space="preserve">Where it appears</w:t>
            </w:r>
          </w:p>
        </w:tc>
        <w:tc>
          <w:tcPr/>
          <w:p>
            <w:pPr>
              <w:pStyle w:val="Compact"/>
              <w:jc w:val="left"/>
            </w:pPr>
            <w:r>
              <w:t xml:space="preserve">What you get</w:t>
            </w:r>
          </w:p>
        </w:tc>
        <w:tc>
          <w:tcPr/>
          <w:p>
            <w:pPr>
              <w:pStyle w:val="Compact"/>
              <w:jc w:val="left"/>
            </w:pPr>
            <w:r>
              <w:t xml:space="preserve">Watch out</w:t>
            </w:r>
          </w:p>
        </w:tc>
      </w:tr>
      <w:tr>
        <w:tc>
          <w:tcPr/>
          <w:p>
            <w:pPr>
              <w:pStyle w:val="Compact"/>
              <w:jc w:val="left"/>
            </w:pPr>
            <w:r>
              <w:t xml:space="preserve">1 Announcement</w:t>
            </w:r>
          </w:p>
        </w:tc>
        <w:tc>
          <w:tcPr/>
          <w:p>
            <w:pPr>
              <w:pStyle w:val="Compact"/>
              <w:jc w:val="left"/>
            </w:pPr>
            <w:r>
              <w:t xml:space="preserve">Department of Finance news release and backgrounder, often with the list of goods,</w:t>
            </w:r>
            <w:r>
              <w:t xml:space="preserve"> </w:t>
            </w:r>
            <w:hyperlink r:id="rId72">
              <w:r>
                <w:rPr>
                  <w:rStyle w:val="Hyperlink"/>
                </w:rPr>
                <w:t xml:space="preserve">https://www.canada.ca/en/department-finance.html</w:t>
              </w:r>
            </w:hyperlink>
          </w:p>
        </w:tc>
        <w:tc>
          <w:tcPr/>
          <w:p>
            <w:pPr>
              <w:pStyle w:val="Compact"/>
              <w:jc w:val="left"/>
            </w:pPr>
            <w:r>
              <w:t xml:space="preserve">Intent, list, dates</w:t>
            </w:r>
          </w:p>
        </w:tc>
        <w:tc>
          <w:tcPr/>
          <w:p>
            <w:pPr>
              <w:pStyle w:val="Compact"/>
              <w:jc w:val="left"/>
            </w:pPr>
            <w:r>
              <w:t xml:space="preserve">The list may be in a separate notice; check the order for the final text</w:t>
            </w:r>
          </w:p>
        </w:tc>
      </w:tr>
      <w:tr>
        <w:tc>
          <w:tcPr/>
          <w:p>
            <w:pPr>
              <w:pStyle w:val="Compact"/>
              <w:jc w:val="left"/>
            </w:pPr>
            <w:r>
              <w:t xml:space="preserve">2 Order made</w:t>
            </w:r>
          </w:p>
        </w:tc>
        <w:tc>
          <w:tcPr/>
          <w:p>
            <w:pPr>
              <w:pStyle w:val="Compact"/>
              <w:jc w:val="left"/>
            </w:pPr>
            <w:r>
              <w:t xml:space="preserve">Order in Council under the Customs Tariff (for surtaxes, section 53), registered as SOR/year-number</w:t>
            </w:r>
          </w:p>
        </w:tc>
        <w:tc>
          <w:tcPr/>
          <w:p>
            <w:pPr>
              <w:pStyle w:val="Compact"/>
              <w:jc w:val="left"/>
            </w:pPr>
            <w:r>
              <w:t xml:space="preserve">Legal effect from its coming-into-force provision</w:t>
            </w:r>
          </w:p>
        </w:tc>
        <w:tc>
          <w:tcPr/>
          <w:p>
            <w:pPr>
              <w:pStyle w:val="Compact"/>
              <w:jc w:val="left"/>
            </w:pPr>
            <w:r>
              <w:t xml:space="preserve">Can be in force before it is published in the Gazette</w:t>
            </w:r>
          </w:p>
        </w:tc>
      </w:tr>
      <w:tr>
        <w:tc>
          <w:tcPr/>
          <w:p>
            <w:pPr>
              <w:pStyle w:val="Compact"/>
              <w:jc w:val="left"/>
            </w:pPr>
            <w:r>
              <w:t xml:space="preserve">3 Canada Gazette, Part II</w:t>
            </w:r>
          </w:p>
        </w:tc>
        <w:tc>
          <w:tcPr/>
          <w:p>
            <w:pPr>
              <w:pStyle w:val="Compact"/>
              <w:jc w:val="left"/>
            </w:pPr>
            <w:hyperlink r:id="rId53">
              <w:r>
                <w:rPr>
                  <w:rStyle w:val="Hyperlink"/>
                </w:rPr>
                <w:t xml:space="preserve">https://gazette.gc.ca/</w:t>
              </w:r>
            </w:hyperlink>
            <w:r>
              <w:t xml:space="preserve"> </w:t>
            </w:r>
            <w:r>
              <w:t xml:space="preserve">(regular issues every second Wednesday; special issues for urgent orders)</w:t>
            </w:r>
          </w:p>
        </w:tc>
        <w:tc>
          <w:tcPr/>
          <w:p>
            <w:pPr>
              <w:pStyle w:val="Compact"/>
              <w:jc w:val="left"/>
            </w:pPr>
            <w:r>
              <w:t xml:space="preserve">Official text and the Regulatory Impact Analysis Statement</w:t>
            </w:r>
          </w:p>
        </w:tc>
        <w:tc>
          <w:tcPr/>
          <w:p>
            <w:pPr>
              <w:pStyle w:val="Compact"/>
              <w:jc w:val="left"/>
            </w:pPr>
            <w:r>
              <w:t xml:space="preserve">Part I carries proposals and consultations</w:t>
            </w:r>
          </w:p>
        </w:tc>
      </w:tr>
      <w:tr>
        <w:tc>
          <w:tcPr/>
          <w:p>
            <w:pPr>
              <w:pStyle w:val="Compact"/>
              <w:jc w:val="left"/>
            </w:pPr>
            <w:r>
              <w:t xml:space="preserve">4 CBSA Customs Notice</w:t>
            </w:r>
          </w:p>
        </w:tc>
        <w:tc>
          <w:tcPr/>
          <w:p>
            <w:pPr>
              <w:pStyle w:val="Compact"/>
              <w:jc w:val="left"/>
            </w:pPr>
            <w:hyperlink r:id="rId54">
              <w:r>
                <w:rPr>
                  <w:rStyle w:val="Hyperlink"/>
                </w:rPr>
                <w:t xml:space="preserve">https://www.cbsa-asfc.gc.ca/publications/cn-ad/menu-eng.html</w:t>
              </w:r>
            </w:hyperlink>
          </w:p>
        </w:tc>
        <w:tc>
          <w:tcPr/>
          <w:p>
            <w:pPr>
              <w:pStyle w:val="Compact"/>
              <w:jc w:val="left"/>
            </w:pPr>
            <w:r>
              <w:t xml:space="preserve">How CBSA applies it: dates, goods in transit, how to declare and account in CARM, refunds</w:t>
            </w:r>
          </w:p>
        </w:tc>
        <w:tc>
          <w:tcPr/>
          <w:p>
            <w:pPr>
              <w:pStyle w:val="Compact"/>
              <w:jc w:val="left"/>
            </w:pPr>
            <w:r>
              <w:t xml:space="preserve">Updated versions replace earlier ones</w:t>
            </w:r>
          </w:p>
        </w:tc>
      </w:tr>
      <w:tr>
        <w:tc>
          <w:tcPr/>
          <w:p>
            <w:pPr>
              <w:pStyle w:val="Compact"/>
              <w:jc w:val="left"/>
            </w:pPr>
            <w:r>
              <w:t xml:space="preserve">5 Remission order</w:t>
            </w:r>
          </w:p>
        </w:tc>
        <w:tc>
          <w:tcPr/>
          <w:p>
            <w:pPr>
              <w:pStyle w:val="Compact"/>
              <w:jc w:val="left"/>
            </w:pPr>
            <w:r>
              <w:t xml:space="preserve">Separate order under the Customs Tariff (section 115), Gazette Part II, plus a CBSA notice</w:t>
            </w:r>
          </w:p>
        </w:tc>
        <w:tc>
          <w:tcPr/>
          <w:p>
            <w:pPr>
              <w:pStyle w:val="Compact"/>
              <w:jc w:val="left"/>
            </w:pPr>
            <w:r>
              <w:t xml:space="preserve">Who gets relief, conditions, end date, how to claim</w:t>
            </w:r>
          </w:p>
        </w:tc>
        <w:tc>
          <w:tcPr/>
          <w:p>
            <w:pPr>
              <w:pStyle w:val="Compact"/>
              <w:jc w:val="left"/>
            </w:pPr>
            <w:r>
              <w:t xml:space="preserve">Remission is claimed, not automatic</w:t>
            </w:r>
          </w:p>
        </w:tc>
      </w:tr>
      <w:tr>
        <w:tc>
          <w:tcPr/>
          <w:p>
            <w:pPr>
              <w:pStyle w:val="Compact"/>
              <w:jc w:val="left"/>
            </w:pPr>
            <w:r>
              <w:t xml:space="preserve">6 Customs Tariff consolidation</w:t>
            </w:r>
          </w:p>
        </w:tc>
        <w:tc>
          <w:tcPr/>
          <w:p>
            <w:pPr>
              <w:pStyle w:val="Compact"/>
              <w:jc w:val="left"/>
            </w:pPr>
            <w:hyperlink r:id="rId73">
              <w:r>
                <w:rPr>
                  <w:rStyle w:val="Hyperlink"/>
                </w:rPr>
                <w:t xml:space="preserve">https://www.cbsa-asfc.gc.ca/trade-commerce/tariff-tarif/2026/menu-eng.html</w:t>
              </w:r>
            </w:hyperlink>
          </w:p>
        </w:tc>
        <w:tc>
          <w:tcPr/>
          <w:p>
            <w:pPr>
              <w:pStyle w:val="Compact"/>
              <w:jc w:val="left"/>
            </w:pPr>
            <w:r>
              <w:t xml:space="preserve">The updated schedule</w:t>
            </w:r>
          </w:p>
        </w:tc>
        <w:tc>
          <w:tcPr/>
          <w:p>
            <w:pPr>
              <w:pStyle w:val="Compact"/>
              <w:jc w:val="left"/>
            </w:pPr>
            <w:r>
              <w:t xml:space="preserve">Lags the order</w:t>
            </w:r>
          </w:p>
        </w:tc>
      </w:tr>
    </w:tbl>
    <w:bookmarkEnd w:id="74"/>
    <w:bookmarkStart w:id="77" w:name="mexico"/>
    <w:p>
      <w:pPr>
        <w:pStyle w:val="Heading4"/>
      </w:pPr>
      <w:r>
        <w:t xml:space="preserve">Mexico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Order</w:t>
            </w:r>
          </w:p>
        </w:tc>
        <w:tc>
          <w:tcPr/>
          <w:p>
            <w:pPr>
              <w:pStyle w:val="Compact"/>
              <w:jc w:val="left"/>
            </w:pPr>
            <w:r>
              <w:t xml:space="preserve">Where it appears</w:t>
            </w:r>
          </w:p>
        </w:tc>
        <w:tc>
          <w:tcPr/>
          <w:p>
            <w:pPr>
              <w:pStyle w:val="Compact"/>
              <w:jc w:val="left"/>
            </w:pPr>
            <w:r>
              <w:t xml:space="preserve">What you get</w:t>
            </w:r>
          </w:p>
        </w:tc>
        <w:tc>
          <w:tcPr/>
          <w:p>
            <w:pPr>
              <w:pStyle w:val="Compact"/>
              <w:jc w:val="left"/>
            </w:pPr>
            <w:r>
              <w:t xml:space="preserve">Watch out</w:t>
            </w:r>
          </w:p>
        </w:tc>
      </w:tr>
      <w:tr>
        <w:tc>
          <w:tcPr/>
          <w:p>
            <w:pPr>
              <w:pStyle w:val="Compact"/>
              <w:jc w:val="left"/>
            </w:pPr>
            <w:r>
              <w:t xml:space="preserve">1 Announcement</w:t>
            </w:r>
          </w:p>
        </w:tc>
        <w:tc>
          <w:tcPr/>
          <w:p>
            <w:pPr>
              <w:pStyle w:val="Compact"/>
              <w:jc w:val="left"/>
            </w:pPr>
            <w:r>
              <w:t xml:space="preserve">Secretaría de Economía press releases,</w:t>
            </w:r>
            <w:r>
              <w:t xml:space="preserve"> </w:t>
            </w:r>
            <w:hyperlink r:id="rId58">
              <w:r>
                <w:rPr>
                  <w:rStyle w:val="Hyperlink"/>
                </w:rPr>
                <w:t xml:space="preserve">https://www.gob.mx/se</w:t>
              </w:r>
            </w:hyperlink>
            <w:r>
              <w:t xml:space="preserve"> </w:t>
            </w:r>
            <w:r>
              <w:t xml:space="preserve">; the President's morning press conference</w:t>
            </w:r>
          </w:p>
        </w:tc>
        <w:tc>
          <w:tcPr/>
          <w:p>
            <w:pPr>
              <w:pStyle w:val="Compact"/>
              <w:jc w:val="left"/>
            </w:pPr>
            <w:r>
              <w:t xml:space="preserve">Intent</w:t>
            </w:r>
          </w:p>
        </w:tc>
        <w:tc>
          <w:tcPr/>
          <w:p>
            <w:pPr>
              <w:pStyle w:val="Compact"/>
              <w:jc w:val="left"/>
            </w:pPr>
            <w:r>
              <w:t xml:space="preserve">Rates and lists often change before publication</w:t>
            </w:r>
          </w:p>
        </w:tc>
      </w:tr>
      <w:tr>
        <w:tc>
          <w:tcPr/>
          <w:p>
            <w:pPr>
              <w:pStyle w:val="Compact"/>
              <w:jc w:val="left"/>
            </w:pPr>
            <w:r>
              <w:t xml:space="preserve">2 Legal instrument</w:t>
            </w:r>
          </w:p>
        </w:tc>
        <w:tc>
          <w:tcPr/>
          <w:p>
            <w:pPr>
              <w:pStyle w:val="Compact"/>
              <w:jc w:val="left"/>
            </w:pPr>
            <w:r>
              <w:t xml:space="preserve">DOF,</w:t>
            </w:r>
            <w:r>
              <w:t xml:space="preserve"> </w:t>
            </w:r>
            <w:hyperlink r:id="rId30">
              <w:r>
                <w:rPr>
                  <w:rStyle w:val="Hyperlink"/>
                </w:rPr>
                <w:t xml:space="preserve">https://www.dof.gob.mx/</w:t>
              </w:r>
            </w:hyperlink>
            <w:r>
              <w:t xml:space="preserve"> </w:t>
            </w:r>
            <w:r>
              <w:t xml:space="preserve">: a decreto (TIGIE tariff changes, IMMEX or PROSEC decrees), an acuerdo (Secretaría de Economía rules, quotas, permits) or a resolución (SAT rules such as the RGCE; AD/CVD cuotas compensatorias)</w:t>
            </w:r>
          </w:p>
        </w:tc>
        <w:tc>
          <w:tcPr/>
          <w:p>
            <w:pPr>
              <w:pStyle w:val="Compact"/>
              <w:jc w:val="left"/>
            </w:pPr>
            <w:r>
              <w:t xml:space="preserve">Legal text; entry into force in the transitory articles (often the day after publication)</w:t>
            </w:r>
          </w:p>
        </w:tc>
        <w:tc>
          <w:tcPr/>
          <w:p>
            <w:pPr>
              <w:pStyle w:val="Compact"/>
              <w:jc w:val="left"/>
            </w:pPr>
            <w:r>
              <w:t xml:space="preserve">The DOF has a morning edition and sometimes an evening (vespertina) or extraordinary edition: check both</w:t>
            </w:r>
          </w:p>
        </w:tc>
      </w:tr>
      <w:tr>
        <w:tc>
          <w:tcPr/>
          <w:p>
            <w:pPr>
              <w:pStyle w:val="Compact"/>
              <w:jc w:val="left"/>
            </w:pPr>
            <w:r>
              <w:t xml:space="preserve">3 Implementation</w:t>
            </w:r>
          </w:p>
        </w:tc>
        <w:tc>
          <w:tcPr/>
          <w:p>
            <w:pPr>
              <w:pStyle w:val="Compact"/>
              <w:jc w:val="left"/>
            </w:pPr>
            <w:r>
              <w:t xml:space="preserve">SAT and ANAM communications,</w:t>
            </w:r>
            <w:r>
              <w:t xml:space="preserve"> </w:t>
            </w:r>
            <w:hyperlink r:id="rId75">
              <w:r>
                <w:rPr>
                  <w:rStyle w:val="Hyperlink"/>
                </w:rPr>
                <w:t xml:space="preserve">https://www.sat.gob.mx/</w:t>
              </w:r>
            </w:hyperlink>
            <w:r>
              <w:t xml:space="preserve"> </w:t>
            </w:r>
            <w:r>
              <w:t xml:space="preserve">and</w:t>
            </w:r>
            <w:r>
              <w:t xml:space="preserve"> </w:t>
            </w:r>
            <w:hyperlink r:id="rId76">
              <w:r>
                <w:rPr>
                  <w:rStyle w:val="Hyperlink"/>
                </w:rPr>
                <w:t xml:space="preserve">https://www.anam.gob.mx/</w:t>
              </w:r>
            </w:hyperlink>
            <w:r>
              <w:t xml:space="preserve"> </w:t>
            </w:r>
            <w:r>
              <w:t xml:space="preserve">; validation and single-window updates</w:t>
            </w:r>
          </w:p>
        </w:tc>
        <w:tc>
          <w:tcPr/>
          <w:p>
            <w:pPr>
              <w:pStyle w:val="Compact"/>
              <w:jc w:val="left"/>
            </w:pPr>
            <w:r>
              <w:t xml:space="preserve">How the pedimento must be filed</w:t>
            </w:r>
          </w:p>
        </w:tc>
        <w:tc>
          <w:tcPr/>
          <w:p>
            <w:pPr>
              <w:pStyle w:val="Compact"/>
              <w:jc w:val="left"/>
            </w:pPr>
            <w:r>
              <w:t xml:space="preserve">Validation changes can lag the legal date</w:t>
            </w:r>
          </w:p>
        </w:tc>
      </w:tr>
      <w:tr>
        <w:tc>
          <w:tcPr/>
          <w:p>
            <w:pPr>
              <w:pStyle w:val="Compact"/>
              <w:jc w:val="left"/>
            </w:pPr>
            <w:r>
              <w:t xml:space="preserve">4 Agente aduanal circulars</w:t>
            </w:r>
          </w:p>
        </w:tc>
        <w:tc>
          <w:tcPr/>
          <w:p>
            <w:pPr>
              <w:pStyle w:val="Compact"/>
              <w:jc w:val="left"/>
            </w:pPr>
            <w:r>
              <w:t xml:space="preserve">[COMPANY: agente aduanal contact]</w:t>
            </w:r>
          </w:p>
        </w:tc>
        <w:tc>
          <w:tcPr/>
          <w:p>
            <w:pPr>
              <w:pStyle w:val="Compact"/>
              <w:jc w:val="left"/>
            </w:pPr>
            <w:r>
              <w:t xml:space="preserve">Practical application, often the fastest interpretation</w:t>
            </w:r>
          </w:p>
        </w:tc>
        <w:tc>
          <w:tcPr/>
          <w:p>
            <w:pPr>
              <w:pStyle w:val="Compact"/>
              <w:jc w:val="left"/>
            </w:pPr>
            <w:r>
              <w:t xml:space="preserve">A lead to confirm, not the source</w:t>
            </w:r>
          </w:p>
        </w:tc>
      </w:tr>
      <w:tr>
        <w:tc>
          <w:tcPr/>
          <w:p>
            <w:pPr>
              <w:pStyle w:val="Compact"/>
              <w:jc w:val="left"/>
            </w:pPr>
            <w:r>
              <w:t xml:space="preserve">5 RGCE</w:t>
            </w:r>
          </w:p>
        </w:tc>
        <w:tc>
          <w:tcPr/>
          <w:p>
            <w:pPr>
              <w:pStyle w:val="Compact"/>
              <w:jc w:val="left"/>
            </w:pPr>
            <w:r>
              <w:t xml:space="preserve">Published by SAT in the DOF each year, with amendments during the year</w:t>
            </w:r>
          </w:p>
        </w:tc>
        <w:tc>
          <w:tcPr/>
          <w:p>
            <w:pPr>
              <w:pStyle w:val="Compact"/>
              <w:jc w:val="left"/>
            </w:pPr>
            <w:r>
              <w:t xml:space="preserve">Procedures and annexes (for example Anexo 22, pedimento instructions)</w:t>
            </w:r>
          </w:p>
        </w:tc>
        <w:tc>
          <w:tcPr/>
          <w:p>
            <w:pPr>
              <w:pStyle w:val="Compact"/>
              <w:jc w:val="left"/>
            </w:pPr>
            <w:r>
              <w:t xml:space="preserve">Annex numbering changes between years</w:t>
            </w:r>
          </w:p>
        </w:tc>
      </w:tr>
    </w:tbl>
    <w:p>
      <w:pPr>
        <w:pStyle w:val="BodyText"/>
      </w:pPr>
      <w:r>
        <w:t xml:space="preserve">Mexican tariff lines are fracciones of 8 digits plus a 2-digit NICO. Which date fixes the rate on a pedimento is set by Ley Aduanera article 56 (generally the arrival date); confirm with the agente aduanal.</w:t>
      </w:r>
    </w:p>
    <w:bookmarkEnd w:id="77"/>
    <w:bookmarkEnd w:id="78"/>
    <w:bookmarkStart w:id="79" w:name="X73d2afad06441adc5fe420aebd65835fa244459"/>
    <w:p>
      <w:pPr>
        <w:pStyle w:val="Heading3"/>
      </w:pPr>
      <w:r>
        <w:t xml:space="preserve">2.3 How a US action shows up on an entry</w:t>
      </w:r>
    </w:p>
    <w:p>
      <w:pPr>
        <w:numPr>
          <w:ilvl w:val="0"/>
          <w:numId w:val="1009"/>
        </w:numPr>
        <w:pStyle w:val="Compact"/>
      </w:pPr>
      <w:r>
        <w:t xml:space="preserve">HTSUS Chapter 99 holds temporary modifications. Subchapter III (headings 9903) holds the additional duties under trade laws such as Sections 232, 301, 201 and 122. Subchapter II (9902) holds temporary duty reductions, which are a different thing.</w:t>
      </w:r>
    </w:p>
    <w:p>
      <w:pPr>
        <w:numPr>
          <w:ilvl w:val="0"/>
          <w:numId w:val="1009"/>
        </w:numPr>
        <w:pStyle w:val="Compact"/>
      </w:pPr>
      <w:r>
        <w:t xml:space="preserve">A Chapter 99 number is reported</w:t>
      </w:r>
      <w:r>
        <w:t xml:space="preserve"> </w:t>
      </w:r>
      <w:r>
        <w:rPr>
          <w:bCs/>
          <w:b/>
        </w:rPr>
        <w:t xml:space="preserve">in addition to</w:t>
      </w:r>
      <w:r>
        <w:t xml:space="preserve"> </w:t>
      </w:r>
      <w:r>
        <w:t xml:space="preserve">the Chapter 1 to 97 classification, never instead of it. It tells CBP which action applies (or which exemption or exclusion is claimed) and therefore which extra rate to charge. CBP's CSMS guidance gives the reporting order.</w:t>
      </w:r>
    </w:p>
    <w:p>
      <w:pPr>
        <w:numPr>
          <w:ilvl w:val="0"/>
          <w:numId w:val="1009"/>
        </w:numPr>
        <w:pStyle w:val="Compact"/>
      </w:pPr>
      <w:r>
        <w:t xml:space="preserve">Some Chapter 99 numbers mean "not subject" (for example the non-metal content of a derivative, or an excluded product). Reporting them is how the exemption is claimed.</w:t>
      </w:r>
    </w:p>
    <w:p>
      <w:pPr>
        <w:numPr>
          <w:ilvl w:val="0"/>
          <w:numId w:val="1009"/>
        </w:numPr>
        <w:pStyle w:val="Compact"/>
      </w:pPr>
      <w:r>
        <w:t xml:space="preserve">Long-standing examples, to recognise in entry data (always check the current HTSUS): 9903.80 and 9903.81 for steel, 9903.85 for aluminum, 9903.88 for Section 301 on China, 9903.94 for autos and auto parts. Confidence: Reported.</w:t>
      </w:r>
    </w:p>
    <w:bookmarkEnd w:id="79"/>
    <w:bookmarkStart w:id="85" w:name="Xc6c3db459662495da1929345246ee77d1f15048"/>
    <w:p>
      <w:pPr>
        <w:pStyle w:val="Heading3"/>
      </w:pPr>
      <w:r>
        <w:t xml:space="preserve">2.4 Monitoring routine</w:t>
      </w:r>
    </w:p>
    <w:bookmarkStart w:id="81" w:name="set-it-up-once-w2-tue-1027-90-minutes"/>
    <w:p>
      <w:pPr>
        <w:pStyle w:val="Heading4"/>
      </w:pPr>
      <w:r>
        <w:t xml:space="preserve">Set it up once (W2 Tue 10/27, 90 minutes)</w:t>
      </w:r>
    </w:p>
    <w:p>
      <w:pPr>
        <w:numPr>
          <w:ilvl w:val="0"/>
          <w:numId w:val="1010"/>
        </w:numPr>
        <w:pStyle w:val="Compact"/>
      </w:pPr>
      <w:r>
        <w:t xml:space="preserve">☐ CBP CSMS: subscribe to CSMS messages through the subscription link on</w:t>
      </w:r>
      <w:r>
        <w:t xml:space="preserve"> </w:t>
      </w:r>
      <w:hyperlink r:id="rId69">
        <w:r>
          <w:rPr>
            <w:rStyle w:val="Hyperlink"/>
          </w:rPr>
          <w:t xml:space="preserve">https://www.cbp.gov/trade/automated/cargo-systems-messaging-service</w:t>
        </w:r>
      </w:hyperlink>
      <w:r>
        <w:t xml:space="preserve"> </w:t>
      </w:r>
      <w:r>
        <w:t xml:space="preserve">. Make an email folder and a rule that files them.</w:t>
      </w:r>
    </w:p>
    <w:p>
      <w:pPr>
        <w:numPr>
          <w:ilvl w:val="0"/>
          <w:numId w:val="1010"/>
        </w:numPr>
        <w:pStyle w:val="Compact"/>
      </w:pPr>
      <w:r>
        <w:t xml:space="preserve">☐ Federal Register: create an account on</w:t>
      </w:r>
      <w:r>
        <w:t xml:space="preserve"> </w:t>
      </w:r>
      <w:hyperlink r:id="rId26">
        <w:r>
          <w:rPr>
            <w:rStyle w:val="Hyperlink"/>
          </w:rPr>
          <w:t xml:space="preserve">https://www.federalregister.gov/</w:t>
        </w:r>
      </w:hyperlink>
      <w:r>
        <w:t xml:space="preserve"> </w:t>
      </w:r>
      <w:r>
        <w:t xml:space="preserve">and save searches with email alerts for: presidential documents (proclamations and executive orders); Office of the United States Trade Representative; U.S. Customs and Border Protection with the terms "Chapter 99" or "9903"; Industry and Security Bureau and International Trade Administration with "Section 232"; antidumping and countervailing notices for our product keywords ([COMPANY: product keywords]).</w:t>
      </w:r>
    </w:p>
    <w:p>
      <w:pPr>
        <w:numPr>
          <w:ilvl w:val="0"/>
          <w:numId w:val="1010"/>
        </w:numPr>
        <w:pStyle w:val="Compact"/>
      </w:pPr>
      <w:r>
        <w:t xml:space="preserve">☐ Bookmark</w:t>
      </w:r>
      <w:r>
        <w:t xml:space="preserve"> </w:t>
      </w:r>
      <w:hyperlink r:id="rId68">
        <w:r>
          <w:rPr>
            <w:rStyle w:val="Hyperlink"/>
          </w:rPr>
          <w:t xml:space="preserve">https://www.federalregister.gov/public-inspection/current</w:t>
        </w:r>
      </w:hyperlink>
      <w:r>
        <w:t xml:space="preserve"> </w:t>
      </w:r>
      <w:r>
        <w:t xml:space="preserve">and</w:t>
      </w:r>
      <w:r>
        <w:t xml:space="preserve"> </w:t>
      </w:r>
      <w:hyperlink r:id="rId25">
        <w:r>
          <w:rPr>
            <w:rStyle w:val="Hyperlink"/>
          </w:rPr>
          <w:t xml:space="preserve">https://www.whitehouse.gov/presidential-actions/</w:t>
        </w:r>
      </w:hyperlink>
      <w:r>
        <w:t xml:space="preserve"> </w:t>
      </w:r>
      <w:r>
        <w:t xml:space="preserve">.</w:t>
      </w:r>
    </w:p>
    <w:p>
      <w:pPr>
        <w:numPr>
          <w:ilvl w:val="0"/>
          <w:numId w:val="1010"/>
        </w:numPr>
        <w:pStyle w:val="Compact"/>
      </w:pPr>
      <w:r>
        <w:t xml:space="preserve">☐ USTR: sign up for press release emails on</w:t>
      </w:r>
      <w:r>
        <w:t xml:space="preserve"> </w:t>
      </w:r>
      <w:hyperlink r:id="rId80">
        <w:r>
          <w:rPr>
            <w:rStyle w:val="Hyperlink"/>
          </w:rPr>
          <w:t xml:space="preserve">https://ustr.gov/</w:t>
        </w:r>
      </w:hyperlink>
      <w:r>
        <w:t xml:space="preserve"> </w:t>
      </w:r>
      <w:r>
        <w:t xml:space="preserve">.</w:t>
      </w:r>
    </w:p>
    <w:p>
      <w:pPr>
        <w:numPr>
          <w:ilvl w:val="0"/>
          <w:numId w:val="1010"/>
        </w:numPr>
        <w:pStyle w:val="Compact"/>
      </w:pPr>
      <w:r>
        <w:t xml:space="preserve">☐ Canada: subscribe to Department of Finance news and to Canada Gazette notifications (canada.ca and gazette.gc.ca offer email or RSS; verify the current options). Bookmark CBSA Customs Notices.</w:t>
      </w:r>
    </w:p>
    <w:p>
      <w:pPr>
        <w:numPr>
          <w:ilvl w:val="0"/>
          <w:numId w:val="1010"/>
        </w:numPr>
        <w:pStyle w:val="Compact"/>
      </w:pPr>
      <w:r>
        <w:t xml:space="preserve">☐ Mexico: bookmark</w:t>
      </w:r>
      <w:r>
        <w:t xml:space="preserve"> </w:t>
      </w:r>
      <w:hyperlink r:id="rId30">
        <w:r>
          <w:rPr>
            <w:rStyle w:val="Hyperlink"/>
          </w:rPr>
          <w:t xml:space="preserve">https://www.dof.gob.mx/</w:t>
        </w:r>
      </w:hyperlink>
      <w:r>
        <w:t xml:space="preserve"> </w:t>
      </w:r>
      <w:r>
        <w:t xml:space="preserve">and subscribe to the DOF daily summary by email if the service is offered (verify). Ask the agente aduanal to add you to their client circulars ([COMPANY: agente aduanal contact]).</w:t>
      </w:r>
    </w:p>
    <w:p>
      <w:pPr>
        <w:numPr>
          <w:ilvl w:val="0"/>
          <w:numId w:val="1010"/>
        </w:numPr>
        <w:pStyle w:val="Compact"/>
      </w:pPr>
      <w:r>
        <w:t xml:space="preserve">☐ Ask each broker to add you to their client bulletins ([COMPANY: broker contacts per country]).</w:t>
      </w:r>
    </w:p>
    <w:p>
      <w:pPr>
        <w:numPr>
          <w:ilvl w:val="0"/>
          <w:numId w:val="1010"/>
        </w:numPr>
        <w:pStyle w:val="Compact"/>
      </w:pPr>
      <w:r>
        <w:t xml:space="preserve">☐ Create the research log (columns below) in [COMPANY: research log location] and a Jira filter for research items.</w:t>
      </w:r>
    </w:p>
    <w:bookmarkEnd w:id="81"/>
    <w:bookmarkStart w:id="82" w:name="X7b28babec6b87c73fb310b3286131d1599c0b35"/>
    <w:p>
      <w:pPr>
        <w:pStyle w:val="Heading4"/>
      </w:pPr>
      <w:r>
        <w:t xml:space="preserve">Daily, 15 minutes (fixed time, for example 08:30 after Anki)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Minutes</w:t>
            </w:r>
          </w:p>
        </w:tc>
        <w:tc>
          <w:tcPr/>
          <w:p>
            <w:pPr>
              <w:pStyle w:val="Compact"/>
              <w:jc w:val="left"/>
            </w:pPr>
            <w:r>
              <w:t xml:space="preserve">Check</w:t>
            </w:r>
          </w:p>
        </w:tc>
        <w:tc>
          <w:tcPr/>
          <w:p>
            <w:pPr>
              <w:pStyle w:val="Compact"/>
              <w:jc w:val="left"/>
            </w:pPr>
            <w:r>
              <w:t xml:space="preserve">Look for</w:t>
            </w:r>
          </w:p>
        </w:tc>
        <w:tc>
          <w:tcPr/>
          <w:p>
            <w:pPr>
              <w:pStyle w:val="Compact"/>
              <w:jc w:val="left"/>
            </w:pPr>
            <w:r>
              <w:t xml:space="preserve">If relevant</w:t>
            </w:r>
          </w:p>
        </w:tc>
      </w:tr>
      <w:tr>
        <w:tc>
          <w:tcPr/>
          <w:p>
            <w:pPr>
              <w:pStyle w:val="Compact"/>
              <w:jc w:val="left"/>
            </w:pPr>
            <w:r>
              <w:t xml:space="preserve">0 to 4</w:t>
            </w:r>
          </w:p>
        </w:tc>
        <w:tc>
          <w:tcPr/>
          <w:p>
            <w:pPr>
              <w:pStyle w:val="Compact"/>
              <w:jc w:val="left"/>
            </w:pPr>
            <w:r>
              <w:t xml:space="preserve">CSMS folder since yesterday</w:t>
            </w:r>
          </w:p>
        </w:tc>
        <w:tc>
          <w:tcPr/>
          <w:p>
            <w:pPr>
              <w:pStyle w:val="Compact"/>
              <w:jc w:val="left"/>
            </w:pPr>
            <w:r>
              <w:t xml:space="preserve">Guidance on Sections 232, 301, 122, Chapter 99, de minimis, AD/CVD, ACE filing changes</w:t>
            </w:r>
          </w:p>
        </w:tc>
        <w:tc>
          <w:tcPr/>
          <w:p>
            <w:pPr>
              <w:pStyle w:val="Compact"/>
              <w:jc w:val="left"/>
            </w:pPr>
            <w:r>
              <w:t xml:space="preserve">Log it; open the instrument it implements</w:t>
            </w:r>
          </w:p>
        </w:tc>
      </w:tr>
      <w:tr>
        <w:tc>
          <w:tcPr/>
          <w:p>
            <w:pPr>
              <w:pStyle w:val="Compact"/>
              <w:jc w:val="left"/>
            </w:pPr>
            <w:r>
              <w:t xml:space="preserve">4 to 8</w:t>
            </w:r>
          </w:p>
        </w:tc>
        <w:tc>
          <w:tcPr/>
          <w:p>
            <w:pPr>
              <w:pStyle w:val="Compact"/>
              <w:jc w:val="left"/>
            </w:pPr>
            <w:r>
              <w:t xml:space="preserve">Federal Register alerts and public inspection; White House presidential actions</w:t>
            </w:r>
          </w:p>
        </w:tc>
        <w:tc>
          <w:tcPr/>
          <w:p>
            <w:pPr>
              <w:pStyle w:val="Compact"/>
              <w:jc w:val="left"/>
            </w:pPr>
            <w:r>
              <w:t xml:space="preserve">Proclamations, executive orders, USTR, CBP, Commerce notices</w:t>
            </w:r>
          </w:p>
        </w:tc>
        <w:tc>
          <w:tcPr/>
          <w:p>
            <w:pPr>
              <w:pStyle w:val="Compact"/>
              <w:jc w:val="left"/>
            </w:pPr>
            <w:r>
              <w:t xml:space="preserve">Log it; if it may touch our items, start the 60-minute first pass</w:t>
            </w:r>
          </w:p>
        </w:tc>
      </w:tr>
      <w:tr>
        <w:tc>
          <w:tcPr/>
          <w:p>
            <w:pPr>
              <w:pStyle w:val="Compact"/>
              <w:jc w:val="left"/>
            </w:pPr>
            <w:r>
              <w:t xml:space="preserve">8 to 10</w:t>
            </w:r>
          </w:p>
        </w:tc>
        <w:tc>
          <w:tcPr/>
          <w:p>
            <w:pPr>
              <w:pStyle w:val="Compact"/>
              <w:jc w:val="left"/>
            </w:pPr>
            <w:r>
              <w:t xml:space="preserve">USTR and Commerce press releases</w:t>
            </w:r>
          </w:p>
        </w:tc>
        <w:tc>
          <w:tcPr/>
          <w:p>
            <w:pPr>
              <w:pStyle w:val="Compact"/>
              <w:jc w:val="left"/>
            </w:pPr>
            <w:r>
              <w:t xml:space="preserve">Investigations, determinations, exclusion and inclusion decisions</w:t>
            </w:r>
          </w:p>
        </w:tc>
        <w:tc>
          <w:tcPr/>
          <w:p>
            <w:pPr>
              <w:pStyle w:val="Compact"/>
              <w:jc w:val="left"/>
            </w:pPr>
            <w:r>
              <w:t xml:space="preserve">Log it</w:t>
            </w:r>
          </w:p>
        </w:tc>
      </w:tr>
      <w:tr>
        <w:tc>
          <w:tcPr/>
          <w:p>
            <w:pPr>
              <w:pStyle w:val="Compact"/>
              <w:jc w:val="left"/>
            </w:pPr>
            <w:r>
              <w:t xml:space="preserve">10 to 12</w:t>
            </w:r>
          </w:p>
        </w:tc>
        <w:tc>
          <w:tcPr/>
          <w:p>
            <w:pPr>
              <w:pStyle w:val="Compact"/>
              <w:jc w:val="left"/>
            </w:pPr>
            <w:r>
              <w:t xml:space="preserve">Finance Canada news; CBSA Customs Notices</w:t>
            </w:r>
          </w:p>
        </w:tc>
        <w:tc>
          <w:tcPr/>
          <w:p>
            <w:pPr>
              <w:pStyle w:val="Compact"/>
              <w:jc w:val="left"/>
            </w:pPr>
            <w:r>
              <w:t xml:space="preserve">Surtaxes, remission, steel quotas, CARM changes</w:t>
            </w:r>
          </w:p>
        </w:tc>
        <w:tc>
          <w:tcPr/>
          <w:p>
            <w:pPr>
              <w:pStyle w:val="Compact"/>
              <w:jc w:val="left"/>
            </w:pPr>
            <w:r>
              <w:t xml:space="preserve">Log it</w:t>
            </w:r>
          </w:p>
        </w:tc>
      </w:tr>
      <w:tr>
        <w:tc>
          <w:tcPr/>
          <w:p>
            <w:pPr>
              <w:pStyle w:val="Compact"/>
              <w:jc w:val="left"/>
            </w:pPr>
            <w:r>
              <w:t xml:space="preserve">12 to 14</w:t>
            </w:r>
          </w:p>
        </w:tc>
        <w:tc>
          <w:tcPr/>
          <w:p>
            <w:pPr>
              <w:pStyle w:val="Compact"/>
              <w:jc w:val="left"/>
            </w:pPr>
            <w:r>
              <w:t xml:space="preserve">DOF (this morning's edition and yesterday's evening edition): Secretaría de Economía, SHCP, SAT entries; agente aduanal circulars</w:t>
            </w:r>
          </w:p>
        </w:tc>
        <w:tc>
          <w:tcPr/>
          <w:p>
            <w:pPr>
              <w:pStyle w:val="Compact"/>
              <w:jc w:val="left"/>
            </w:pPr>
            <w:r>
              <w:t xml:space="preserve">Decretos on the TIGIE, acuerdos on IMMEX or PROSEC, RGCE changes</w:t>
            </w:r>
          </w:p>
        </w:tc>
        <w:tc>
          <w:tcPr/>
          <w:p>
            <w:pPr>
              <w:pStyle w:val="Compact"/>
              <w:jc w:val="left"/>
            </w:pPr>
            <w:r>
              <w:t xml:space="preserve">Log it</w:t>
            </w:r>
          </w:p>
        </w:tc>
      </w:tr>
      <w:tr>
        <w:tc>
          <w:tcPr/>
          <w:p>
            <w:pPr>
              <w:pStyle w:val="Compact"/>
              <w:jc w:val="left"/>
            </w:pPr>
            <w:r>
              <w:t xml:space="preserve">14 to 15</w:t>
            </w:r>
          </w:p>
        </w:tc>
        <w:tc>
          <w:tcPr/>
          <w:p>
            <w:pPr>
              <w:pStyle w:val="Compact"/>
              <w:jc w:val="left"/>
            </w:pPr>
            <w:r>
              <w:t xml:space="preserve">Research log</w:t>
            </w:r>
          </w:p>
        </w:tc>
        <w:tc>
          <w:tcPr/>
          <w:p>
            <w:pPr>
              <w:pStyle w:val="Compact"/>
              <w:jc w:val="left"/>
            </w:pPr>
            <w:r>
              <w:t xml:space="preserve">One line per item</w:t>
            </w:r>
          </w:p>
        </w:tc>
        <w:tc>
          <w:tcPr/>
          <w:p>
            <w:pPr>
              <w:pStyle w:val="Compact"/>
              <w:jc w:val="left"/>
            </w:pPr>
            <w:r>
              <w:t xml:space="preserve">Escalate (below)</w:t>
            </w:r>
          </w:p>
        </w:tc>
      </w:tr>
    </w:tbl>
    <w:p>
      <w:pPr>
        <w:pStyle w:val="BodyText"/>
      </w:pPr>
      <w:r>
        <w:rPr>
          <w:bCs/>
          <w:b/>
        </w:rPr>
        <w:t xml:space="preserve">Escalation:</w:t>
      </w:r>
      <w:r>
        <w:t xml:space="preserve"> </w:t>
      </w:r>
      <w:r>
        <w:t xml:space="preserve">if an item may affect our items (Yes or "?") and takes effect within 15 business days, message the Manager and the Senior the same day with the effective date and your first candidate count. The urgency rule in</w:t>
      </w:r>
      <w:r>
        <w:t xml:space="preserve"> </w:t>
      </w:r>
      <w:r>
        <w:rPr>
          <w:rStyle w:val="VerbatimChar"/>
        </w:rPr>
        <w:t xml:space="preserve">docs/01-30-60-90-plan.md</w:t>
      </w:r>
      <w:r>
        <w:t xml:space="preserve"> </w:t>
      </w:r>
      <w:r>
        <w:t xml:space="preserve">("Live tariff actions during training") decides who is maker.</w:t>
      </w:r>
    </w:p>
    <w:bookmarkEnd w:id="82"/>
    <w:bookmarkStart w:id="83" w:name="weekly-friday-45-minutes"/>
    <w:p>
      <w:pPr>
        <w:pStyle w:val="Heading4"/>
      </w:pPr>
      <w:r>
        <w:t xml:space="preserve">Weekly, Friday, 45 minutes</w:t>
      </w:r>
    </w:p>
    <w:p>
      <w:pPr>
        <w:numPr>
          <w:ilvl w:val="0"/>
          <w:numId w:val="1011"/>
        </w:numPr>
        <w:pStyle w:val="Compact"/>
      </w:pPr>
      <w:r>
        <w:t xml:space="preserve">☐ HTSUS: is there a new revision? Read its change record for Chapter 99 changes (10 min).</w:t>
      </w:r>
    </w:p>
    <w:p>
      <w:pPr>
        <w:numPr>
          <w:ilvl w:val="0"/>
          <w:numId w:val="1011"/>
        </w:numPr>
        <w:pStyle w:val="Compact"/>
      </w:pPr>
      <w:r>
        <w:t xml:space="preserve">☐ Canada Gazette Part II (every second Wednesday) for Customs Tariff orders; Part I for proposals (5 min).</w:t>
      </w:r>
    </w:p>
    <w:p>
      <w:pPr>
        <w:numPr>
          <w:ilvl w:val="0"/>
          <w:numId w:val="1011"/>
        </w:numPr>
        <w:pStyle w:val="Compact"/>
      </w:pPr>
      <w:r>
        <w:t xml:space="preserve">☐ USTR Section 301 and Commerce Section 232 pages: open investigations, comment deadlines, exclusion expiries, inclusion rounds (10 min).</w:t>
      </w:r>
    </w:p>
    <w:p>
      <w:pPr>
        <w:numPr>
          <w:ilvl w:val="0"/>
          <w:numId w:val="1011"/>
        </w:numPr>
        <w:pStyle w:val="Compact"/>
      </w:pPr>
      <w:r>
        <w:t xml:space="preserve">☐ Court of International Trade and other courts: active tariff cases we follow (5 min).</w:t>
      </w:r>
    </w:p>
    <w:p>
      <w:pPr>
        <w:numPr>
          <w:ilvl w:val="0"/>
          <w:numId w:val="1011"/>
        </w:numPr>
        <w:pStyle w:val="Compact"/>
      </w:pPr>
      <w:r>
        <w:t xml:space="preserve">☐ Update Part 1 of this document, the dates-to-watch table and the maintenance log (10 min).</w:t>
      </w:r>
    </w:p>
    <w:p>
      <w:pPr>
        <w:numPr>
          <w:ilvl w:val="0"/>
          <w:numId w:val="1011"/>
        </w:numPr>
        <w:pStyle w:val="Compact"/>
      </w:pPr>
      <w:r>
        <w:t xml:space="preserve">☐ Friday self-report: new actions, status changes, coming dates (5 min).</w:t>
      </w:r>
    </w:p>
    <w:bookmarkEnd w:id="83"/>
    <w:bookmarkStart w:id="84" w:name="research-log-columns"/>
    <w:p>
      <w:pPr>
        <w:pStyle w:val="Heading4"/>
      </w:pPr>
      <w:r>
        <w:t xml:space="preserve">Research log columns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Date found</w:t>
            </w:r>
          </w:p>
        </w:tc>
        <w:tc>
          <w:tcPr/>
          <w:p>
            <w:pPr>
              <w:pStyle w:val="Compact"/>
              <w:jc w:val="left"/>
            </w:pPr>
            <w:r>
              <w:t xml:space="preserve">Source and link</w:t>
            </w:r>
          </w:p>
        </w:tc>
        <w:tc>
          <w:tcPr/>
          <w:p>
            <w:pPr>
              <w:pStyle w:val="Compact"/>
              <w:jc w:val="left"/>
            </w:pPr>
            <w:r>
              <w:t xml:space="preserve">What it is (one line)</w:t>
            </w:r>
          </w:p>
        </w:tc>
        <w:tc>
          <w:tcPr/>
          <w:p>
            <w:pPr>
              <w:pStyle w:val="Compact"/>
              <w:jc w:val="left"/>
            </w:pPr>
            <w:r>
              <w:t xml:space="preserve">Countries and HTS touched</w:t>
            </w:r>
          </w:p>
        </w:tc>
        <w:tc>
          <w:tcPr/>
          <w:p>
            <w:pPr>
              <w:pStyle w:val="Compact"/>
              <w:jc w:val="left"/>
            </w:pPr>
            <w:r>
              <w:t xml:space="preserve">May affect us? Next step</w:t>
            </w:r>
          </w:p>
        </w:tc>
        <w:tc>
          <w:tcPr/>
          <w:p>
            <w:pPr>
              <w:pStyle w:val="Compact"/>
              <w:jc w:val="left"/>
            </w:pPr>
            <w:r>
              <w:t xml:space="preserve">Jira key</w:t>
            </w:r>
          </w:p>
        </w:tc>
      </w:tr>
      <w:tr>
        <w:tc>
          <w:tcPr/>
          <w:p>
            <w:pPr>
              <w:pStyle w:val="Compact"/>
              <w:jc w:val="left"/>
            </w:pPr>
            <w:r>
              <w:t xml:space="preserve">[YYYY-MM-DD]</w:t>
            </w:r>
          </w:p>
        </w:tc>
        <w:tc>
          <w:tcPr/>
          <w:p>
            <w:pPr>
              <w:pStyle w:val="Compact"/>
              <w:jc w:val="left"/>
            </w:pPr>
            <w:r>
              <w:t xml:space="preserve">[CSMS number, FR citation, Gazette SOR, DOF date and link]</w:t>
            </w:r>
          </w:p>
        </w:tc>
        <w:tc>
          <w:tcPr/>
          <w:p>
            <w:pPr>
              <w:pStyle w:val="Compact"/>
              <w:jc w:val="left"/>
            </w:pPr>
            <w:r>
              <w:t xml:space="preserve">[Action in plain words]</w:t>
            </w:r>
          </w:p>
        </w:tc>
        <w:tc>
          <w:tcPr/>
          <w:p>
            <w:pPr>
              <w:pStyle w:val="Compact"/>
              <w:jc w:val="left"/>
            </w:pPr>
            <w:r>
              <w:t xml:space="preserve">[Countries; chapters or HTS]</w:t>
            </w:r>
          </w:p>
        </w:tc>
        <w:tc>
          <w:tcPr/>
          <w:p>
            <w:pPr>
              <w:pStyle w:val="Compact"/>
              <w:jc w:val="left"/>
            </w:pPr>
            <w:r>
              <w:t xml:space="preserve">[Yes, No or ?; next step]</w:t>
            </w:r>
          </w:p>
        </w:tc>
        <w:tc>
          <w:tcPr/>
          <w:p>
            <w:pPr>
              <w:pStyle w:val="Compact"/>
              <w:jc w:val="left"/>
            </w:pPr>
            <w:r>
              <w:t xml:space="preserve">[Key or "none"]</w:t>
            </w:r>
          </w:p>
        </w:tc>
      </w:tr>
    </w:tbl>
    <w:bookmarkEnd w:id="84"/>
    <w:bookmarkEnd w:id="85"/>
    <w:bookmarkStart w:id="86" w:name="X93bde99a5884306ce2dea07e9b4188a74fa71ed"/>
    <w:p>
      <w:pPr>
        <w:pStyle w:val="Heading3"/>
      </w:pPr>
      <w:r>
        <w:t xml:space="preserve">2.5 The research checklist</w:t>
      </w:r>
    </w:p>
    <w:p>
      <w:pPr>
        <w:pStyle w:val="FirstParagraph"/>
      </w:pPr>
      <w:r>
        <w:t xml:space="preserve">Work through it for every action. Each line maps to a part of the Tariff-Impact Brief.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Check</w:t>
            </w:r>
          </w:p>
        </w:tc>
        <w:tc>
          <w:tcPr/>
          <w:p>
            <w:pPr>
              <w:pStyle w:val="Compact"/>
              <w:jc w:val="left"/>
            </w:pPr>
            <w:r>
              <w:t xml:space="preserve">What to record (brief part)</w:t>
            </w:r>
          </w:p>
        </w:tc>
        <w:tc>
          <w:tcPr/>
          <w:p>
            <w:pPr>
              <w:pStyle w:val="Compact"/>
              <w:jc w:val="left"/>
            </w:pPr>
            <w:r>
              <w:t xml:space="preserve">Where it usually is</w:t>
            </w:r>
          </w:p>
        </w:tc>
        <w:tc>
          <w:tcPr/>
          <w:p>
            <w:pPr>
              <w:pStyle w:val="Compact"/>
              <w:jc w:val="left"/>
            </w:pPr>
            <w:r>
              <w:t xml:space="preserve">Common trap</w:t>
            </w:r>
          </w:p>
        </w:tc>
      </w:tr>
      <w:tr>
        <w:tc>
          <w:tcPr/>
          <w:p>
            <w:pPr>
              <w:pStyle w:val="Compact"/>
              <w:jc w:val="left"/>
            </w:pPr>
            <w:r>
              <w:t xml:space="preserve">1</w:t>
            </w:r>
          </w:p>
        </w:tc>
        <w:tc>
          <w:tcPr/>
          <w:p>
            <w:pPr>
              <w:pStyle w:val="Compact"/>
              <w:jc w:val="left"/>
            </w:pPr>
            <w:r>
              <w:t xml:space="preserve">Legal authority and instrument</w:t>
            </w:r>
          </w:p>
        </w:tc>
        <w:tc>
          <w:tcPr/>
          <w:p>
            <w:pPr>
              <w:pStyle w:val="Compact"/>
              <w:jc w:val="left"/>
            </w:pPr>
            <w:r>
              <w:t xml:space="preserve">Statute, instrument, number, date, issuer; new action, change or extension; any litigation (Part 3)</w:t>
            </w:r>
          </w:p>
        </w:tc>
        <w:tc>
          <w:tcPr/>
          <w:p>
            <w:pPr>
              <w:pStyle w:val="Compact"/>
              <w:jc w:val="left"/>
            </w:pPr>
            <w:r>
              <w:t xml:space="preserve">US: the opening "By the authority vested in me..." paragraph (19 U.S.C. 1862 for 232; 19 U.S.C. 2411 for 301; 19 U.S.C. 2132 for 122). Canada: "pursuant to section 53 of the Customs Tariff". Mexico: the decree's legal basis</w:t>
            </w:r>
          </w:p>
        </w:tc>
        <w:tc>
          <w:tcPr/>
          <w:p>
            <w:pPr>
              <w:pStyle w:val="Compact"/>
              <w:jc w:val="left"/>
            </w:pPr>
            <w:r>
              <w:t xml:space="preserve">Treating a press release as the action</w:t>
            </w:r>
          </w:p>
        </w:tc>
      </w:tr>
      <w:tr>
        <w:tc>
          <w:tcPr/>
          <w:p>
            <w:pPr>
              <w:pStyle w:val="Compact"/>
              <w:jc w:val="left"/>
            </w:pPr>
            <w:r>
              <w:t xml:space="preserve">2</w:t>
            </w:r>
          </w:p>
        </w:tc>
        <w:tc>
          <w:tcPr/>
          <w:p>
            <w:pPr>
              <w:pStyle w:val="Compact"/>
              <w:jc w:val="left"/>
            </w:pPr>
            <w:r>
              <w:t xml:space="preserve">Effective date, time and basis</w:t>
            </w:r>
          </w:p>
        </w:tc>
        <w:tc>
          <w:tcPr/>
          <w:p>
            <w:pPr>
              <w:pStyle w:val="Compact"/>
              <w:jc w:val="left"/>
            </w:pPr>
            <w:r>
              <w:t xml:space="preserve">Quote the words: "entered for consumption, or withdrawn from warehouse for consumption, on or after 12:01 a.m. eastern time on..." (US); "imported" and coming-into-force (Canada); transitory articles (Mexico) (Part 5)</w:t>
            </w:r>
          </w:p>
        </w:tc>
        <w:tc>
          <w:tcPr/>
          <w:p>
            <w:pPr>
              <w:pStyle w:val="Compact"/>
              <w:jc w:val="left"/>
            </w:pPr>
            <w:r>
              <w:t xml:space="preserve">The effective-date section or annex note; the CSMS message</w:t>
            </w:r>
          </w:p>
        </w:tc>
        <w:tc>
          <w:tcPr/>
          <w:p>
            <w:pPr>
              <w:pStyle w:val="Compact"/>
              <w:jc w:val="left"/>
            </w:pPr>
            <w:r>
              <w:t xml:space="preserve">Daylight versus standard time; announcement date versus legal date; bonded warehouse goods take the rate at withdrawal (19 CFR 141.69)</w:t>
            </w:r>
          </w:p>
        </w:tc>
      </w:tr>
      <w:tr>
        <w:tc>
          <w:tcPr/>
          <w:p>
            <w:pPr>
              <w:pStyle w:val="Compact"/>
              <w:jc w:val="left"/>
            </w:pPr>
            <w:r>
              <w:t xml:space="preserve">3</w:t>
            </w:r>
          </w:p>
        </w:tc>
        <w:tc>
          <w:tcPr/>
          <w:p>
            <w:pPr>
              <w:pStyle w:val="Compact"/>
              <w:jc w:val="left"/>
            </w:pPr>
            <w:r>
              <w:t xml:space="preserve">End date, step changes, reviews</w:t>
            </w:r>
          </w:p>
        </w:tc>
        <w:tc>
          <w:tcPr/>
          <w:p>
            <w:pPr>
              <w:pStyle w:val="Compact"/>
              <w:jc w:val="left"/>
            </w:pPr>
            <w:r>
              <w:t xml:space="preserve">Sunset, statutory limit (for example 150 days for Section 122), scheduled increases, quotas, exclusion expiries (Part 5)</w:t>
            </w:r>
          </w:p>
        </w:tc>
        <w:tc>
          <w:tcPr/>
          <w:p>
            <w:pPr>
              <w:pStyle w:val="Compact"/>
              <w:jc w:val="left"/>
            </w:pPr>
            <w:r>
              <w:t xml:space="preserve">Same section; later notices</w:t>
            </w:r>
          </w:p>
        </w:tc>
        <w:tc>
          <w:tcPr/>
          <w:p>
            <w:pPr>
              <w:pStyle w:val="Compact"/>
              <w:jc w:val="left"/>
            </w:pPr>
            <w:r>
              <w:t xml:space="preserve">Missing a step change that falls inside the cost period</w:t>
            </w:r>
          </w:p>
        </w:tc>
      </w:tr>
      <w:tr>
        <w:tc>
          <w:tcPr/>
          <w:p>
            <w:pPr>
              <w:pStyle w:val="Compact"/>
              <w:jc w:val="left"/>
            </w:pPr>
            <w:r>
              <w:t xml:space="preserve">4</w:t>
            </w:r>
          </w:p>
        </w:tc>
        <w:tc>
          <w:tcPr/>
          <w:p>
            <w:pPr>
              <w:pStyle w:val="Compact"/>
              <w:jc w:val="left"/>
            </w:pPr>
            <w:r>
              <w:t xml:space="preserve">Scope by HTS and Chapter 99</w:t>
            </w:r>
          </w:p>
        </w:tc>
        <w:tc>
          <w:tcPr/>
          <w:p>
            <w:pPr>
              <w:pStyle w:val="Compact"/>
              <w:jc w:val="left"/>
            </w:pPr>
            <w:r>
              <w:t xml:space="preserve">Annex lists as text, their digit level, the Chapter 99 headings and U.S. notes (Part 6.1)</w:t>
            </w:r>
          </w:p>
        </w:tc>
        <w:tc>
          <w:tcPr/>
          <w:p>
            <w:pPr>
              <w:pStyle w:val="Compact"/>
              <w:jc w:val="left"/>
            </w:pPr>
            <w:r>
              <w:t xml:space="preserve">Annexes; HTSUS Chapter 99; CSMS</w:t>
            </w:r>
          </w:p>
        </w:tc>
        <w:tc>
          <w:tcPr/>
          <w:p>
            <w:pPr>
              <w:pStyle w:val="Compact"/>
              <w:jc w:val="left"/>
            </w:pPr>
            <w:r>
              <w:t xml:space="preserve">Retyping lists; mixing 8-digit and 10-digit lists; missing a later annex correction</w:t>
            </w:r>
          </w:p>
        </w:tc>
      </w:tr>
      <w:tr>
        <w:tc>
          <w:tcPr/>
          <w:p>
            <w:pPr>
              <w:pStyle w:val="Compact"/>
              <w:jc w:val="left"/>
            </w:pPr>
            <w:r>
              <w:t xml:space="preserve">5</w:t>
            </w:r>
          </w:p>
        </w:tc>
        <w:tc>
          <w:tcPr/>
          <w:p>
            <w:pPr>
              <w:pStyle w:val="Compact"/>
              <w:jc w:val="left"/>
            </w:pPr>
            <w:r>
              <w:t xml:space="preserve">Product scope language</w:t>
            </w:r>
          </w:p>
        </w:tc>
        <w:tc>
          <w:tcPr/>
          <w:p>
            <w:pPr>
              <w:pStyle w:val="Compact"/>
              <w:jc w:val="left"/>
            </w:pPr>
            <w:r>
              <w:t xml:space="preserve">Narrative scope, "derivative" and "parts" definitions, what the text adds to or removes from the HTS list (Part 6.3)</w:t>
            </w:r>
          </w:p>
        </w:tc>
        <w:tc>
          <w:tcPr/>
          <w:p>
            <w:pPr>
              <w:pStyle w:val="Compact"/>
              <w:jc w:val="left"/>
            </w:pPr>
            <w:r>
              <w:t xml:space="preserve">Body of the instrument; definitions section</w:t>
            </w:r>
          </w:p>
        </w:tc>
        <w:tc>
          <w:tcPr/>
          <w:p>
            <w:pPr>
              <w:pStyle w:val="Compact"/>
              <w:jc w:val="left"/>
            </w:pPr>
            <w:r>
              <w:t xml:space="preserve">Assuming the HTS list is the whole scope. For AD/CVD the written scope decides</w:t>
            </w:r>
          </w:p>
        </w:tc>
      </w:tr>
      <w:tr>
        <w:tc>
          <w:tcPr/>
          <w:p>
            <w:pPr>
              <w:pStyle w:val="Compact"/>
              <w:jc w:val="left"/>
            </w:pPr>
            <w:r>
              <w:t xml:space="preserve">6</w:t>
            </w:r>
          </w:p>
        </w:tc>
        <w:tc>
          <w:tcPr/>
          <w:p>
            <w:pPr>
              <w:pStyle w:val="Compact"/>
              <w:jc w:val="left"/>
            </w:pPr>
            <w:r>
              <w:t xml:space="preserve">Country of origin</w:t>
            </w:r>
          </w:p>
        </w:tc>
        <w:tc>
          <w:tcPr/>
          <w:p>
            <w:pPr>
              <w:pStyle w:val="Compact"/>
              <w:jc w:val="left"/>
            </w:pPr>
            <w:r>
              <w:t xml:space="preserve">Which origin rule the action uses (Part 6.2)</w:t>
            </w:r>
          </w:p>
        </w:tc>
        <w:tc>
          <w:tcPr/>
          <w:p>
            <w:pPr>
              <w:pStyle w:val="Compact"/>
              <w:jc w:val="left"/>
            </w:pPr>
            <w:r>
              <w:t xml:space="preserve">Instrument; CBP guidance</w:t>
            </w:r>
          </w:p>
        </w:tc>
        <w:tc>
          <w:tcPr/>
          <w:p>
            <w:pPr>
              <w:pStyle w:val="Compact"/>
              <w:jc w:val="left"/>
            </w:pPr>
            <w:r>
              <w:t xml:space="preserve">Using the supplier's or ship-from country. Rules differ: substantial transformation, melt-and-pour (steel), smelt-and-cast (aluminum), marking rules</w:t>
            </w:r>
          </w:p>
        </w:tc>
      </w:tr>
      <w:tr>
        <w:tc>
          <w:tcPr/>
          <w:p>
            <w:pPr>
              <w:pStyle w:val="Compact"/>
              <w:jc w:val="left"/>
            </w:pPr>
            <w:r>
              <w:t xml:space="preserve">7</w:t>
            </w:r>
          </w:p>
        </w:tc>
        <w:tc>
          <w:tcPr/>
          <w:p>
            <w:pPr>
              <w:pStyle w:val="Compact"/>
              <w:jc w:val="left"/>
            </w:pPr>
            <w:r>
              <w:t xml:space="preserve">Content rules</w:t>
            </w:r>
          </w:p>
        </w:tc>
        <w:tc>
          <w:tcPr/>
          <w:p>
            <w:pPr>
              <w:pStyle w:val="Compact"/>
              <w:jc w:val="left"/>
            </w:pPr>
            <w:r>
              <w:t xml:space="preserve">Whether the duty applies to the full value or only part of it: metal content (Section 232 derivatives), non-US content (autos under USMCA). What must be reported (content value, country of melt or smelt) (Parts 6.3 and 7)</w:t>
            </w:r>
          </w:p>
        </w:tc>
        <w:tc>
          <w:tcPr/>
          <w:p>
            <w:pPr>
              <w:pStyle w:val="Compact"/>
              <w:jc w:val="left"/>
            </w:pPr>
            <w:r>
              <w:t xml:space="preserve">Instrument; CSMS; CBP FAQs</w:t>
            </w:r>
          </w:p>
        </w:tc>
        <w:tc>
          <w:tcPr/>
          <w:p>
            <w:pPr>
              <w:pStyle w:val="Compact"/>
              <w:jc w:val="left"/>
            </w:pPr>
            <w:r>
              <w:t xml:space="preserve">Applying the rate to the full value. Some actions charge the full value if the content value cannot be supported: check the CSMS</w:t>
            </w:r>
          </w:p>
        </w:tc>
      </w:tr>
      <w:tr>
        <w:tc>
          <w:tcPr/>
          <w:p>
            <w:pPr>
              <w:pStyle w:val="Compact"/>
              <w:jc w:val="left"/>
            </w:pPr>
            <w:r>
              <w:t xml:space="preserve">8</w:t>
            </w:r>
          </w:p>
        </w:tc>
        <w:tc>
          <w:tcPr/>
          <w:p>
            <w:pPr>
              <w:pStyle w:val="Compact"/>
              <w:jc w:val="left"/>
            </w:pPr>
            <w:r>
              <w:t xml:space="preserve">Exclusions and exemptions</w:t>
            </w:r>
          </w:p>
        </w:tc>
        <w:tc>
          <w:tcPr/>
          <w:p>
            <w:pPr>
              <w:pStyle w:val="Compact"/>
              <w:jc w:val="left"/>
            </w:pPr>
            <w:r>
              <w:t xml:space="preserve">Each one: type (HTS, description, end use, certificate, date-limited), how we identify our items, evidence at entry, expiry (Part 6.4)</w:t>
            </w:r>
          </w:p>
        </w:tc>
        <w:tc>
          <w:tcPr/>
          <w:p>
            <w:pPr>
              <w:pStyle w:val="Compact"/>
              <w:jc w:val="left"/>
            </w:pPr>
            <w:r>
              <w:t xml:space="preserve">Annexes; exclusion notices; CSMS</w:t>
            </w:r>
          </w:p>
        </w:tc>
        <w:tc>
          <w:tcPr/>
          <w:p>
            <w:pPr>
              <w:pStyle w:val="Compact"/>
              <w:jc w:val="left"/>
            </w:pPr>
            <w:r>
              <w:t xml:space="preserve">An exclusion narrower than the HTS line; an expired exclusion still flagged in our data</w:t>
            </w:r>
          </w:p>
        </w:tc>
      </w:tr>
      <w:tr>
        <w:tc>
          <w:tcPr/>
          <w:p>
            <w:pPr>
              <w:pStyle w:val="Compact"/>
              <w:jc w:val="left"/>
            </w:pPr>
            <w:r>
              <w:t xml:space="preserve">9</w:t>
            </w:r>
          </w:p>
        </w:tc>
        <w:tc>
          <w:tcPr/>
          <w:p>
            <w:pPr>
              <w:pStyle w:val="Compact"/>
              <w:jc w:val="left"/>
            </w:pPr>
            <w:r>
              <w:t xml:space="preserve">Stacking and interaction</w:t>
            </w:r>
          </w:p>
        </w:tc>
        <w:tc>
          <w:tcPr/>
          <w:p>
            <w:pPr>
              <w:pStyle w:val="Compact"/>
              <w:jc w:val="left"/>
            </w:pPr>
            <w:r>
              <w:t xml:space="preserve">With the base rate, other Chapter 99 duties, AD/CVD and surtaxes; filing order; separate lines for content (Part 6.6)</w:t>
            </w:r>
          </w:p>
        </w:tc>
        <w:tc>
          <w:tcPr/>
          <w:p>
            <w:pPr>
              <w:pStyle w:val="Compact"/>
              <w:jc w:val="left"/>
            </w:pPr>
            <w:r>
              <w:t xml:space="preserve">"Does not apply to" paragraphs; CSMS reporting-order guidance</w:t>
            </w:r>
          </w:p>
        </w:tc>
        <w:tc>
          <w:tcPr/>
          <w:p>
            <w:pPr>
              <w:pStyle w:val="Compact"/>
              <w:jc w:val="left"/>
            </w:pPr>
            <w:r>
              <w:t xml:space="preserve">Double-counting; assuming non-stacking without a text</w:t>
            </w:r>
          </w:p>
        </w:tc>
      </w:tr>
      <w:tr>
        <w:tc>
          <w:tcPr/>
          <w:p>
            <w:pPr>
              <w:pStyle w:val="Compact"/>
              <w:jc w:val="left"/>
            </w:pPr>
            <w:r>
              <w:t xml:space="preserve">10</w:t>
            </w:r>
          </w:p>
        </w:tc>
        <w:tc>
          <w:tcPr/>
          <w:p>
            <w:pPr>
              <w:pStyle w:val="Compact"/>
              <w:jc w:val="left"/>
            </w:pPr>
            <w:r>
              <w:t xml:space="preserve">USMCA treatment</w:t>
            </w:r>
          </w:p>
        </w:tc>
        <w:tc>
          <w:tcPr/>
          <w:p>
            <w:pPr>
              <w:pStyle w:val="Compact"/>
              <w:jc w:val="left"/>
            </w:pPr>
            <w:r>
              <w:t xml:space="preserve">Exempt, partly exempt (non-US content) or no exemption; evidence needed (Part 6.5)</w:t>
            </w:r>
          </w:p>
        </w:tc>
        <w:tc>
          <w:tcPr/>
          <w:p>
            <w:pPr>
              <w:pStyle w:val="Compact"/>
              <w:jc w:val="left"/>
            </w:pPr>
            <w:r>
              <w:t xml:space="preserve">Instrument; CSMS</w:t>
            </w:r>
          </w:p>
        </w:tc>
        <w:tc>
          <w:tcPr/>
          <w:p>
            <w:pPr>
              <w:pStyle w:val="Compact"/>
              <w:jc w:val="left"/>
            </w:pPr>
            <w:r>
              <w:t xml:space="preserve">"Made in Mexico" is not "USMCA-qualifying"; the claim must be on the entry line and the certification current</w:t>
            </w:r>
          </w:p>
        </w:tc>
      </w:tr>
      <w:tr>
        <w:tc>
          <w:tcPr/>
          <w:p>
            <w:pPr>
              <w:pStyle w:val="Compact"/>
              <w:jc w:val="left"/>
            </w:pPr>
            <w:r>
              <w:t xml:space="preserve">11</w:t>
            </w:r>
          </w:p>
        </w:tc>
        <w:tc>
          <w:tcPr/>
          <w:p>
            <w:pPr>
              <w:pStyle w:val="Compact"/>
              <w:jc w:val="left"/>
            </w:pPr>
            <w:r>
              <w:t xml:space="preserve">De minimis and low-value</w:t>
            </w:r>
          </w:p>
        </w:tc>
        <w:tc>
          <w:tcPr/>
          <w:p>
            <w:pPr>
              <w:pStyle w:val="Compact"/>
              <w:jc w:val="left"/>
            </w:pPr>
            <w:r>
              <w:t xml:space="preserve">Does it apply regardless of value; postal shipments; current Section 321 status (Part 6.7)</w:t>
            </w:r>
          </w:p>
        </w:tc>
        <w:tc>
          <w:tcPr/>
          <w:p>
            <w:pPr>
              <w:pStyle w:val="Compact"/>
              <w:jc w:val="left"/>
            </w:pPr>
            <w:r>
              <w:t xml:space="preserve">Instrument; CSMS; Part 1 of this document</w:t>
            </w:r>
          </w:p>
        </w:tc>
        <w:tc>
          <w:tcPr/>
          <w:p>
            <w:pPr>
              <w:pStyle w:val="Compact"/>
              <w:jc w:val="left"/>
            </w:pPr>
            <w:r>
              <w:t xml:space="preserve">Assuming low-value shipments are outside scope</w:t>
            </w:r>
          </w:p>
        </w:tc>
      </w:tr>
      <w:tr>
        <w:tc>
          <w:tcPr/>
          <w:p>
            <w:pPr>
              <w:pStyle w:val="Compact"/>
              <w:jc w:val="left"/>
            </w:pPr>
            <w:r>
              <w:t xml:space="preserve">12</w:t>
            </w:r>
          </w:p>
        </w:tc>
        <w:tc>
          <w:tcPr/>
          <w:p>
            <w:pPr>
              <w:pStyle w:val="Compact"/>
              <w:jc w:val="left"/>
            </w:pPr>
            <w:r>
              <w:t xml:space="preserve">In-transit provision</w:t>
            </w:r>
          </w:p>
        </w:tc>
        <w:tc>
          <w:tcPr/>
          <w:p>
            <w:pPr>
              <w:pStyle w:val="Compact"/>
              <w:jc w:val="left"/>
            </w:pPr>
            <w:r>
              <w:t xml:space="preserve">Both dates and conditions; the Chapter 99 number or method used to claim it (Part 5)</w:t>
            </w:r>
          </w:p>
        </w:tc>
        <w:tc>
          <w:tcPr/>
          <w:p>
            <w:pPr>
              <w:pStyle w:val="Compact"/>
              <w:jc w:val="left"/>
            </w:pPr>
            <w:r>
              <w:t xml:space="preserve">Instrument; CSMS</w:t>
            </w:r>
          </w:p>
        </w:tc>
        <w:tc>
          <w:tcPr/>
          <w:p>
            <w:pPr>
              <w:pStyle w:val="Compact"/>
              <w:jc w:val="left"/>
            </w:pPr>
            <w:r>
              <w:t xml:space="preserve">Missing the second date (entered before...); no proof of loading date</w:t>
            </w:r>
          </w:p>
        </w:tc>
      </w:tr>
      <w:tr>
        <w:tc>
          <w:tcPr/>
          <w:p>
            <w:pPr>
              <w:pStyle w:val="Compact"/>
              <w:jc w:val="left"/>
            </w:pPr>
            <w:r>
              <w:t xml:space="preserve">13</w:t>
            </w:r>
          </w:p>
        </w:tc>
        <w:tc>
          <w:tcPr/>
          <w:p>
            <w:pPr>
              <w:pStyle w:val="Compact"/>
              <w:jc w:val="left"/>
            </w:pPr>
            <w:r>
              <w:t xml:space="preserve">Drawback</w:t>
            </w:r>
          </w:p>
        </w:tc>
        <w:tc>
          <w:tcPr/>
          <w:p>
            <w:pPr>
              <w:pStyle w:val="Compact"/>
              <w:jc w:val="left"/>
            </w:pPr>
            <w:r>
              <w:t xml:space="preserve">Quote what the instrument says, or "silent"; send to the Senior (Part 6.8)</w:t>
            </w:r>
          </w:p>
        </w:tc>
        <w:tc>
          <w:tcPr/>
          <w:p>
            <w:pPr>
              <w:pStyle w:val="Compact"/>
              <w:jc w:val="left"/>
            </w:pPr>
            <w:r>
              <w:t xml:space="preserve">Instrument; CBP guidance</w:t>
            </w:r>
          </w:p>
        </w:tc>
        <w:tc>
          <w:tcPr/>
          <w:p>
            <w:pPr>
              <w:pStyle w:val="Compact"/>
              <w:jc w:val="left"/>
            </w:pPr>
            <w:r>
              <w:t xml:space="preserve">Assuming every duty is drawback-eligible. AD/CVD never is (19 U.S.C. 1677h)</w:t>
            </w:r>
          </w:p>
        </w:tc>
      </w:tr>
      <w:tr>
        <w:tc>
          <w:tcPr/>
          <w:p>
            <w:pPr>
              <w:pStyle w:val="Compact"/>
              <w:jc w:val="left"/>
            </w:pPr>
            <w:r>
              <w:t xml:space="preserve">14</w:t>
            </w:r>
          </w:p>
        </w:tc>
        <w:tc>
          <w:tcPr/>
          <w:p>
            <w:pPr>
              <w:pStyle w:val="Compact"/>
              <w:jc w:val="left"/>
            </w:pPr>
            <w:r>
              <w:t xml:space="preserve">Refund, protest and retroactivity</w:t>
            </w:r>
          </w:p>
        </w:tc>
        <w:tc>
          <w:tcPr/>
          <w:p>
            <w:pPr>
              <w:pStyle w:val="Compact"/>
              <w:jc w:val="left"/>
            </w:pPr>
            <w:r>
              <w:t xml:space="preserve">Retroactive dates; how corrections or refunds would work; deadlines (Part 5)</w:t>
            </w:r>
          </w:p>
        </w:tc>
        <w:tc>
          <w:tcPr/>
          <w:p>
            <w:pPr>
              <w:pStyle w:val="Compact"/>
              <w:jc w:val="left"/>
            </w:pPr>
            <w:r>
              <w:t xml:space="preserve">Instrument; CSMS; counsel</w:t>
            </w:r>
          </w:p>
        </w:tc>
        <w:tc>
          <w:tcPr/>
          <w:p>
            <w:pPr>
              <w:pStyle w:val="Compact"/>
              <w:jc w:val="left"/>
            </w:pPr>
            <w:r>
              <w:t xml:space="preserve">US: post-summary corrections only before liquidation; protests within 180 days after liquidation (19 U.S.C. 1514); court challenges have their own time limits. Canada and Mexico have their own refund procedures (verify with the Senior). Counsel decides what to file</w:t>
            </w:r>
          </w:p>
        </w:tc>
      </w:tr>
      <w:tr>
        <w:tc>
          <w:tcPr/>
          <w:p>
            <w:pPr>
              <w:pStyle w:val="Compact"/>
              <w:jc w:val="left"/>
            </w:pPr>
            <w:r>
              <w:t xml:space="preserve">15</w:t>
            </w:r>
          </w:p>
        </w:tc>
        <w:tc>
          <w:tcPr/>
          <w:p>
            <w:pPr>
              <w:pStyle w:val="Compact"/>
              <w:jc w:val="left"/>
            </w:pPr>
            <w:r>
              <w:t xml:space="preserve">Special regimes</w:t>
            </w:r>
          </w:p>
        </w:tc>
        <w:tc>
          <w:tcPr/>
          <w:p>
            <w:pPr>
              <w:pStyle w:val="Compact"/>
              <w:jc w:val="left"/>
            </w:pPr>
            <w:r>
              <w:t xml:space="preserve">Bonded warehouse, Chapter 98 provisions, FTZ (not used: [COMPANY: confirm]), Mexico IMMEX and PROSEC, Canada duty relief (Part 6.9)</w:t>
            </w:r>
          </w:p>
        </w:tc>
        <w:tc>
          <w:tcPr/>
          <w:p>
            <w:pPr>
              <w:pStyle w:val="Compact"/>
              <w:jc w:val="left"/>
            </w:pPr>
            <w:r>
              <w:t xml:space="preserve">Instrument; CSMS; agente aduanal</w:t>
            </w:r>
          </w:p>
        </w:tc>
        <w:tc>
          <w:tcPr/>
          <w:p>
            <w:pPr>
              <w:pStyle w:val="Compact"/>
              <w:jc w:val="left"/>
            </w:pPr>
            <w:r>
              <w:t xml:space="preserve">Forgetting IMMEX duty-deferral limits on exports to USMCA partners</w:t>
            </w:r>
          </w:p>
        </w:tc>
      </w:tr>
      <w:tr>
        <w:tc>
          <w:tcPr/>
          <w:p>
            <w:pPr>
              <w:pStyle w:val="Compact"/>
              <w:jc w:val="left"/>
            </w:pPr>
            <w:r>
              <w:t xml:space="preserve">16</w:t>
            </w:r>
          </w:p>
        </w:tc>
        <w:tc>
          <w:tcPr/>
          <w:p>
            <w:pPr>
              <w:pStyle w:val="Compact"/>
              <w:jc w:val="left"/>
            </w:pPr>
            <w:r>
              <w:t xml:space="preserve">Our data</w:t>
            </w:r>
          </w:p>
        </w:tc>
        <w:tc>
          <w:tcPr/>
          <w:p>
            <w:pPr>
              <w:pStyle w:val="Compact"/>
              <w:jc w:val="left"/>
            </w:pPr>
            <w:r>
              <w:t xml:space="preserve">Which item fields decide scope (HTS, origin, USMCA flag, content values); what we do not hold and who can supply it (Part 9)</w:t>
            </w:r>
          </w:p>
        </w:tc>
        <w:tc>
          <w:tcPr/>
          <w:p>
            <w:pPr>
              <w:pStyle w:val="Compact"/>
              <w:jc w:val="left"/>
            </w:pPr>
            <w:r>
              <w:t xml:space="preserve">[COMPANY: classification master]; Purchasing; suppliers</w:t>
            </w:r>
          </w:p>
        </w:tc>
        <w:tc>
          <w:tcPr/>
          <w:p>
            <w:pPr>
              <w:pStyle w:val="Compact"/>
              <w:jc w:val="left"/>
            </w:pPr>
            <w:r>
              <w:t xml:space="preserve">Discovering missing content data after the effective date</w:t>
            </w:r>
          </w:p>
        </w:tc>
      </w:tr>
    </w:tbl>
    <w:p>
      <w:pPr>
        <w:pStyle w:val="BodyText"/>
      </w:pPr>
      <w:r>
        <w:t xml:space="preserve">Before you call the research done:</w:t>
      </w:r>
    </w:p>
    <w:p>
      <w:pPr>
        <w:numPr>
          <w:ilvl w:val="0"/>
          <w:numId w:val="1012"/>
        </w:numPr>
        <w:pStyle w:val="Compact"/>
      </w:pPr>
      <w:r>
        <w:t xml:space="preserve">☐ Every line above has an answer, "not applicable" or an open question, with a source.</w:t>
      </w:r>
    </w:p>
    <w:p>
      <w:pPr>
        <w:numPr>
          <w:ilvl w:val="0"/>
          <w:numId w:val="1012"/>
        </w:numPr>
        <w:pStyle w:val="Compact"/>
      </w:pPr>
      <w:r>
        <w:t xml:space="preserve">☐ Every quote was copied from the source, not retyped from a summary.</w:t>
      </w:r>
    </w:p>
    <w:p>
      <w:pPr>
        <w:numPr>
          <w:ilvl w:val="0"/>
          <w:numId w:val="1012"/>
        </w:numPr>
        <w:pStyle w:val="Compact"/>
      </w:pPr>
      <w:r>
        <w:t xml:space="preserve">☐ The date and time you checked each source is recorded.</w:t>
      </w:r>
    </w:p>
    <w:bookmarkEnd w:id="86"/>
    <w:bookmarkStart w:id="87" w:name="Xe150d274509ab2cd76b77210d01bbe9d9a05004"/>
    <w:p>
      <w:pPr>
        <w:pStyle w:val="Heading3"/>
      </w:pPr>
      <w:r>
        <w:t xml:space="preserve">2.6 What to confirm with the broker or trade counsel</w:t>
      </w:r>
    </w:p>
    <w:p>
      <w:pPr>
        <w:pStyle w:val="FirstParagraph"/>
      </w:pPr>
      <w:r>
        <w:t xml:space="preserve">The BSA does not give legal advice. Record who confirmed what, when and how (Brief Part 8), and file the email in [COMPANY: email archive].</w:t>
      </w:r>
    </w:p>
    <w:p>
      <w:pPr>
        <w:pStyle w:val="BodyText"/>
      </w:pPr>
      <w:r>
        <w:t xml:space="preserve">Ask the licensed customs broker:</w:t>
      </w:r>
    </w:p>
    <w:p>
      <w:pPr>
        <w:numPr>
          <w:ilvl w:val="0"/>
          <w:numId w:val="1013"/>
        </w:numPr>
        <w:pStyle w:val="Compact"/>
      </w:pPr>
      <w:r>
        <w:t xml:space="preserve">How they will file it: Chapter 99 numbers, line splits, reporting order, from which date and time.</w:t>
      </w:r>
    </w:p>
    <w:p>
      <w:pPr>
        <w:numPr>
          <w:ilvl w:val="0"/>
          <w:numId w:val="1013"/>
        </w:numPr>
        <w:pStyle w:val="Compact"/>
      </w:pPr>
      <w:r>
        <w:t xml:space="preserve">What data they need from us that we do not send today (content values, melt or smelt country, USMCA claim data).</w:t>
      </w:r>
    </w:p>
    <w:p>
      <w:pPr>
        <w:numPr>
          <w:ilvl w:val="0"/>
          <w:numId w:val="1013"/>
        </w:numPr>
        <w:pStyle w:val="Compact"/>
      </w:pPr>
      <w:r>
        <w:t xml:space="preserve">How they will claim in-transit relief and what proof they need.</w:t>
      </w:r>
    </w:p>
    <w:p>
      <w:pPr>
        <w:numPr>
          <w:ilvl w:val="0"/>
          <w:numId w:val="1013"/>
        </w:numPr>
        <w:pStyle w:val="Compact"/>
      </w:pPr>
      <w:r>
        <w:t xml:space="preserve">Whether their system is ready by the effective date, and what happens to entries near the cutoff. Holding or accelerating entries is a business decision for the Manager, not Research.</w:t>
      </w:r>
    </w:p>
    <w:p>
      <w:pPr>
        <w:pStyle w:val="FirstParagraph"/>
      </w:pPr>
      <w:r>
        <w:t xml:space="preserve">Ask trade counsel (through [COMPANY: who may contact trade counsel]):</w:t>
      </w:r>
    </w:p>
    <w:p>
      <w:pPr>
        <w:numPr>
          <w:ilvl w:val="0"/>
          <w:numId w:val="1014"/>
        </w:numPr>
        <w:pStyle w:val="Compact"/>
      </w:pPr>
      <w:r>
        <w:t xml:space="preserve">Any Medium or Low interpretation that changes scope, rate or date.</w:t>
      </w:r>
    </w:p>
    <w:p>
      <w:pPr>
        <w:numPr>
          <w:ilvl w:val="0"/>
          <w:numId w:val="1014"/>
        </w:numPr>
        <w:pStyle w:val="Compact"/>
      </w:pPr>
      <w:r>
        <w:t xml:space="preserve">Whether to file post-summary corrections, protests or court actions to preserve refund rights.</w:t>
      </w:r>
    </w:p>
    <w:p>
      <w:pPr>
        <w:numPr>
          <w:ilvl w:val="0"/>
          <w:numId w:val="1014"/>
        </w:numPr>
        <w:pStyle w:val="Compact"/>
      </w:pPr>
      <w:r>
        <w:t xml:space="preserve">Origin questions involving processing in a third country (substantial transformation).</w:t>
      </w:r>
    </w:p>
    <w:p>
      <w:pPr>
        <w:numPr>
          <w:ilvl w:val="0"/>
          <w:numId w:val="1014"/>
        </w:numPr>
        <w:pStyle w:val="Compact"/>
      </w:pPr>
      <w:r>
        <w:t xml:space="preserve">Any proposal to change a classification because of a new duty. Classification follows the goods, never the duty rate: send these to the Senior first.</w:t>
      </w:r>
    </w:p>
    <w:p>
      <w:pPr>
        <w:pStyle w:val="FirstParagraph"/>
      </w:pPr>
      <w:r>
        <w:t xml:space="preserve">Drawback questions go to the Senior, who owns US duty drawback (M9).</w:t>
      </w:r>
    </w:p>
    <w:bookmarkEnd w:id="87"/>
    <w:bookmarkStart w:id="88" w:name="X1e61c0cb5c73ce8ff492d0e22728fc75b56e963"/>
    <w:p>
      <w:pPr>
        <w:pStyle w:val="Heading3"/>
      </w:pPr>
      <w:r>
        <w:t xml:space="preserve">2.7 From findings to the Tariff-Impact Brief and the handoff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Research checklist step</w:t>
            </w:r>
          </w:p>
        </w:tc>
        <w:tc>
          <w:tcPr/>
          <w:p>
            <w:pPr>
              <w:pStyle w:val="Compact"/>
              <w:jc w:val="left"/>
            </w:pPr>
            <w:r>
              <w:t xml:space="preserve">Tariff-Impact Brief part</w:t>
            </w:r>
          </w:p>
        </w:tc>
        <w:tc>
          <w:tcPr/>
          <w:p>
            <w:pPr>
              <w:pStyle w:val="Compact"/>
              <w:jc w:val="left"/>
            </w:pPr>
            <w:r>
              <w:t xml:space="preserve">Model Action tab</w:t>
            </w:r>
          </w:p>
        </w:tc>
      </w:tr>
      <w:tr>
        <w:tc>
          <w:tcPr/>
          <w:p>
            <w:pPr>
              <w:pStyle w:val="Compact"/>
              <w:jc w:val="left"/>
            </w:pPr>
            <w:r>
              <w:t xml:space="preserve">1 Legal authority</w:t>
            </w:r>
          </w:p>
        </w:tc>
        <w:tc>
          <w:tcPr/>
          <w:p>
            <w:pPr>
              <w:pStyle w:val="Compact"/>
              <w:jc w:val="left"/>
            </w:pPr>
            <w:r>
              <w:t xml:space="preserve">Part 3; sources in Part 4</w:t>
            </w:r>
          </w:p>
        </w:tc>
        <w:tc>
          <w:tcPr/>
          <w:p>
            <w:pPr>
              <w:pStyle w:val="Compact"/>
              <w:jc w:val="left"/>
            </w:pPr>
            <w:r>
              <w:t xml:space="preserve">B8 (category), B10 (primary source)</w:t>
            </w:r>
          </w:p>
        </w:tc>
      </w:tr>
      <w:tr>
        <w:tc>
          <w:tcPr/>
          <w:p>
            <w:pPr>
              <w:pStyle w:val="Compact"/>
              <w:jc w:val="left"/>
            </w:pPr>
            <w:r>
              <w:t xml:space="preserve">2 and 3 Timing, end and steps</w:t>
            </w:r>
          </w:p>
        </w:tc>
        <w:tc>
          <w:tcPr/>
          <w:p>
            <w:pPr>
              <w:pStyle w:val="Compact"/>
              <w:jc w:val="left"/>
            </w:pPr>
            <w:r>
              <w:t xml:space="preserve">Part 5</w:t>
            </w:r>
          </w:p>
        </w:tc>
        <w:tc>
          <w:tcPr/>
          <w:p>
            <w:pPr>
              <w:pStyle w:val="Compact"/>
              <w:jc w:val="left"/>
            </w:pPr>
            <w:r>
              <w:t xml:space="preserve">B11 (effective date), B12 (basis), B14 (end date)</w:t>
            </w:r>
          </w:p>
        </w:tc>
      </w:tr>
      <w:tr>
        <w:tc>
          <w:tcPr/>
          <w:p>
            <w:pPr>
              <w:pStyle w:val="Compact"/>
              <w:jc w:val="left"/>
            </w:pPr>
            <w:r>
              <w:t xml:space="preserve">12 In-transit</w:t>
            </w:r>
          </w:p>
        </w:tc>
        <w:tc>
          <w:tcPr/>
          <w:p>
            <w:pPr>
              <w:pStyle w:val="Compact"/>
              <w:jc w:val="left"/>
            </w:pPr>
            <w:r>
              <w:t xml:space="preserve">Part 5</w:t>
            </w:r>
          </w:p>
        </w:tc>
        <w:tc>
          <w:tcPr/>
          <w:p>
            <w:pPr>
              <w:pStyle w:val="Compact"/>
              <w:jc w:val="left"/>
            </w:pPr>
            <w:r>
              <w:t xml:space="preserve">B13</w:t>
            </w:r>
          </w:p>
        </w:tc>
      </w:tr>
      <w:tr>
        <w:tc>
          <w:tcPr/>
          <w:p>
            <w:pPr>
              <w:pStyle w:val="Compact"/>
              <w:jc w:val="left"/>
            </w:pPr>
            <w:r>
              <w:t xml:space="preserve">4 HTS scope</w:t>
            </w:r>
          </w:p>
        </w:tc>
        <w:tc>
          <w:tcPr/>
          <w:p>
            <w:pPr>
              <w:pStyle w:val="Compact"/>
              <w:jc w:val="left"/>
            </w:pPr>
            <w:r>
              <w:t xml:space="preserve">Part 6.1</w:t>
            </w:r>
          </w:p>
        </w:tc>
        <w:tc>
          <w:tcPr/>
          <w:p>
            <w:pPr>
              <w:pStyle w:val="Compact"/>
              <w:jc w:val="left"/>
            </w:pPr>
            <w:r>
              <w:t xml:space="preserve">Scope list (columns E to G)</w:t>
            </w:r>
          </w:p>
        </w:tc>
      </w:tr>
      <w:tr>
        <w:tc>
          <w:tcPr/>
          <w:p>
            <w:pPr>
              <w:pStyle w:val="Compact"/>
              <w:jc w:val="left"/>
            </w:pPr>
            <w:r>
              <w:t xml:space="preserve">6 Origins</w:t>
            </w:r>
          </w:p>
        </w:tc>
        <w:tc>
          <w:tcPr/>
          <w:p>
            <w:pPr>
              <w:pStyle w:val="Compact"/>
              <w:jc w:val="left"/>
            </w:pPr>
            <w:r>
              <w:t xml:space="preserve">Part 6.2</w:t>
            </w:r>
          </w:p>
        </w:tc>
        <w:tc>
          <w:tcPr/>
          <w:p>
            <w:pPr>
              <w:pStyle w:val="Compact"/>
              <w:jc w:val="left"/>
            </w:pPr>
            <w:r>
              <w:t xml:space="preserve">Origin list (columns M to N)</w:t>
            </w:r>
          </w:p>
        </w:tc>
      </w:tr>
      <w:tr>
        <w:tc>
          <w:tcPr/>
          <w:p>
            <w:pPr>
              <w:pStyle w:val="Compact"/>
              <w:jc w:val="left"/>
            </w:pPr>
            <w:r>
              <w:t xml:space="preserve">8 Exclusions defined by HTS</w:t>
            </w:r>
          </w:p>
        </w:tc>
        <w:tc>
          <w:tcPr/>
          <w:p>
            <w:pPr>
              <w:pStyle w:val="Compact"/>
              <w:jc w:val="left"/>
            </w:pPr>
            <w:r>
              <w:t xml:space="preserve">Part 6.4</w:t>
            </w:r>
          </w:p>
        </w:tc>
        <w:tc>
          <w:tcPr/>
          <w:p>
            <w:pPr>
              <w:pStyle w:val="Compact"/>
              <w:jc w:val="left"/>
            </w:pPr>
            <w:r>
              <w:t xml:space="preserve">Exclusion list (columns I to K)</w:t>
            </w:r>
          </w:p>
        </w:tc>
      </w:tr>
      <w:tr>
        <w:tc>
          <w:tcPr/>
          <w:p>
            <w:pPr>
              <w:pStyle w:val="Compact"/>
              <w:jc w:val="left"/>
            </w:pPr>
            <w:r>
              <w:t xml:space="preserve">5 and 8 Exclusions by description, borderline items</w:t>
            </w:r>
          </w:p>
        </w:tc>
        <w:tc>
          <w:tcPr/>
          <w:p>
            <w:pPr>
              <w:pStyle w:val="Compact"/>
              <w:jc w:val="left"/>
            </w:pPr>
            <w:r>
              <w:t xml:space="preserve">Parts 6.3, 6.4 and 8</w:t>
            </w:r>
          </w:p>
        </w:tc>
        <w:tc>
          <w:tcPr/>
          <w:p>
            <w:pPr>
              <w:pStyle w:val="Compact"/>
              <w:jc w:val="left"/>
            </w:pPr>
            <w:r>
              <w:t xml:space="preserve">Item-level determinations (columns P to S)</w:t>
            </w:r>
          </w:p>
        </w:tc>
      </w:tr>
      <w:tr>
        <w:tc>
          <w:tcPr/>
          <w:p>
            <w:pPr>
              <w:pStyle w:val="Compact"/>
              <w:jc w:val="left"/>
            </w:pPr>
            <w:r>
              <w:t xml:space="preserve">10 USMCA treatment</w:t>
            </w:r>
          </w:p>
        </w:tc>
        <w:tc>
          <w:tcPr/>
          <w:p>
            <w:pPr>
              <w:pStyle w:val="Compact"/>
              <w:jc w:val="left"/>
            </w:pPr>
            <w:r>
              <w:t xml:space="preserve">Part 6.5</w:t>
            </w:r>
          </w:p>
        </w:tc>
        <w:tc>
          <w:tcPr/>
          <w:p>
            <w:pPr>
              <w:pStyle w:val="Compact"/>
              <w:jc w:val="left"/>
            </w:pPr>
            <w:r>
              <w:t xml:space="preserve">B18</w:t>
            </w:r>
          </w:p>
        </w:tc>
      </w:tr>
      <w:tr>
        <w:tc>
          <w:tcPr/>
          <w:p>
            <w:pPr>
              <w:pStyle w:val="Compact"/>
              <w:jc w:val="left"/>
            </w:pPr>
            <w:r>
              <w:t xml:space="preserve">9 Stacking</w:t>
            </w:r>
          </w:p>
        </w:tc>
        <w:tc>
          <w:tcPr/>
          <w:p>
            <w:pPr>
              <w:pStyle w:val="Compact"/>
              <w:jc w:val="left"/>
            </w:pPr>
            <w:r>
              <w:t xml:space="preserve">Part 6.6</w:t>
            </w:r>
          </w:p>
        </w:tc>
        <w:tc>
          <w:tcPr/>
          <w:p>
            <w:pPr>
              <w:pStyle w:val="Compact"/>
              <w:jc w:val="left"/>
            </w:pPr>
            <w:r>
              <w:t xml:space="preserve">B19; with B16 and B17 when the action replaces an earlier rate</w:t>
            </w:r>
          </w:p>
        </w:tc>
      </w:tr>
      <w:tr>
        <w:tc>
          <w:tcPr/>
          <w:p>
            <w:pPr>
              <w:pStyle w:val="Compact"/>
              <w:jc w:val="left"/>
            </w:pPr>
            <w:r>
              <w:t xml:space="preserve">Rate</w:t>
            </w:r>
          </w:p>
        </w:tc>
        <w:tc>
          <w:tcPr/>
          <w:p>
            <w:pPr>
              <w:pStyle w:val="Compact"/>
              <w:jc w:val="left"/>
            </w:pPr>
            <w:r>
              <w:t xml:space="preserve">Part 7</w:t>
            </w:r>
          </w:p>
        </w:tc>
        <w:tc>
          <w:tcPr/>
          <w:p>
            <w:pPr>
              <w:pStyle w:val="Compact"/>
              <w:jc w:val="left"/>
            </w:pPr>
            <w:r>
              <w:t xml:space="preserve">B15, B16, B17</w:t>
            </w:r>
          </w:p>
        </w:tc>
      </w:tr>
      <w:tr>
        <w:tc>
          <w:tcPr/>
          <w:p>
            <w:pPr>
              <w:pStyle w:val="Compact"/>
              <w:jc w:val="left"/>
            </w:pPr>
            <w:r>
              <w:t xml:space="preserve">7 Content rules</w:t>
            </w:r>
          </w:p>
        </w:tc>
        <w:tc>
          <w:tcPr/>
          <w:p>
            <w:pPr>
              <w:pStyle w:val="Compact"/>
              <w:jc w:val="left"/>
            </w:pPr>
            <w:r>
              <w:t xml:space="preserve">Parts 6.3 and 7</w:t>
            </w:r>
          </w:p>
        </w:tc>
        <w:tc>
          <w:tcPr/>
          <w:p>
            <w:pPr>
              <w:pStyle w:val="Compact"/>
              <w:jc w:val="left"/>
            </w:pPr>
            <w:r>
              <w:t xml:space="preserve">B19 (state the base); agree the treatment with Standard Cost at the handoff</w:t>
            </w:r>
          </w:p>
        </w:tc>
      </w:tr>
      <w:tr>
        <w:tc>
          <w:tcPr/>
          <w:p>
            <w:pPr>
              <w:pStyle w:val="Compact"/>
              <w:jc w:val="left"/>
            </w:pPr>
            <w:r>
              <w:t xml:space="preserve">16 Our data</w:t>
            </w:r>
          </w:p>
        </w:tc>
        <w:tc>
          <w:tcPr/>
          <w:p>
            <w:pPr>
              <w:pStyle w:val="Compact"/>
              <w:jc w:val="left"/>
            </w:pPr>
            <w:r>
              <w:t xml:space="preserve">Part 9</w:t>
            </w:r>
          </w:p>
        </w:tc>
        <w:tc>
          <w:tcPr/>
          <w:p>
            <w:pPr>
              <w:pStyle w:val="Compact"/>
              <w:jc w:val="left"/>
            </w:pPr>
            <w:r>
              <w:t xml:space="preserve">Not on Action: Standard Cost fills Items</w:t>
            </w:r>
          </w:p>
        </w:tc>
      </w:tr>
    </w:tbl>
    <w:p>
      <w:pPr>
        <w:pStyle w:val="BodyText"/>
      </w:pPr>
      <w:r>
        <w:t xml:space="preserve">The model applies the rate to the unit customs value on the Items tab. If the duty applies to only part of the value (metal content, non-US content), say so in Brief Part 7 and Action B19, and agree at the handoff call how Standard Cost will enter it. Research states the base; Standard Cost does the arithmetic.</w:t>
      </w:r>
    </w:p>
    <w:p>
      <w:pPr>
        <w:pStyle w:val="BodyText"/>
      </w:pPr>
      <w:r>
        <w:t xml:space="preserve">The sequence:</w:t>
      </w:r>
    </w:p>
    <w:p>
      <w:pPr>
        <w:numPr>
          <w:ilvl w:val="0"/>
          <w:numId w:val="1015"/>
        </w:numPr>
        <w:pStyle w:val="Compact"/>
      </w:pPr>
      <w:r>
        <w:rPr>
          <w:bCs/>
          <w:b/>
        </w:rPr>
        <w:t xml:space="preserve">Intake:</w:t>
      </w:r>
      <w:r>
        <w:t xml:space="preserve"> </w:t>
      </w:r>
      <w:r>
        <w:t xml:space="preserve">create the Jira story with the Action ID (for example TA-US-2026-07) and copy the model template (model guide, step 1).</w:t>
      </w:r>
    </w:p>
    <w:p>
      <w:pPr>
        <w:numPr>
          <w:ilvl w:val="0"/>
          <w:numId w:val="1015"/>
        </w:numPr>
        <w:pStyle w:val="Compact"/>
      </w:pPr>
      <w:r>
        <w:rPr>
          <w:bCs/>
          <w:b/>
        </w:rPr>
        <w:t xml:space="preserve">60-minute first pass:</w:t>
      </w:r>
      <w:r>
        <w:t xml:space="preserve"> </w:t>
      </w:r>
      <w:r>
        <w:t xml:space="preserve">follow "The 60-minute first pass" in the brief template. Tell the Manager the effective date and the candidate count.</w:t>
      </w:r>
    </w:p>
    <w:p>
      <w:pPr>
        <w:numPr>
          <w:ilvl w:val="0"/>
          <w:numId w:val="1015"/>
        </w:numPr>
        <w:pStyle w:val="Compact"/>
      </w:pPr>
      <w:r>
        <w:rPr>
          <w:bCs/>
          <w:b/>
        </w:rPr>
        <w:t xml:space="preserve">Draft v0.1:</w:t>
      </w:r>
      <w:r>
        <w:t xml:space="preserve"> </w:t>
      </w:r>
      <w:r>
        <w:t xml:space="preserve">work through the checklist (2.5). Quote first, then interpret, with a confidence level.</w:t>
      </w:r>
    </w:p>
    <w:p>
      <w:pPr>
        <w:numPr>
          <w:ilvl w:val="0"/>
          <w:numId w:val="1015"/>
        </w:numPr>
        <w:pStyle w:val="Compact"/>
      </w:pPr>
      <w:r>
        <w:rPr>
          <w:bCs/>
          <w:b/>
        </w:rPr>
        <w:t xml:space="preserve">Questions out:</w:t>
      </w:r>
      <w:r>
        <w:t xml:space="preserve"> </w:t>
      </w:r>
      <w:r>
        <w:t xml:space="preserve">send broker and counsel questions early; log them in Brief Part 10.</w:t>
      </w:r>
    </w:p>
    <w:p>
      <w:pPr>
        <w:numPr>
          <w:ilvl w:val="0"/>
          <w:numId w:val="1015"/>
        </w:numPr>
        <w:pStyle w:val="Compact"/>
      </w:pPr>
      <w:r>
        <w:rPr>
          <w:bCs/>
          <w:b/>
        </w:rPr>
        <w:t xml:space="preserve">Self-check:</w:t>
      </w:r>
      <w:r>
        <w:t xml:space="preserve"> </w:t>
      </w:r>
      <w:r>
        <w:t xml:space="preserve">the maker quality checklist in the brief template.</w:t>
      </w:r>
    </w:p>
    <w:p>
      <w:pPr>
        <w:numPr>
          <w:ilvl w:val="0"/>
          <w:numId w:val="1015"/>
        </w:numPr>
        <w:pStyle w:val="Compact"/>
      </w:pPr>
      <w:r>
        <w:rPr>
          <w:bCs/>
          <w:b/>
        </w:rPr>
        <w:t xml:space="preserve">Check:</w:t>
      </w:r>
      <w:r>
        <w:t xml:space="preserve"> </w:t>
      </w:r>
      <w:r>
        <w:t xml:space="preserve">the Senior (or the Manager) checks the brief against the sources and logs the result on Jira.</w:t>
      </w:r>
    </w:p>
    <w:p>
      <w:pPr>
        <w:numPr>
          <w:ilvl w:val="0"/>
          <w:numId w:val="1015"/>
        </w:numPr>
        <w:pStyle w:val="Compact"/>
      </w:pPr>
      <w:r>
        <w:rPr>
          <w:bCs/>
          <w:b/>
        </w:rPr>
        <w:t xml:space="preserve">Release v1.0 and fill the Action tab:</w:t>
      </w:r>
      <w:r>
        <w:t xml:space="preserve"> </w:t>
      </w:r>
      <w:r>
        <w:t xml:space="preserve">the checker reviews the Action tab against the brief and logs it on the model's Review tab.</w:t>
      </w:r>
    </w:p>
    <w:p>
      <w:pPr>
        <w:numPr>
          <w:ilvl w:val="0"/>
          <w:numId w:val="1015"/>
        </w:numPr>
        <w:pStyle w:val="Compact"/>
      </w:pPr>
      <w:r>
        <w:rPr>
          <w:bCs/>
          <w:b/>
        </w:rPr>
        <w:t xml:space="preserve">Handoff call (15 minutes):</w:t>
      </w:r>
      <w:r>
        <w:t xml:space="preserve"> </w:t>
      </w:r>
      <w:r>
        <w:t xml:space="preserve">walk Hire B through the scope, dates, open questions and any partial-value base. Hire B confirms on Jira.</w:t>
      </w:r>
    </w:p>
    <w:p>
      <w:pPr>
        <w:numPr>
          <w:ilvl w:val="0"/>
          <w:numId w:val="1015"/>
        </w:numPr>
        <w:pStyle w:val="Compact"/>
      </w:pPr>
      <w:r>
        <w:rPr>
          <w:bCs/>
          <w:b/>
        </w:rPr>
        <w:t xml:space="preserve">Changes:</w:t>
      </w:r>
      <w:r>
        <w:t xml:space="preserve"> </w:t>
      </w:r>
      <w:r>
        <w:t xml:space="preserve">any change after release is a new version (v1.1), re-checked and re-sent. Update Part 1 of this document if the action's status changed.</w:t>
      </w:r>
    </w:p>
    <w:p>
      <w:pPr>
        <w:pStyle w:val="FirstParagraph"/>
      </w:pPr>
      <w:r>
        <w:t xml:space="preserve">Never put $ figures, pricing advice or shipment timing recommendations in a brief.</w:t>
      </w:r>
    </w:p>
    <w:bookmarkEnd w:id="88"/>
    <w:bookmarkStart w:id="89" w:name="Xc102ab81f8fda6602e7bbf7b4bfa116384e4fcb"/>
    <w:p>
      <w:pPr>
        <w:pStyle w:val="Heading3"/>
      </w:pPr>
      <w:r>
        <w:t xml:space="preserve">2.8 Practice exercise</w:t>
      </w:r>
    </w:p>
    <w:p>
      <w:pPr>
        <w:pStyle w:val="FirstParagraph"/>
      </w:pPr>
      <w:r>
        <w:t xml:space="preserve">Do this as the A30-6 outline in W3 to W4 and as the full A60-1 brief in W7 (see</w:t>
      </w:r>
      <w:r>
        <w:t xml:space="preserve"> </w:t>
      </w:r>
      <w:r>
        <w:rPr>
          <w:rStyle w:val="VerbatimChar"/>
        </w:rPr>
        <w:t xml:space="preserve">docs/01-30-60-90-plan.md</w:t>
      </w:r>
      <w:r>
        <w:t xml:space="preserve">). Choose the action with the Senior. Each option teaches something different: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Option</w:t>
            </w:r>
          </w:p>
        </w:tc>
        <w:tc>
          <w:tcPr/>
          <w:p>
            <w:pPr>
              <w:pStyle w:val="Compact"/>
              <w:jc w:val="left"/>
            </w:pPr>
            <w:r>
              <w:t xml:space="preserve">Action from Part 1</w:t>
            </w:r>
          </w:p>
        </w:tc>
        <w:tc>
          <w:tcPr/>
          <w:p>
            <w:pPr>
              <w:pStyle w:val="Compact"/>
              <w:jc w:val="left"/>
            </w:pPr>
            <w:r>
              <w:t xml:space="preserve">What it teaches</w:t>
            </w:r>
          </w:p>
        </w:tc>
        <w:tc>
          <w:tcPr/>
          <w:p>
            <w:pPr>
              <w:pStyle w:val="Compact"/>
              <w:jc w:val="left"/>
            </w:pPr>
            <w:r>
              <w:t xml:space="preserve">Importing country</w:t>
            </w:r>
          </w:p>
        </w:tc>
      </w:tr>
      <w:tr>
        <w:tc>
          <w:tcPr/>
          <w:p>
            <w:pPr>
              <w:pStyle w:val="Compact"/>
              <w:jc w:val="left"/>
            </w:pPr>
            <w:r>
              <w:t xml:space="preserve">A (recommended)</w:t>
            </w:r>
          </w:p>
        </w:tc>
        <w:tc>
          <w:tcPr/>
          <w:p>
            <w:pPr>
              <w:pStyle w:val="Compact"/>
              <w:jc w:val="left"/>
            </w:pPr>
            <w:r>
              <w:t xml:space="preserve">Section 232 copper (US-3)</w:t>
            </w:r>
          </w:p>
        </w:tc>
        <w:tc>
          <w:tcPr/>
          <w:p>
            <w:pPr>
              <w:pStyle w:val="Compact"/>
              <w:jc w:val="left"/>
            </w:pPr>
            <w:r>
              <w:t xml:space="preserve">Content-based duty, separate content lines, no USMCA exemption, interaction with other Section 232 actions</w:t>
            </w:r>
          </w:p>
        </w:tc>
        <w:tc>
          <w:tcPr/>
          <w:p>
            <w:pPr>
              <w:pStyle w:val="Compact"/>
              <w:jc w:val="left"/>
            </w:pPr>
            <w:r>
              <w:t xml:space="preserve">US</w:t>
            </w:r>
          </w:p>
        </w:tc>
      </w:tr>
      <w:tr>
        <w:tc>
          <w:tcPr/>
          <w:p>
            <w:pPr>
              <w:pStyle w:val="Compact"/>
              <w:jc w:val="left"/>
            </w:pPr>
            <w:r>
              <w:t xml:space="preserve">B</w:t>
            </w:r>
          </w:p>
        </w:tc>
        <w:tc>
          <w:tcPr/>
          <w:p>
            <w:pPr>
              <w:pStyle w:val="Compact"/>
              <w:jc w:val="left"/>
            </w:pPr>
            <w:r>
              <w:t xml:space="preserve">Mexico's IGI increase on non-FTA goods from 2026-01-01 (section 1.4)</w:t>
            </w:r>
          </w:p>
        </w:tc>
        <w:tc>
          <w:tcPr/>
          <w:p>
            <w:pPr>
              <w:pStyle w:val="Compact"/>
              <w:jc w:val="left"/>
            </w:pPr>
            <w:r>
              <w:t xml:space="preserve">DOF decrees, fracciones and NICO, preference claims, IMMEX and PROSEC questions for the agente aduanal</w:t>
            </w:r>
          </w:p>
        </w:tc>
        <w:tc>
          <w:tcPr/>
          <w:p>
            <w:pPr>
              <w:pStyle w:val="Compact"/>
              <w:jc w:val="left"/>
            </w:pPr>
            <w:r>
              <w:t xml:space="preserve">MX</w:t>
            </w:r>
          </w:p>
        </w:tc>
      </w:tr>
      <w:tr>
        <w:tc>
          <w:tcPr/>
          <w:p>
            <w:pPr>
              <w:pStyle w:val="Compact"/>
              <w:jc w:val="left"/>
            </w:pPr>
            <w:r>
              <w:t xml:space="preserve">C (live, W3 to W4 only)</w:t>
            </w:r>
          </w:p>
        </w:tc>
        <w:tc>
          <w:tcPr/>
          <w:p>
            <w:pPr>
              <w:pStyle w:val="Compact"/>
              <w:jc w:val="left"/>
            </w:pPr>
            <w:r>
              <w:t xml:space="preserve">Section 301 China exclusions expiring 2026-11-10 (US-4)</w:t>
            </w:r>
          </w:p>
        </w:tc>
        <w:tc>
          <w:tcPr/>
          <w:p>
            <w:pPr>
              <w:pStyle w:val="Compact"/>
              <w:jc w:val="left"/>
            </w:pPr>
            <w:r>
              <w:t xml:space="preserve">Monitoring an expiry, exclusion descriptions narrower than the HTS line, item-level determinations</w:t>
            </w:r>
          </w:p>
        </w:tc>
        <w:tc>
          <w:tcPr/>
          <w:p>
            <w:pPr>
              <w:pStyle w:val="Compact"/>
              <w:jc w:val="left"/>
            </w:pPr>
            <w:r>
              <w:t xml:space="preserve">US</w:t>
            </w:r>
          </w:p>
        </w:tc>
      </w:tr>
      <w:tr>
        <w:tc>
          <w:tcPr/>
          <w:p>
            <w:pPr>
              <w:pStyle w:val="Compact"/>
              <w:jc w:val="left"/>
            </w:pPr>
            <w:r>
              <w:t xml:space="preserve">D</w:t>
            </w:r>
          </w:p>
        </w:tc>
        <w:tc>
          <w:tcPr/>
          <w:p>
            <w:pPr>
              <w:pStyle w:val="Compact"/>
              <w:jc w:val="left"/>
            </w:pPr>
            <w:r>
              <w:t xml:space="preserve">Canada's remaining countermeasure surtaxes and remission (section 1.3)</w:t>
            </w:r>
          </w:p>
        </w:tc>
        <w:tc>
          <w:tcPr/>
          <w:p>
            <w:pPr>
              <w:pStyle w:val="Compact"/>
              <w:jc w:val="left"/>
            </w:pPr>
            <w:r>
              <w:t xml:space="preserve">Gazette orders, CBSA notices, origin rules in a surtax order, remission claims</w:t>
            </w:r>
          </w:p>
        </w:tc>
        <w:tc>
          <w:tcPr/>
          <w:p>
            <w:pPr>
              <w:pStyle w:val="Compact"/>
              <w:jc w:val="left"/>
            </w:pPr>
            <w:r>
              <w:t xml:space="preserve">CA</w:t>
            </w:r>
          </w:p>
        </w:tc>
      </w:tr>
    </w:tbl>
    <w:p>
      <w:pPr>
        <w:pStyle w:val="BodyText"/>
      </w:pPr>
      <w:r>
        <w:t xml:space="preserve">Steps:</w:t>
      </w:r>
    </w:p>
    <w:p>
      <w:pPr>
        <w:numPr>
          <w:ilvl w:val="0"/>
          <w:numId w:val="1016"/>
        </w:numPr>
        <w:pStyle w:val="Compact"/>
      </w:pPr>
      <w:r>
        <w:rPr>
          <w:bCs/>
          <w:b/>
        </w:rPr>
        <w:t xml:space="preserve">Verify the Part 1 row first (30 minutes).</w:t>
      </w:r>
      <w:r>
        <w:t xml:space="preserve"> </w:t>
      </w:r>
      <w:r>
        <w:t xml:space="preserve">Open the primary sources, update the row and its confidence label, and log it. If the action has ended or changed, tell the Senior and pick again.</w:t>
      </w:r>
    </w:p>
    <w:p>
      <w:pPr>
        <w:numPr>
          <w:ilvl w:val="0"/>
          <w:numId w:val="1016"/>
        </w:numPr>
        <w:pStyle w:val="Compact"/>
      </w:pPr>
      <w:r>
        <w:rPr>
          <w:bCs/>
          <w:b/>
        </w:rPr>
        <w:t xml:space="preserve">60-minute first pass (timed).</w:t>
      </w:r>
      <w:r>
        <w:t xml:space="preserve"> </w:t>
      </w:r>
      <w:r>
        <w:t xml:space="preserve">Find the instrument, the implementing guidance and the HTS list, and copy the timing clause. This is the A30-6 evidence.</w:t>
      </w:r>
    </w:p>
    <w:p>
      <w:pPr>
        <w:numPr>
          <w:ilvl w:val="0"/>
          <w:numId w:val="1016"/>
        </w:numPr>
        <w:pStyle w:val="Compact"/>
      </w:pPr>
      <w:r>
        <w:rPr>
          <w:bCs/>
          <w:b/>
        </w:rPr>
        <w:t xml:space="preserve">Full brief (about 6 hours of self-study across the week).</w:t>
      </w:r>
      <w:r>
        <w:t xml:space="preserve"> </w:t>
      </w:r>
      <w:r>
        <w:t xml:space="preserve">Work the checklist in 2.5. Run the candidate-item query from Brief Part 9 on [COMPANY: classification table], or on the practice data from</w:t>
      </w:r>
      <w:r>
        <w:t xml:space="preserve"> </w:t>
      </w:r>
      <w:r>
        <w:rPr>
          <w:rStyle w:val="VerbatimChar"/>
        </w:rPr>
        <w:t xml:space="preserve">data/analytics/generate_practice_data.py</w:t>
      </w:r>
      <w:r>
        <w:t xml:space="preserve"> </w:t>
      </w:r>
      <w:r>
        <w:t xml:space="preserve">if your access is not ready.</w:t>
      </w:r>
    </w:p>
    <w:p>
      <w:pPr>
        <w:numPr>
          <w:ilvl w:val="0"/>
          <w:numId w:val="1016"/>
        </w:numPr>
        <w:pStyle w:val="Compact"/>
      </w:pPr>
      <w:r>
        <w:rPr>
          <w:bCs/>
          <w:b/>
        </w:rPr>
        <w:t xml:space="preserve">Self-check</w:t>
      </w:r>
      <w:r>
        <w:t xml:space="preserve"> </w:t>
      </w:r>
      <w:r>
        <w:t xml:space="preserve">with the maker quality checklist in the brief template.</w:t>
      </w:r>
    </w:p>
    <w:p>
      <w:pPr>
        <w:numPr>
          <w:ilvl w:val="0"/>
          <w:numId w:val="1016"/>
        </w:numPr>
        <w:pStyle w:val="Compact"/>
      </w:pPr>
      <w:r>
        <w:rPr>
          <w:bCs/>
          <w:b/>
        </w:rPr>
        <w:t xml:space="preserve">Checker review</w:t>
      </w:r>
      <w:r>
        <w:t xml:space="preserve"> </w:t>
      </w:r>
      <w:r>
        <w:t xml:space="preserve">by the Senior with the rubric below: 20 minutes for an outline, 45 minutes for a full brief, inside the Senior's weekly review time.</w:t>
      </w:r>
    </w:p>
    <w:p>
      <w:pPr>
        <w:numPr>
          <w:ilvl w:val="0"/>
          <w:numId w:val="1016"/>
        </w:numPr>
        <w:pStyle w:val="Compact"/>
      </w:pPr>
      <w:r>
        <w:rPr>
          <w:bCs/>
          <w:b/>
        </w:rPr>
        <w:t xml:space="preserve">Fix and re-release</w:t>
      </w:r>
      <w:r>
        <w:t xml:space="preserve"> </w:t>
      </w:r>
      <w:r>
        <w:t xml:space="preserve">as training v1.0. It goes to the business only if the Manager decides it is useful.</w:t>
      </w:r>
    </w:p>
    <w:p>
      <w:pPr>
        <w:numPr>
          <w:ilvl w:val="0"/>
          <w:numId w:val="1016"/>
        </w:numPr>
        <w:pStyle w:val="Compact"/>
      </w:pPr>
      <w:r>
        <w:rPr>
          <w:bCs/>
          <w:b/>
        </w:rPr>
        <w:t xml:space="preserve">Optional handoff drill:</w:t>
      </w:r>
      <w:r>
        <w:t xml:space="preserve"> </w:t>
      </w:r>
      <w:r>
        <w:t xml:space="preserve">fill the Action tab and do the 15-minute handoff with Hire B in the W7 to W8 joint tariff drill.</w:t>
      </w:r>
    </w:p>
    <w:bookmarkEnd w:id="89"/>
    <w:bookmarkStart w:id="90" w:name="X4be4cd6a6a74390b973c5a273df2f7f25e43301"/>
    <w:p>
      <w:pPr>
        <w:pStyle w:val="Heading3"/>
      </w:pPr>
      <w:r>
        <w:t xml:space="preserve">2.9 Trainer review rubric</w:t>
      </w:r>
    </w:p>
    <w:p>
      <w:pPr>
        <w:pStyle w:val="FirstParagraph"/>
      </w:pPr>
      <w:r>
        <w:t xml:space="preserve">Score each criterion 0, 1 or 2. A</w:t>
      </w:r>
      <w:r>
        <w:t xml:space="preserve"> </w:t>
      </w:r>
      <w:r>
        <w:rPr>
          <w:bCs/>
          <w:b/>
        </w:rPr>
        <w:t xml:space="preserve">material error</w:t>
      </w:r>
      <w:r>
        <w:t xml:space="preserve"> </w:t>
      </w:r>
      <w:r>
        <w:t xml:space="preserve">is anything that would change which items pay, how much they pay or from when: a wrong or unsupported scope, rate, origin rule, effective date or time, USMCA treatment or stacking result. Any $ figure in a brief is also a material error.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2 = Meets</w:t>
            </w:r>
          </w:p>
        </w:tc>
        <w:tc>
          <w:tcPr/>
          <w:p>
            <w:pPr>
              <w:pStyle w:val="Compact"/>
              <w:jc w:val="left"/>
            </w:pPr>
            <w:r>
              <w:t xml:space="preserve">1 = Partly</w:t>
            </w:r>
          </w:p>
        </w:tc>
        <w:tc>
          <w:tcPr/>
          <w:p>
            <w:pPr>
              <w:pStyle w:val="Compact"/>
              <w:jc w:val="left"/>
            </w:pPr>
            <w:r>
              <w:t xml:space="preserve">0 = Material error</w:t>
            </w:r>
          </w:p>
        </w:tc>
      </w:tr>
      <w:tr>
        <w:tc>
          <w:tcPr/>
          <w:p>
            <w:pPr>
              <w:pStyle w:val="Compact"/>
              <w:jc w:val="left"/>
            </w:pPr>
            <w:r>
              <w:t xml:space="preserve">1</w:t>
            </w:r>
          </w:p>
        </w:tc>
        <w:tc>
          <w:tcPr/>
          <w:p>
            <w:pPr>
              <w:pStyle w:val="Compact"/>
              <w:jc w:val="left"/>
            </w:pPr>
            <w:r>
              <w:t xml:space="preserve">Primary sources</w:t>
            </w:r>
          </w:p>
        </w:tc>
        <w:tc>
          <w:tcPr/>
          <w:p>
            <w:pPr>
              <w:pStyle w:val="Compact"/>
              <w:jc w:val="left"/>
            </w:pPr>
            <w:r>
              <w:t xml:space="preserve">Every fact has a primary source with its date; news and alerts used only as leads</w:t>
            </w:r>
          </w:p>
        </w:tc>
        <w:tc>
          <w:tcPr/>
          <w:p>
            <w:pPr>
              <w:pStyle w:val="Compact"/>
              <w:jc w:val="left"/>
            </w:pPr>
            <w:r>
              <w:t xml:space="preserve">One or two facts cite a secondary source but are correct</w:t>
            </w:r>
          </w:p>
        </w:tc>
        <w:tc>
          <w:tcPr/>
          <w:p>
            <w:pPr>
              <w:pStyle w:val="Compact"/>
              <w:jc w:val="left"/>
            </w:pPr>
            <w:r>
              <w:t xml:space="preserve">A fact rests on a secondary source and is wrong, or a key source is missing</w:t>
            </w:r>
          </w:p>
        </w:tc>
      </w:tr>
      <w:tr>
        <w:tc>
          <w:tcPr/>
          <w:p>
            <w:pPr>
              <w:pStyle w:val="Compact"/>
              <w:jc w:val="left"/>
            </w:pPr>
            <w:r>
              <w:t xml:space="preserve">2</w:t>
            </w:r>
          </w:p>
        </w:tc>
        <w:tc>
          <w:tcPr/>
          <w:p>
            <w:pPr>
              <w:pStyle w:val="Compact"/>
              <w:jc w:val="left"/>
            </w:pPr>
            <w:r>
              <w:t xml:space="preserve">Authority and instrument</w:t>
            </w:r>
          </w:p>
        </w:tc>
        <w:tc>
          <w:tcPr/>
          <w:p>
            <w:pPr>
              <w:pStyle w:val="Compact"/>
              <w:jc w:val="left"/>
            </w:pPr>
            <w:r>
              <w:t xml:space="preserve">Statute, instrument, number, date and issuer correct</w:t>
            </w:r>
          </w:p>
        </w:tc>
        <w:tc>
          <w:tcPr/>
          <w:p>
            <w:pPr>
              <w:pStyle w:val="Compact"/>
              <w:jc w:val="left"/>
            </w:pPr>
            <w:r>
              <w:t xml:space="preserve">Minor citation error</w:t>
            </w:r>
          </w:p>
        </w:tc>
        <w:tc>
          <w:tcPr/>
          <w:p>
            <w:pPr>
              <w:pStyle w:val="Compact"/>
              <w:jc w:val="left"/>
            </w:pPr>
            <w:r>
              <w:t xml:space="preserve">Wrong authority or wrong instrument</w:t>
            </w:r>
          </w:p>
        </w:tc>
      </w:tr>
      <w:tr>
        <w:tc>
          <w:tcPr/>
          <w:p>
            <w:pPr>
              <w:pStyle w:val="Compact"/>
              <w:jc w:val="left"/>
            </w:pPr>
            <w:r>
              <w:t xml:space="preserve">3</w:t>
            </w:r>
          </w:p>
        </w:tc>
        <w:tc>
          <w:tcPr/>
          <w:p>
            <w:pPr>
              <w:pStyle w:val="Compact"/>
              <w:jc w:val="left"/>
            </w:pPr>
            <w:r>
              <w:t xml:space="preserve">Timing</w:t>
            </w:r>
          </w:p>
        </w:tc>
        <w:tc>
          <w:tcPr/>
          <w:p>
            <w:pPr>
              <w:pStyle w:val="Compact"/>
              <w:jc w:val="left"/>
            </w:pPr>
            <w:r>
              <w:t xml:space="preserve">Effective date, time, time zone and basis quoted exactly; in-transit and end or step dates stated</w:t>
            </w:r>
          </w:p>
        </w:tc>
        <w:tc>
          <w:tcPr/>
          <w:p>
            <w:pPr>
              <w:pStyle w:val="Compact"/>
              <w:jc w:val="left"/>
            </w:pPr>
            <w:r>
              <w:t xml:space="preserve">Quoted but one secondary date missing</w:t>
            </w:r>
          </w:p>
        </w:tc>
        <w:tc>
          <w:tcPr/>
          <w:p>
            <w:pPr>
              <w:pStyle w:val="Compact"/>
              <w:jc w:val="left"/>
            </w:pPr>
            <w:r>
              <w:t xml:space="preserve">Wrong effective date or time, or basis misread</w:t>
            </w:r>
          </w:p>
        </w:tc>
      </w:tr>
      <w:tr>
        <w:tc>
          <w:tcPr/>
          <w:p>
            <w:pPr>
              <w:pStyle w:val="Compact"/>
              <w:jc w:val="left"/>
            </w:pPr>
            <w:r>
              <w:t xml:space="preserve">4</w:t>
            </w:r>
          </w:p>
        </w:tc>
        <w:tc>
          <w:tcPr/>
          <w:p>
            <w:pPr>
              <w:pStyle w:val="Compact"/>
              <w:jc w:val="left"/>
            </w:pPr>
            <w:r>
              <w:t xml:space="preserve">HTS scope</w:t>
            </w:r>
          </w:p>
        </w:tc>
        <w:tc>
          <w:tcPr/>
          <w:p>
            <w:pPr>
              <w:pStyle w:val="Compact"/>
              <w:jc w:val="left"/>
            </w:pPr>
            <w:r>
              <w:t xml:space="preserve">List taken from the source as text; digit level and Chapter 99 headings correct</w:t>
            </w:r>
          </w:p>
        </w:tc>
        <w:tc>
          <w:tcPr/>
          <w:p>
            <w:pPr>
              <w:pStyle w:val="Compact"/>
              <w:jc w:val="left"/>
            </w:pPr>
            <w:r>
              <w:t xml:space="preserve">Small format slip with no effect on matching</w:t>
            </w:r>
          </w:p>
        </w:tc>
        <w:tc>
          <w:tcPr/>
          <w:p>
            <w:pPr>
              <w:pStyle w:val="Compact"/>
              <w:jc w:val="left"/>
            </w:pPr>
            <w:r>
              <w:t xml:space="preserve">Codes missing or added; wrong heading</w:t>
            </w:r>
          </w:p>
        </w:tc>
      </w:tr>
      <w:tr>
        <w:tc>
          <w:tcPr/>
          <w:p>
            <w:pPr>
              <w:pStyle w:val="Compact"/>
              <w:jc w:val="left"/>
            </w:pPr>
            <w:r>
              <w:t xml:space="preserve">5</w:t>
            </w:r>
          </w:p>
        </w:tc>
        <w:tc>
          <w:tcPr/>
          <w:p>
            <w:pPr>
              <w:pStyle w:val="Compact"/>
              <w:jc w:val="left"/>
            </w:pPr>
            <w:r>
              <w:t xml:space="preserve">Origin and content</w:t>
            </w:r>
          </w:p>
        </w:tc>
        <w:tc>
          <w:tcPr/>
          <w:p>
            <w:pPr>
              <w:pStyle w:val="Compact"/>
              <w:jc w:val="left"/>
            </w:pPr>
            <w:r>
              <w:t xml:space="preserve">Correct origin rule; partial-value base stated where it applies</w:t>
            </w:r>
          </w:p>
        </w:tc>
        <w:tc>
          <w:tcPr/>
          <w:p>
            <w:pPr>
              <w:pStyle w:val="Compact"/>
              <w:jc w:val="left"/>
            </w:pPr>
            <w:r>
              <w:t xml:space="preserve">Rule correct but not explained</w:t>
            </w:r>
          </w:p>
        </w:tc>
        <w:tc>
          <w:tcPr/>
          <w:p>
            <w:pPr>
              <w:pStyle w:val="Compact"/>
              <w:jc w:val="left"/>
            </w:pPr>
            <w:r>
              <w:t xml:space="preserve">Wrong origin rule, or full value used where content applies</w:t>
            </w:r>
          </w:p>
        </w:tc>
      </w:tr>
      <w:tr>
        <w:tc>
          <w:tcPr/>
          <w:p>
            <w:pPr>
              <w:pStyle w:val="Compact"/>
              <w:jc w:val="left"/>
            </w:pPr>
            <w:r>
              <w:t xml:space="preserve">6</w:t>
            </w:r>
          </w:p>
        </w:tc>
        <w:tc>
          <w:tcPr/>
          <w:p>
            <w:pPr>
              <w:pStyle w:val="Compact"/>
              <w:jc w:val="left"/>
            </w:pPr>
            <w:r>
              <w:t xml:space="preserve">Exclusions and exemptions</w:t>
            </w:r>
          </w:p>
        </w:tc>
        <w:tc>
          <w:tcPr/>
          <w:p>
            <w:pPr>
              <w:pStyle w:val="Compact"/>
              <w:jc w:val="left"/>
            </w:pPr>
            <w:r>
              <w:t xml:space="preserve">Each has an identification method and the evidence needed</w:t>
            </w:r>
          </w:p>
        </w:tc>
        <w:tc>
          <w:tcPr/>
          <w:p>
            <w:pPr>
              <w:pStyle w:val="Compact"/>
              <w:jc w:val="left"/>
            </w:pPr>
            <w:r>
              <w:t xml:space="preserve">Identification method vague</w:t>
            </w:r>
          </w:p>
        </w:tc>
        <w:tc>
          <w:tcPr/>
          <w:p>
            <w:pPr>
              <w:pStyle w:val="Compact"/>
              <w:jc w:val="left"/>
            </w:pPr>
            <w:r>
              <w:t xml:space="preserve">Exclusion missed or misapplied</w:t>
            </w:r>
          </w:p>
        </w:tc>
      </w:tr>
      <w:tr>
        <w:tc>
          <w:tcPr/>
          <w:p>
            <w:pPr>
              <w:pStyle w:val="Compact"/>
              <w:jc w:val="left"/>
            </w:pPr>
            <w:r>
              <w:t xml:space="preserve">7</w:t>
            </w:r>
          </w:p>
        </w:tc>
        <w:tc>
          <w:tcPr/>
          <w:p>
            <w:pPr>
              <w:pStyle w:val="Compact"/>
              <w:jc w:val="left"/>
            </w:pPr>
            <w:r>
              <w:t xml:space="preserve">USMCA, stacking, de minimis, drawback</w:t>
            </w:r>
          </w:p>
        </w:tc>
        <w:tc>
          <w:tcPr/>
          <w:p>
            <w:pPr>
              <w:pStyle w:val="Compact"/>
              <w:jc w:val="left"/>
            </w:pPr>
            <w:r>
              <w:t xml:space="preserve">Each answered with a source, or "not applicable"</w:t>
            </w:r>
          </w:p>
        </w:tc>
        <w:tc>
          <w:tcPr/>
          <w:p>
            <w:pPr>
              <w:pStyle w:val="Compact"/>
              <w:jc w:val="left"/>
            </w:pPr>
            <w:r>
              <w:t xml:space="preserve">One answered without a source</w:t>
            </w:r>
          </w:p>
        </w:tc>
        <w:tc>
          <w:tcPr/>
          <w:p>
            <w:pPr>
              <w:pStyle w:val="Compact"/>
              <w:jc w:val="left"/>
            </w:pPr>
            <w:r>
              <w:t xml:space="preserve">Wrong USMCA or stacking answer</w:t>
            </w:r>
          </w:p>
        </w:tc>
      </w:tr>
      <w:tr>
        <w:tc>
          <w:tcPr/>
          <w:p>
            <w:pPr>
              <w:pStyle w:val="Compact"/>
              <w:jc w:val="left"/>
            </w:pPr>
            <w:r>
              <w:t xml:space="preserve">8</w:t>
            </w:r>
          </w:p>
        </w:tc>
        <w:tc>
          <w:tcPr/>
          <w:p>
            <w:pPr>
              <w:pStyle w:val="Compact"/>
              <w:jc w:val="left"/>
            </w:pPr>
            <w:r>
              <w:t xml:space="preserve">Interpretation and confidence</w:t>
            </w:r>
          </w:p>
        </w:tc>
        <w:tc>
          <w:tcPr/>
          <w:p>
            <w:pPr>
              <w:pStyle w:val="Compact"/>
              <w:jc w:val="left"/>
            </w:pPr>
            <w:r>
              <w:t xml:space="preserve">Quote then interpret; honest confidence; Medium or Low items that change scope sent to the broker or counsel</w:t>
            </w:r>
          </w:p>
        </w:tc>
        <w:tc>
          <w:tcPr/>
          <w:p>
            <w:pPr>
              <w:pStyle w:val="Compact"/>
              <w:jc w:val="left"/>
            </w:pPr>
            <w:r>
              <w:t xml:space="preserve">Confidence missing on one item</w:t>
            </w:r>
          </w:p>
        </w:tc>
        <w:tc>
          <w:tcPr/>
          <w:p>
            <w:pPr>
              <w:pStyle w:val="Compact"/>
              <w:jc w:val="left"/>
            </w:pPr>
            <w:r>
              <w:t xml:space="preserve">A guess presented as fact</w:t>
            </w:r>
          </w:p>
        </w:tc>
      </w:tr>
      <w:tr>
        <w:tc>
          <w:tcPr/>
          <w:p>
            <w:pPr>
              <w:pStyle w:val="Compact"/>
              <w:jc w:val="left"/>
            </w:pPr>
            <w:r>
              <w:t xml:space="preserve">9</w:t>
            </w:r>
          </w:p>
        </w:tc>
        <w:tc>
          <w:tcPr/>
          <w:p>
            <w:pPr>
              <w:pStyle w:val="Compact"/>
              <w:jc w:val="left"/>
            </w:pPr>
            <w:r>
              <w:t xml:space="preserve">Item scoping</w:t>
            </w:r>
          </w:p>
        </w:tc>
        <w:tc>
          <w:tcPr/>
          <w:p>
            <w:pPr>
              <w:pStyle w:val="Compact"/>
              <w:jc w:val="left"/>
            </w:pPr>
            <w:r>
              <w:t xml:space="preserve">Query saved; counts add up; borderline items listed</w:t>
            </w:r>
          </w:p>
        </w:tc>
        <w:tc>
          <w:tcPr/>
          <w:p>
            <w:pPr>
              <w:pStyle w:val="Compact"/>
              <w:jc w:val="left"/>
            </w:pPr>
            <w:r>
              <w:t xml:space="preserve">Counts add up but the query is not saved</w:t>
            </w:r>
          </w:p>
        </w:tc>
        <w:tc>
          <w:tcPr/>
          <w:p>
            <w:pPr>
              <w:pStyle w:val="Compact"/>
              <w:jc w:val="left"/>
            </w:pPr>
            <w:r>
              <w:t xml:space="preserve">Counts do not reconcile, or origin taken from the supplier address</w:t>
            </w:r>
          </w:p>
        </w:tc>
      </w:tr>
      <w:tr>
        <w:tc>
          <w:tcPr/>
          <w:p>
            <w:pPr>
              <w:pStyle w:val="Compact"/>
              <w:jc w:val="left"/>
            </w:pPr>
            <w:r>
              <w:t xml:space="preserve">10</w:t>
            </w:r>
          </w:p>
        </w:tc>
        <w:tc>
          <w:tcPr/>
          <w:p>
            <w:pPr>
              <w:pStyle w:val="Compact"/>
              <w:jc w:val="left"/>
            </w:pPr>
            <w:r>
              <w:t xml:space="preserve">Boundary and control</w:t>
            </w:r>
          </w:p>
        </w:tc>
        <w:tc>
          <w:tcPr/>
          <w:p>
            <w:pPr>
              <w:pStyle w:val="Compact"/>
              <w:jc w:val="left"/>
            </w:pPr>
            <w:r>
              <w:t xml:space="preserve">No $; version, change log and Jira link complete; maker checklist done</w:t>
            </w:r>
          </w:p>
        </w:tc>
        <w:tc>
          <w:tcPr/>
          <w:p>
            <w:pPr>
              <w:pStyle w:val="Compact"/>
              <w:jc w:val="left"/>
            </w:pPr>
            <w:r>
              <w:t xml:space="preserve">One control item missing</w:t>
            </w:r>
          </w:p>
        </w:tc>
        <w:tc>
          <w:tcPr/>
          <w:p>
            <w:pPr>
              <w:pStyle w:val="Compact"/>
              <w:jc w:val="left"/>
            </w:pPr>
            <w:r>
              <w:t xml:space="preserve">$ figures or pricing advice in the brief</w:t>
            </w:r>
          </w:p>
        </w:tc>
      </w:tr>
    </w:tbl>
    <w:p>
      <w:pPr>
        <w:pStyle w:val="BodyText"/>
      </w:pPr>
      <w:r>
        <w:t xml:space="preserve">How to use it:</w:t>
      </w:r>
    </w:p>
    <w:p>
      <w:pPr>
        <w:numPr>
          <w:ilvl w:val="0"/>
          <w:numId w:val="1017"/>
        </w:numPr>
        <w:pStyle w:val="Compact"/>
      </w:pPr>
      <w:r>
        <w:rPr>
          <w:bCs/>
          <w:b/>
        </w:rPr>
        <w:t xml:space="preserve">Outline (A30-6):</w:t>
      </w:r>
      <w:r>
        <w:t xml:space="preserve"> </w:t>
      </w:r>
      <w:r>
        <w:t xml:space="preserve">score criteria 1 to 4 only. Pass: no 0 and at least 6 of 8, with the sources found within 60 minutes.</w:t>
      </w:r>
    </w:p>
    <w:p>
      <w:pPr>
        <w:numPr>
          <w:ilvl w:val="0"/>
          <w:numId w:val="1017"/>
        </w:numPr>
        <w:pStyle w:val="Compact"/>
      </w:pPr>
      <w:r>
        <w:rPr>
          <w:bCs/>
          <w:b/>
        </w:rPr>
        <w:t xml:space="preserve">Full brief (A60-1):</w:t>
      </w:r>
      <w:r>
        <w:t xml:space="preserve"> </w:t>
      </w:r>
      <w:r>
        <w:t xml:space="preserve">pass means no 0 (no material error) and at least 16 of 20.</w:t>
      </w:r>
    </w:p>
    <w:p>
      <w:pPr>
        <w:numPr>
          <w:ilvl w:val="0"/>
          <w:numId w:val="1017"/>
        </w:numPr>
        <w:pStyle w:val="Compact"/>
      </w:pPr>
      <w:r>
        <w:rPr>
          <w:bCs/>
          <w:b/>
        </w:rPr>
        <w:t xml:space="preserve">Proficiency:</w:t>
      </w:r>
      <w:r>
        <w:t xml:space="preserve"> </w:t>
      </w:r>
      <w:r>
        <w:t xml:space="preserve">two full briefs in a row with no 0 and only light edits support a rating of 3 (Independent) for "find and read primary sources" (A60-6).</w:t>
      </w:r>
    </w:p>
    <w:p>
      <w:pPr>
        <w:numPr>
          <w:ilvl w:val="0"/>
          <w:numId w:val="1017"/>
        </w:numPr>
        <w:pStyle w:val="Compact"/>
      </w:pPr>
      <w:r>
        <w:t xml:space="preserve">The checker records the scores, findings and decision on the Jira story and in Brief Part 12.</w:t>
      </w:r>
    </w:p>
    <w:bookmarkEnd w:id="90"/>
    <w:bookmarkEnd w:id="91"/>
    <w:bookmarkStart w:id="92" w:name="maintenance-log"/>
    <w:p>
      <w:pPr>
        <w:pStyle w:val="Heading2"/>
      </w:pPr>
      <w:r>
        <w:t xml:space="preserve">Maintenance log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Change</w:t>
            </w:r>
          </w:p>
        </w:tc>
        <w:tc>
          <w:tcPr/>
          <w:p>
            <w:pPr>
              <w:pStyle w:val="Compact"/>
              <w:jc w:val="left"/>
            </w:pPr>
            <w:r>
              <w:t xml:space="preserve">Source</w:t>
            </w:r>
          </w:p>
        </w:tc>
        <w:tc>
          <w:tcPr/>
          <w:p>
            <w:pPr>
              <w:pStyle w:val="Compact"/>
              <w:jc w:val="left"/>
            </w:pPr>
            <w:r>
              <w:t xml:space="preserve">Updated by</w:t>
            </w:r>
          </w:p>
        </w:tc>
      </w:tr>
      <w:tr>
        <w:tc>
          <w:tcPr/>
          <w:p>
            <w:pPr>
              <w:pStyle w:val="Compact"/>
              <w:jc w:val="left"/>
            </w:pPr>
            <w:r>
              <w:t xml:space="preserve">2026-10-08</w:t>
            </w:r>
          </w:p>
        </w:tc>
        <w:tc>
          <w:tcPr/>
          <w:p>
            <w:pPr>
              <w:pStyle w:val="Compact"/>
              <w:jc w:val="left"/>
            </w:pPr>
            <w:r>
              <w:t xml:space="preserve">Edition v0.9 compiled. Part 1 drafted from information to about mid-2026; no primary source could be opened on this date, so no row is Confirmed. Verification sprint (1.1) added. Part 2 method written</w:t>
            </w:r>
          </w:p>
        </w:tc>
        <w:tc>
          <w:tcPr/>
          <w:p>
            <w:pPr>
              <w:pStyle w:val="Compact"/>
              <w:jc w:val="left"/>
            </w:pPr>
            <w:r>
              <w:t xml:space="preserve">None opened (see "Read this first")</w:t>
            </w:r>
          </w:p>
        </w:tc>
        <w:tc>
          <w:tcPr/>
          <w:p>
            <w:pPr>
              <w:pStyle w:val="Compact"/>
              <w:jc w:val="left"/>
            </w:pPr>
            <w:r>
              <w:t xml:space="preserve">Compiled for the BSA Manager</w:t>
            </w:r>
          </w:p>
        </w:tc>
      </w:tr>
      <w:tr>
        <w:tc>
          <w:tcPr/>
          <w:p>
            <w:pPr>
              <w:pStyle w:val="Compact"/>
              <w:jc w:val="left"/>
            </w:pPr>
            <w:r>
              <w:t xml:space="preserve">[YYYY-MM-DD]</w:t>
            </w:r>
          </w:p>
        </w:tc>
        <w:tc>
          <w:tcPr/>
          <w:p>
            <w:pPr>
              <w:pStyle w:val="Compact"/>
              <w:jc w:val="left"/>
            </w:pPr>
            <w:r>
              <w:t xml:space="preserve">[Row changed, old status, new status]</w:t>
            </w:r>
          </w:p>
        </w:tc>
        <w:tc>
          <w:tcPr/>
          <w:p>
            <w:pPr>
              <w:pStyle w:val="Compact"/>
              <w:jc w:val="left"/>
            </w:pPr>
            <w:r>
              <w:t xml:space="preserve">[Primary source and its date]</w:t>
            </w:r>
          </w:p>
        </w:tc>
        <w:tc>
          <w:tcPr/>
          <w:p>
            <w:pPr>
              <w:pStyle w:val="Compact"/>
              <w:jc w:val="left"/>
            </w:pPr>
            <w:r>
              <w:t xml:space="preserve">[Name; Senior initials if spot-checked]</w:t>
            </w:r>
          </w:p>
        </w:tc>
      </w:tr>
    </w:tbl>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gazette.gc.ca/" TargetMode="External" /><Relationship Type="http://schemas.openxmlformats.org/officeDocument/2006/relationships/hyperlink" Id="rId70" Target="https://hts.usitc.gov/" TargetMode="External" /><Relationship Type="http://schemas.openxmlformats.org/officeDocument/2006/relationships/hyperlink" Id="rId50" Target="https://uscode.house.gov/" TargetMode="External" /><Relationship Type="http://schemas.openxmlformats.org/officeDocument/2006/relationships/hyperlink" Id="rId80" Target="https://ustr.gov/" TargetMode="External" /><Relationship Type="http://schemas.openxmlformats.org/officeDocument/2006/relationships/hyperlink" Id="rId28" Target="https://ustr.gov/issue-areas/enforcement/section-301-investigations" TargetMode="External" /><Relationship Type="http://schemas.openxmlformats.org/officeDocument/2006/relationships/hyperlink" Id="rId62" Target="https://ustr.gov/sites/default/files/files/agreements/FTA/USMCA/Text/34_Final_Provisions.pdf" TargetMode="External" /><Relationship Type="http://schemas.openxmlformats.org/officeDocument/2006/relationships/hyperlink" Id="rId31" Target="https://ustr.gov/trade-agreements/free-trade-agreements/united-states-mexico-canada-agreement" TargetMode="External" /><Relationship Type="http://schemas.openxmlformats.org/officeDocument/2006/relationships/hyperlink" Id="rId60" Target="https://ustr.gov/trade-agreements/free-trade-agreements/united-states-mexico-canada-agreement/agreement-between" TargetMode="External" /><Relationship Type="http://schemas.openxmlformats.org/officeDocument/2006/relationships/hyperlink" Id="rId76" Target="https://www.anam.gob.mx/" TargetMode="External" /><Relationship Type="http://schemas.openxmlformats.org/officeDocument/2006/relationships/hyperlink" Id="rId37" Target="https://www.bis.gov/" TargetMode="External" /><Relationship Type="http://schemas.openxmlformats.org/officeDocument/2006/relationships/hyperlink" Id="rId56" Target="https://www.canada.ca/en/border-services-agency/news/2025/05/reminder-extension-to-submit-financial-security-during-carm-transition-period-ends-on-may-20.html" TargetMode="External" /><Relationship Type="http://schemas.openxmlformats.org/officeDocument/2006/relationships/hyperlink" Id="rId72" Target="https://www.canada.ca/en/department-finance.html" TargetMode="External" /><Relationship Type="http://schemas.openxmlformats.org/officeDocument/2006/relationships/hyperlink" Id="rId29" Target="https://www.canada.ca/en/department-finance/programs/international-trade-finance-policy/canadas-response-us-tariffs.html" TargetMode="External" /><Relationship Type="http://schemas.openxmlformats.org/officeDocument/2006/relationships/hyperlink" Id="rId23" Target="https://www.cbp.gov/document/guidance/csms-archive" TargetMode="External" /><Relationship Type="http://schemas.openxmlformats.org/officeDocument/2006/relationships/hyperlink" Id="rId69" Target="https://www.cbp.gov/trade/automated/cargo-systems-messaging-service" TargetMode="External" /><Relationship Type="http://schemas.openxmlformats.org/officeDocument/2006/relationships/hyperlink" Id="rId32" Target="https://www.cbp.gov/trade/priority-issues/trade-agreements/merchandise-processing-fee" TargetMode="External" /><Relationship Type="http://schemas.openxmlformats.org/officeDocument/2006/relationships/hyperlink" Id="rId27" Target="https://www.cbp.gov/trade/programs-administration/trade-remedies" TargetMode="External" /><Relationship Type="http://schemas.openxmlformats.org/officeDocument/2006/relationships/hyperlink" Id="rId36" Target="https://www.cbp.gov/trade/programs-administration/trade-remedies/section-232-tariffs-aluminum-and-steel" TargetMode="External" /><Relationship Type="http://schemas.openxmlformats.org/officeDocument/2006/relationships/hyperlink" Id="rId39" Target="https://www.cbp.gov/trade/programs-administration/trade-remedies/section-301-trade-remedies" TargetMode="External" /><Relationship Type="http://schemas.openxmlformats.org/officeDocument/2006/relationships/hyperlink" Id="rId54" Target="https://www.cbsa-asfc.gc.ca/publications/cn-ad/menu-eng.html" TargetMode="External" /><Relationship Type="http://schemas.openxmlformats.org/officeDocument/2006/relationships/hyperlink" Id="rId55" Target="https://www.cbsa-asfc.gc.ca/services/carm-gcra/menu-eng.html" TargetMode="External" /><Relationship Type="http://schemas.openxmlformats.org/officeDocument/2006/relationships/hyperlink" Id="rId73" Target="https://www.cbsa-asfc.gc.ca/trade-commerce/tariff-tarif/2026/menu-eng.html" TargetMode="External" /><Relationship Type="http://schemas.openxmlformats.org/officeDocument/2006/relationships/hyperlink" Id="rId24" Target="https://www.cit.uscourts.gov/" TargetMode="External" /><Relationship Type="http://schemas.openxmlformats.org/officeDocument/2006/relationships/hyperlink" Id="rId43" Target="https://www.congress.gov/bill/119th-congress/house-bill/1" TargetMode="External" /><Relationship Type="http://schemas.openxmlformats.org/officeDocument/2006/relationships/hyperlink" Id="rId30" Target="https://www.dof.gob.mx/" TargetMode="External" /><Relationship Type="http://schemas.openxmlformats.org/officeDocument/2006/relationships/hyperlink" Id="rId59" Target="https://www.dof.gob.mx/nota_detalle.php?codigo=5786598&amp;fecha=04/05/2026" TargetMode="External" /><Relationship Type="http://schemas.openxmlformats.org/officeDocument/2006/relationships/hyperlink" Id="rId47" Target="https://www.ecfr.gov/current/title-19/section-24.23" TargetMode="External" /><Relationship Type="http://schemas.openxmlformats.org/officeDocument/2006/relationships/hyperlink" Id="rId48" Target="https://www.ecfr.gov/current/title-19/section-24.24" TargetMode="External" /><Relationship Type="http://schemas.openxmlformats.org/officeDocument/2006/relationships/hyperlink" Id="rId26" Target="https://www.federalregister.gov/" TargetMode="External" /><Relationship Type="http://schemas.openxmlformats.org/officeDocument/2006/relationships/hyperlink" Id="rId68" Target="https://www.federalregister.gov/public-inspection/current" TargetMode="External" /><Relationship Type="http://schemas.openxmlformats.org/officeDocument/2006/relationships/hyperlink" Id="rId58" Target="https://www.gob.mx/se" TargetMode="External" /><Relationship Type="http://schemas.openxmlformats.org/officeDocument/2006/relationships/hyperlink" Id="rId75" Target="https://www.sat.gob.mx/" TargetMode="External" /><Relationship Type="http://schemas.openxmlformats.org/officeDocument/2006/relationships/hyperlink" Id="rId22" Target="https://www.supremecourt.gov/opinions/slipopinion/25" TargetMode="External" /><Relationship Type="http://schemas.openxmlformats.org/officeDocument/2006/relationships/hyperlink" Id="rId41" Target="https://www.trade.gov/" TargetMode="External" /><Relationship Type="http://schemas.openxmlformats.org/officeDocument/2006/relationships/hyperlink" Id="rId25" Target="https://www.whitehouse.gov/presidential-actions/" TargetMode="External" /></Relationships>
</file>

<file path=word/_rels/footnotes.xml.rels><?xml version="1.0" encoding="UTF-8"?><Relationships xmlns="http://schemas.openxmlformats.org/package/2006/relationships"><Relationship Type="http://schemas.openxmlformats.org/officeDocument/2006/relationships/hyperlink" Id="rId53" Target="https://gazette.gc.ca/" TargetMode="External" /><Relationship Type="http://schemas.openxmlformats.org/officeDocument/2006/relationships/hyperlink" Id="rId70" Target="https://hts.usitc.gov/" TargetMode="External" /><Relationship Type="http://schemas.openxmlformats.org/officeDocument/2006/relationships/hyperlink" Id="rId50" Target="https://uscode.house.gov/" TargetMode="External" /><Relationship Type="http://schemas.openxmlformats.org/officeDocument/2006/relationships/hyperlink" Id="rId80" Target="https://ustr.gov/" TargetMode="External" /><Relationship Type="http://schemas.openxmlformats.org/officeDocument/2006/relationships/hyperlink" Id="rId28" Target="https://ustr.gov/issue-areas/enforcement/section-301-investigations" TargetMode="External" /><Relationship Type="http://schemas.openxmlformats.org/officeDocument/2006/relationships/hyperlink" Id="rId62" Target="https://ustr.gov/sites/default/files/files/agreements/FTA/USMCA/Text/34_Final_Provisions.pdf" TargetMode="External" /><Relationship Type="http://schemas.openxmlformats.org/officeDocument/2006/relationships/hyperlink" Id="rId31" Target="https://ustr.gov/trade-agreements/free-trade-agreements/united-states-mexico-canada-agreement" TargetMode="External" /><Relationship Type="http://schemas.openxmlformats.org/officeDocument/2006/relationships/hyperlink" Id="rId60" Target="https://ustr.gov/trade-agreements/free-trade-agreements/united-states-mexico-canada-agreement/agreement-between" TargetMode="External" /><Relationship Type="http://schemas.openxmlformats.org/officeDocument/2006/relationships/hyperlink" Id="rId76" Target="https://www.anam.gob.mx/" TargetMode="External" /><Relationship Type="http://schemas.openxmlformats.org/officeDocument/2006/relationships/hyperlink" Id="rId37" Target="https://www.bis.gov/" TargetMode="External" /><Relationship Type="http://schemas.openxmlformats.org/officeDocument/2006/relationships/hyperlink" Id="rId56" Target="https://www.canada.ca/en/border-services-agency/news/2025/05/reminder-extension-to-submit-financial-security-during-carm-transition-period-ends-on-may-20.html" TargetMode="External" /><Relationship Type="http://schemas.openxmlformats.org/officeDocument/2006/relationships/hyperlink" Id="rId72" Target="https://www.canada.ca/en/department-finance.html" TargetMode="External" /><Relationship Type="http://schemas.openxmlformats.org/officeDocument/2006/relationships/hyperlink" Id="rId29" Target="https://www.canada.ca/en/department-finance/programs/international-trade-finance-policy/canadas-response-us-tariffs.html" TargetMode="External" /><Relationship Type="http://schemas.openxmlformats.org/officeDocument/2006/relationships/hyperlink" Id="rId23" Target="https://www.cbp.gov/document/guidance/csms-archive" TargetMode="External" /><Relationship Type="http://schemas.openxmlformats.org/officeDocument/2006/relationships/hyperlink" Id="rId69" Target="https://www.cbp.gov/trade/automated/cargo-systems-messaging-service" TargetMode="External" /><Relationship Type="http://schemas.openxmlformats.org/officeDocument/2006/relationships/hyperlink" Id="rId32" Target="https://www.cbp.gov/trade/priority-issues/trade-agreements/merchandise-processing-fee" TargetMode="External" /><Relationship Type="http://schemas.openxmlformats.org/officeDocument/2006/relationships/hyperlink" Id="rId27" Target="https://www.cbp.gov/trade/programs-administration/trade-remedies" TargetMode="External" /><Relationship Type="http://schemas.openxmlformats.org/officeDocument/2006/relationships/hyperlink" Id="rId36" Target="https://www.cbp.gov/trade/programs-administration/trade-remedies/section-232-tariffs-aluminum-and-steel" TargetMode="External" /><Relationship Type="http://schemas.openxmlformats.org/officeDocument/2006/relationships/hyperlink" Id="rId39" Target="https://www.cbp.gov/trade/programs-administration/trade-remedies/section-301-trade-remedies" TargetMode="External" /><Relationship Type="http://schemas.openxmlformats.org/officeDocument/2006/relationships/hyperlink" Id="rId54" Target="https://www.cbsa-asfc.gc.ca/publications/cn-ad/menu-eng.html" TargetMode="External" /><Relationship Type="http://schemas.openxmlformats.org/officeDocument/2006/relationships/hyperlink" Id="rId55" Target="https://www.cbsa-asfc.gc.ca/services/carm-gcra/menu-eng.html" TargetMode="External" /><Relationship Type="http://schemas.openxmlformats.org/officeDocument/2006/relationships/hyperlink" Id="rId73" Target="https://www.cbsa-asfc.gc.ca/trade-commerce/tariff-tarif/2026/menu-eng.html" TargetMode="External" /><Relationship Type="http://schemas.openxmlformats.org/officeDocument/2006/relationships/hyperlink" Id="rId24" Target="https://www.cit.uscourts.gov/" TargetMode="External" /><Relationship Type="http://schemas.openxmlformats.org/officeDocument/2006/relationships/hyperlink" Id="rId43" Target="https://www.congress.gov/bill/119th-congress/house-bill/1" TargetMode="External" /><Relationship Type="http://schemas.openxmlformats.org/officeDocument/2006/relationships/hyperlink" Id="rId30" Target="https://www.dof.gob.mx/" TargetMode="External" /><Relationship Type="http://schemas.openxmlformats.org/officeDocument/2006/relationships/hyperlink" Id="rId59" Target="https://www.dof.gob.mx/nota_detalle.php?codigo=5786598&amp;fecha=04/05/2026" TargetMode="External" /><Relationship Type="http://schemas.openxmlformats.org/officeDocument/2006/relationships/hyperlink" Id="rId47" Target="https://www.ecfr.gov/current/title-19/section-24.23" TargetMode="External" /><Relationship Type="http://schemas.openxmlformats.org/officeDocument/2006/relationships/hyperlink" Id="rId48" Target="https://www.ecfr.gov/current/title-19/section-24.24" TargetMode="External" /><Relationship Type="http://schemas.openxmlformats.org/officeDocument/2006/relationships/hyperlink" Id="rId26" Target="https://www.federalregister.gov/" TargetMode="External" /><Relationship Type="http://schemas.openxmlformats.org/officeDocument/2006/relationships/hyperlink" Id="rId68" Target="https://www.federalregister.gov/public-inspection/current" TargetMode="External" /><Relationship Type="http://schemas.openxmlformats.org/officeDocument/2006/relationships/hyperlink" Id="rId58" Target="https://www.gob.mx/se" TargetMode="External" /><Relationship Type="http://schemas.openxmlformats.org/officeDocument/2006/relationships/hyperlink" Id="rId75" Target="https://www.sat.gob.mx/" TargetMode="External" /><Relationship Type="http://schemas.openxmlformats.org/officeDocument/2006/relationships/hyperlink" Id="rId22" Target="https://www.supremecourt.gov/opinions/slipopinion/25" TargetMode="External" /><Relationship Type="http://schemas.openxmlformats.org/officeDocument/2006/relationships/hyperlink" Id="rId41" Target="https://www.trade.gov/" TargetMode="External" /><Relationship Type="http://schemas.openxmlformats.org/officeDocument/2006/relationships/hyperlink" Id="rId25" Target="https://www.whitehouse.gov/presidential-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2026-10-08T15:43:48Z</dcterms:created>
  <dcterms:modified xsi:type="dcterms:W3CDTF">2026-10-08T15:43:48Z</dcterms:modified>
</cp:coreProperties>
</file>

<file path=docProps/custom.xml><?xml version="1.0" encoding="utf-8"?>
<Properties xmlns="http://schemas.openxmlformats.org/officeDocument/2006/custom-properties" xmlns:vt="http://schemas.openxmlformats.org/officeDocument/2006/docPropsVTypes"/>
</file>