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data-mapping-specification-template"/>
    <w:p>
      <w:pPr>
        <w:pStyle w:val="Heading1"/>
      </w:pPr>
      <w:r>
        <w:t xml:space="preserve">Data Mapping Specification Template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 field-by-field specification of how data moves from a source to a target: transformation rules, data quality rules, cleansing decisions, reconciliation and data-owner sign-off. Built for the AS400 trade system to e2open migration, and for Oracle and broker interfaces.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both hires as makers (day-90 criteria A90-3 for Research data and B90-3 for Standard Cost data); the Senior as checker (data quality, SQL, compliance meaning of fields); the data owner, who signs; the e2open project data or integration lead, who builds loads from it; UAT testers, who reuse the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first use W2 (5-row mini data map, Tue 10/27). Taught in M4 in W7. Drafted in W10 and W11, finished by W13, then kept current through the e2open build, test loads and cutover (M10).</w:t>
      </w:r>
    </w:p>
    <w:bookmarkStart w:id="21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Write one spec per object and direction, for example "Product classification master, AS400 to e2open". Do not mix objects in one spec.</w:t>
      </w:r>
    </w:p>
    <w:p>
      <w:pPr>
        <w:numPr>
          <w:ilvl w:val="0"/>
          <w:numId w:val="1002"/>
        </w:numPr>
        <w:pStyle w:val="Compact"/>
      </w:pPr>
      <w:r>
        <w:t xml:space="preserve">Fill the header (Part 1). Take target field names from the e2open project data dictionary or load templates ([COMPANY: location of e2open load templates]). Never guess a target field name. If you don't have the dictionary yet, map to the e2open concept and write "target field TBC".</w:t>
      </w:r>
    </w:p>
    <w:p>
      <w:pPr>
        <w:numPr>
          <w:ilvl w:val="0"/>
          <w:numId w:val="1002"/>
        </w:numPr>
        <w:pStyle w:val="Compact"/>
      </w:pPr>
      <w:r>
        <w:t xml:space="preserve">Profile the source before you map it (Part 5). Real values beat field names: a field labelled "HTS" may hold text, dots, or nothing.</w:t>
      </w:r>
    </w:p>
    <w:p>
      <w:pPr>
        <w:numPr>
          <w:ilvl w:val="0"/>
          <w:numId w:val="1002"/>
        </w:numPr>
        <w:pStyle w:val="Compact"/>
      </w:pPr>
      <w:r>
        <w:t xml:space="preserve">Fill mapping table A (field mapping), then table B (quality and open questions). Both use the same Map ID. Write one row per target field, so unmapped target fields are visible; the source can be "none (default)" or "derived".</w:t>
      </w:r>
    </w:p>
    <w:p>
      <w:pPr>
        <w:numPr>
          <w:ilvl w:val="0"/>
          <w:numId w:val="1002"/>
        </w:numPr>
        <w:pStyle w:val="Compact"/>
      </w:pPr>
      <w:r>
        <w:t xml:space="preserve">Build a value cross-reference (Part 3) for every coded field.</w:t>
      </w:r>
    </w:p>
    <w:p>
      <w:pPr>
        <w:numPr>
          <w:ilvl w:val="0"/>
          <w:numId w:val="1002"/>
        </w:numPr>
        <w:pStyle w:val="Compact"/>
      </w:pPr>
      <w:r>
        <w:t xml:space="preserve">Log every data issue in the cleansing log (Part 6) and agree the decision with the data owner.</w:t>
      </w:r>
    </w:p>
    <w:p>
      <w:pPr>
        <w:numPr>
          <w:ilvl w:val="0"/>
          <w:numId w:val="1002"/>
        </w:numPr>
        <w:pStyle w:val="Compact"/>
      </w:pPr>
      <w:r>
        <w:t xml:space="preserve">Reconcile after every test load (Part 7) and keep the queries and results.</w:t>
      </w:r>
    </w:p>
    <w:p>
      <w:pPr>
        <w:numPr>
          <w:ilvl w:val="0"/>
          <w:numId w:val="1002"/>
        </w:numPr>
        <w:pStyle w:val="Compact"/>
      </w:pPr>
      <w:r>
        <w:t xml:space="preserve">The data owner signs (Part 8). Any change after sign-off creates a new version and needs a new signature.</w:t>
      </w:r>
    </w:p>
    <w:bookmarkStart w:id="20" w:name="X0889e28aed1c4f5deabeb7028df8e44db5298bb"/>
    <w:p>
      <w:pPr>
        <w:pStyle w:val="Heading3"/>
      </w:pPr>
      <w:r>
        <w:t xml:space="preserve">Reading AS400 (IBM i) data: what trips people up</w:t>
      </w:r>
    </w:p>
    <w:p>
      <w:pPr>
        <w:numPr>
          <w:ilvl w:val="0"/>
          <w:numId w:val="1003"/>
        </w:numPr>
        <w:pStyle w:val="Compact"/>
      </w:pPr>
      <w:r>
        <w:t xml:space="preserve">A library is like a schema, a physical file like a table, a logical file like a view or index, and a field like a column. System names are 10 characters or fewer and often cryptic. Get each field's text description and type from the file's field description ([COMPANY: who can run DSPFFD or provide the AS400 data dictionary]).</w:t>
      </w:r>
    </w:p>
    <w:p>
      <w:pPr>
        <w:numPr>
          <w:ilvl w:val="0"/>
          <w:numId w:val="1003"/>
        </w:numPr>
        <w:pStyle w:val="Compact"/>
      </w:pPr>
      <w:r>
        <w:t xml:space="preserve">Numbers may be packed or zoned decimal with implied decimal places. Confirm the decimal positions of every numeric field before you convert it.</w:t>
      </w:r>
    </w:p>
    <w:p>
      <w:pPr>
        <w:numPr>
          <w:ilvl w:val="0"/>
          <w:numId w:val="1003"/>
        </w:numPr>
        <w:pStyle w:val="Compact"/>
      </w:pPr>
      <w:r>
        <w:t xml:space="preserve">Dates are often stored as numbers: YYYYMMDD, or CYYMMDD where C is 0 for the 1900s and 1 for the 2000s (1261019 is 2026-10-19). Values such as 0 or 9999999 often mean "no date". Confirm the convention field by field.</w:t>
      </w:r>
    </w:p>
    <w:p>
      <w:pPr>
        <w:numPr>
          <w:ilvl w:val="0"/>
          <w:numId w:val="1003"/>
        </w:numPr>
        <w:pStyle w:val="Compact"/>
      </w:pPr>
      <w:r>
        <w:t xml:space="preserve">Text is EBCDIC on the server and is converted by the extract. Check that French and Spanish characters (é, ñ, ü) survive.</w:t>
      </w:r>
    </w:p>
    <w:p>
      <w:pPr>
        <w:numPr>
          <w:ilvl w:val="0"/>
          <w:numId w:val="1003"/>
        </w:numPr>
        <w:pStyle w:val="Compact"/>
      </w:pPr>
      <w:r>
        <w:t xml:space="preserve">Character fields are padded with trailing blanks. Trim them.</w:t>
      </w:r>
    </w:p>
    <w:p>
      <w:pPr>
        <w:numPr>
          <w:ilvl w:val="0"/>
          <w:numId w:val="1003"/>
        </w:numPr>
        <w:pStyle w:val="Compact"/>
      </w:pPr>
      <w:r>
        <w:t xml:space="preserve">Codes often only make sense through a separate code file. Find it before you map the field.</w:t>
      </w:r>
    </w:p>
    <w:p>
      <w:pPr>
        <w:numPr>
          <w:ilvl w:val="0"/>
          <w:numId w:val="1003"/>
        </w:numPr>
        <w:pStyle w:val="Compact"/>
      </w:pPr>
      <w:r>
        <w:t xml:space="preserve">Opening an extract in Excel drops leading zeros and turns long numbers into scientific notation. Load extracts into SQL, or import CSV with the columns set to Text.</w:t>
      </w:r>
    </w:p>
    <w:bookmarkEnd w:id="20"/>
    <w:bookmarkEnd w:id="21"/>
    <w:bookmarkStart w:id="31" w:name="template"/>
    <w:p>
      <w:pPr>
        <w:pStyle w:val="Heading2"/>
      </w:pPr>
      <w:r>
        <w:t xml:space="preserve">Template</w:t>
      </w:r>
    </w:p>
    <w:bookmarkStart w:id="22" w:name="part-1-header"/>
    <w:p>
      <w:pPr>
        <w:pStyle w:val="Heading3"/>
      </w:pPr>
      <w:r>
        <w:t xml:space="preserve">Part 1: Header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ID and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[DM-RES-01 v0.1]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[Product classification master, tariff rates, USMCA qualification, landed-cost components, broker entry data, item cost interface]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[AS400 trade system: COMPANY library and file; Oracle; SQL Server or warehouse table; Excel file; external source]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[e2open GTM: COMPANY e2open object or load template; Oracle interface; broker file]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[One-time migration load, recurring interface, report feed]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Direction and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[Source to target; once at cutover, daily, per cost cycle]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 scope (filter)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[For example: active items, countries US, CA, MX]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[Unique identifier, for example item number + country]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[Rows; from profiling]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business data owner]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 and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[Hire A or B; Senior or Manager]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[Requirements, as-is map, UAT plan, change requests]</w:t>
            </w:r>
          </w:p>
        </w:tc>
      </w:tr>
    </w:tbl>
    <w:bookmarkEnd w:id="22"/>
    <w:bookmarkStart w:id="23" w:name="part-2-mapping-tables"/>
    <w:p>
      <w:pPr>
        <w:pStyle w:val="Heading3"/>
      </w:pPr>
      <w:r>
        <w:t xml:space="preserve">Part 2: Mapping tables</w:t>
      </w:r>
    </w:p>
    <w:p>
      <w:pPr>
        <w:pStyle w:val="FirstParagraph"/>
      </w:pPr>
      <w:r>
        <w:t xml:space="preserve">Table A: field mapping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file/table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field (type)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field (type, required?)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[XX-01]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[File or table]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[Field name and description (type, length)]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[Target field (type, Y/N)]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[Rule, using the vocabulary below]</w:t>
            </w:r>
          </w:p>
        </w:tc>
      </w:tr>
    </w:tbl>
    <w:p>
      <w:pPr>
        <w:pStyle w:val="BodyText"/>
      </w:pPr>
      <w:r>
        <w:t xml:space="preserve">Table B: data quality and open questions (same Map IDs)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quality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[XX-01]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[What a valid value looks like; what happens to invalid ones]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[Question, or "none"]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[Draft, Open question, Agreed]</w:t>
            </w:r>
          </w:p>
        </w:tc>
      </w:tr>
    </w:tbl>
    <w:p>
      <w:pPr>
        <w:pStyle w:val="BodyText"/>
      </w:pPr>
      <w:r>
        <w:t xml:space="preserve">Transform rule vocabulary (use these words so rules are read the same way by everyone):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as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 country code to origin country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leading or trailing blanks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number padded to 15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Left-pad with zeros to a fixed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HTS 9 digits to 10 digits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the presentation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the periods from 8471.30.0100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type, unit or date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CYYMMDD to YYYY-MM-DD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Translate a code through a value map (Part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AS400 status code to e2open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from other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Effective-to date = next row's effective-from minus 1 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value when the source is empty (data owner must approve)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status = "Active"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migrated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Deliberately left behind, with the reason and the archive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Obsolete legacy note field</w:t>
            </w:r>
          </w:p>
        </w:tc>
      </w:tr>
    </w:tbl>
    <w:bookmarkEnd w:id="23"/>
    <w:bookmarkStart w:id="24" w:name="part-3-value-cross-reference"/>
    <w:p>
      <w:pPr>
        <w:pStyle w:val="Heading3"/>
      </w:pPr>
      <w:r>
        <w:t xml:space="preserve">Part 3: Value cross-reference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Value map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[VM-01]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[Code found in profiling]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[Target code]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[Plain-words meaning]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[Who confirmed; date]</w:t>
            </w:r>
          </w:p>
        </w:tc>
      </w:tr>
    </w:tbl>
    <w:p>
      <w:pPr>
        <w:pStyle w:val="BodyText"/>
      </w:pPr>
      <w:r>
        <w:t xml:space="preserve">List every distinct source value found in profiling, including blanks and oddities. A value with no row here is an open question.</w:t>
      </w:r>
    </w:p>
    <w:bookmarkEnd w:id="24"/>
    <w:bookmarkStart w:id="25" w:name="X796e0fd6f4bb296583398a2ccec443c1b8d2bb3"/>
    <w:p>
      <w:pPr>
        <w:pStyle w:val="Heading3"/>
      </w:pPr>
      <w:r>
        <w:t xml:space="preserve">Part 4: Interface details (Oracle and broker interfaces)</w:t>
      </w:r>
    </w:p>
    <w:p>
      <w:pPr>
        <w:pStyle w:val="FirstParagraph"/>
      </w:pPr>
      <w:r>
        <w:t xml:space="preserve">Fill this part for any recurring interface, not for a one-time load.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Trigger and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[Time, event, or manual run]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 and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[CSV, fixed width, EDI, API; layout version; COMPANY: layout document]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[SFTP, email, portal, API; COMPANY: location]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[Header or trailer with record count and totals]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[Reject file, who is alerted, how fast, who fixes]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[Who checks that it ran and the counts make sense]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notice to the receiver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[Lead time; for brokers, agree a test file before any layout change]</w:t>
            </w:r>
          </w:p>
        </w:tc>
      </w:tr>
    </w:tbl>
    <w:p>
      <w:pPr>
        <w:pStyle w:val="BodyText"/>
      </w:pPr>
      <w:r>
        <w:t xml:space="preserve">Points to confirm for each interface: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Oracle item and cost data.</w:t>
      </w:r>
      <w:r>
        <w:t xml:space="preserve"> </w:t>
      </w:r>
      <w:r>
        <w:t xml:space="preserve">Which system is the master for item number, description and unit of measure ([COMPANY: confirm Oracle is the item master]). Which cost elements receive duty, freight and fees ([COMPANY: Oracle EBS or Fusion cost elements and sub-elements]). Finance owns the cost load; the BSA prepares and checks the input.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Broker classification or parts files (data out).</w:t>
      </w:r>
      <w:r>
        <w:t xml:space="preserve"> </w:t>
      </w:r>
      <w:r>
        <w:t xml:space="preserve">Per country and per broker: item, description, HTS number, country of origin, preference claim data, unit of measure ([COMPANY: broker file layout for each broker]).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Broker entry data (data back).</w:t>
      </w:r>
      <w:r>
        <w:t xml:space="preserve"> </w:t>
      </w:r>
      <w:r>
        <w:t xml:space="preserve">Entry number and line, HTS number, entered value, duty, fees, preference claimed, origin. Used to audit broker filings and as actual duty for PPV.</w:t>
      </w:r>
    </w:p>
    <w:bookmarkEnd w:id="25"/>
    <w:bookmarkStart w:id="26" w:name="X70906f0ec14c0a5b7c8c4f00337f524ad2bc953"/>
    <w:p>
      <w:pPr>
        <w:pStyle w:val="Heading3"/>
      </w:pPr>
      <w:r>
        <w:t xml:space="preserve">Starter object list for the day-90 data maps</w:t>
      </w:r>
    </w:p>
    <w:p>
      <w:pPr>
        <w:pStyle w:val="FirstParagraph"/>
      </w:pPr>
      <w:r>
        <w:t xml:space="preserve">The e2open concepts below are generic. Confirm each against the project's scope and data model ([COMPANY: e2open scope document]).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e2open concept (confirm)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classification (HTS per country)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AS400 classification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History and effective dates; leading zeros; expired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 rates and additional duties (for example HTSUS Chapter 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tariff schedules, Tariff-Impact Briefs,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content and duty rates ([COMPANY: in scope?])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and end dates; stacking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USMCA qualification and supplier certifications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AS400 flags, certification files, bills of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agreement qualification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Blanket periods; missing certifications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Duty rates used in standard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name of std-cost tool]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Landed cost or duty calculation ([COMPANY: in scope?])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Rates without dates; hard-coded rates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Landed-cost components (freight, fees, brokerage factors)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name of std-cost tool], 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Landed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Allocation basis;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entry data (actual duty)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files, data warehouse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declaration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Line-level matching to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Parties (suppliers, producers, brokers, importer of record)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supplier master, AS400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Party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Duplicates; addresses for certifications</w:t>
            </w:r>
          </w:p>
        </w:tc>
      </w:tr>
    </w:tbl>
    <w:bookmarkEnd w:id="26"/>
    <w:bookmarkStart w:id="27" w:name="part-5-data-profiling-checklist"/>
    <w:p>
      <w:pPr>
        <w:pStyle w:val="Heading3"/>
      </w:pPr>
      <w:r>
        <w:t xml:space="preserve">Part 5: Data profiling checklist</w:t>
      </w:r>
    </w:p>
    <w:p>
      <w:pPr>
        <w:pStyle w:val="FirstParagraph"/>
      </w:pPr>
      <w:r>
        <w:t xml:space="preserve">Run on the full extract, save the queries and results with the date, and repeat on each new extract.</w:t>
      </w:r>
    </w:p>
    <w:p>
      <w:pPr>
        <w:numPr>
          <w:ilvl w:val="0"/>
          <w:numId w:val="1005"/>
        </w:numPr>
        <w:pStyle w:val="Compact"/>
      </w:pPr>
      <w:r>
        <w:t xml:space="preserve">☐ Row count matches the source system's own count for the same filter and date.</w:t>
      </w:r>
    </w:p>
    <w:p>
      <w:pPr>
        <w:numPr>
          <w:ilvl w:val="0"/>
          <w:numId w:val="1005"/>
        </w:numPr>
        <w:pStyle w:val="Compact"/>
      </w:pPr>
      <w:r>
        <w:t xml:space="preserve">☐ The key is unique (no duplicate item + country); duplicates are listed.</w:t>
      </w:r>
    </w:p>
    <w:p>
      <w:pPr>
        <w:numPr>
          <w:ilvl w:val="0"/>
          <w:numId w:val="1005"/>
        </w:numPr>
        <w:pStyle w:val="Compact"/>
      </w:pPr>
      <w:r>
        <w:t xml:space="preserve">☐ Blank and null counts per field; no blanks in fields the target requires.</w:t>
      </w:r>
    </w:p>
    <w:p>
      <w:pPr>
        <w:numPr>
          <w:ilvl w:val="0"/>
          <w:numId w:val="1005"/>
        </w:numPr>
        <w:pStyle w:val="Compact"/>
      </w:pPr>
      <w:r>
        <w:t xml:space="preserve">☐ HTS length by country: US 10 digits (8-digit subheading + 2-digit statistical suffix), Canada 10 digits (8-digit tariff item + 2-digit statistical suffix), Mexico 10 digits (8-digit fracción + 2-digit NICO).</w:t>
      </w:r>
    </w:p>
    <w:p>
      <w:pPr>
        <w:numPr>
          <w:ilvl w:val="0"/>
          <w:numId w:val="1005"/>
        </w:numPr>
        <w:pStyle w:val="Compact"/>
      </w:pPr>
      <w:r>
        <w:t xml:space="preserve">☐ Leading zeros are intact for chapters 01 to 09; no periods, spaces or scientific notation.</w:t>
      </w:r>
    </w:p>
    <w:p>
      <w:pPr>
        <w:numPr>
          <w:ilvl w:val="0"/>
          <w:numId w:val="1005"/>
        </w:numPr>
        <w:pStyle w:val="Compact"/>
      </w:pPr>
      <w:r>
        <w:t xml:space="preserve">☐ Each HTS number exists in the current national schedule for its country (HTSUS, Canada Customs Tariff, TIGIE with NICO). Expired numbers are listed for Research.</w:t>
      </w:r>
    </w:p>
    <w:p>
      <w:pPr>
        <w:numPr>
          <w:ilvl w:val="0"/>
          <w:numId w:val="1005"/>
        </w:numPr>
        <w:pStyle w:val="Compact"/>
      </w:pPr>
      <w:r>
        <w:t xml:space="preserve">☐ The first 6 digits agree across US, CA and MX for the same item. Differences are usually errors but not always; list them for Research review.</w:t>
      </w:r>
    </w:p>
    <w:p>
      <w:pPr>
        <w:numPr>
          <w:ilvl w:val="0"/>
          <w:numId w:val="1005"/>
        </w:numPr>
        <w:pStyle w:val="Compact"/>
      </w:pPr>
      <w:r>
        <w:t xml:space="preserve">☐ Country codes are valid ISO 3166 alpha-2; units of measure and status codes all appear in the value map.</w:t>
      </w:r>
    </w:p>
    <w:p>
      <w:pPr>
        <w:numPr>
          <w:ilvl w:val="0"/>
          <w:numId w:val="1005"/>
        </w:numPr>
        <w:pStyle w:val="Compact"/>
      </w:pPr>
      <w:r>
        <w:t xml:space="preserve">☐ Dates are valid and in range; "no date" values (0, 9999999) are identified.</w:t>
      </w:r>
    </w:p>
    <w:p>
      <w:pPr>
        <w:numPr>
          <w:ilvl w:val="0"/>
          <w:numId w:val="1005"/>
        </w:numPr>
        <w:pStyle w:val="Compact"/>
      </w:pPr>
      <w:r>
        <w:t xml:space="preserve">☐ Every item exists in the item master ([COMPANY: Oracle]); orphans are listed.</w:t>
      </w:r>
    </w:p>
    <w:p>
      <w:pPr>
        <w:numPr>
          <w:ilvl w:val="0"/>
          <w:numId w:val="1005"/>
        </w:numPr>
        <w:pStyle w:val="Compact"/>
      </w:pPr>
      <w:r>
        <w:t xml:space="preserve">☐ Active and inactive records are counted; the scope decision is written down.</w:t>
      </w:r>
    </w:p>
    <w:p>
      <w:pPr>
        <w:numPr>
          <w:ilvl w:val="0"/>
          <w:numId w:val="1005"/>
        </w:numPr>
        <w:pStyle w:val="Compact"/>
      </w:pPr>
      <w:r>
        <w:t xml:space="preserve">☐ Coded fields contain no free text; special characters and encoding are checked.</w:t>
      </w:r>
    </w:p>
    <w:p>
      <w:pPr>
        <w:numPr>
          <w:ilvl w:val="0"/>
          <w:numId w:val="1005"/>
        </w:numPr>
        <w:pStyle w:val="Compact"/>
      </w:pPr>
      <w:r>
        <w:t xml:space="preserve">☐ USMCA data: every item flagged as qualifying has a qualification record and a certification whose blanket period is 12 months or less and still current.</w:t>
      </w:r>
    </w:p>
    <w:p>
      <w:pPr>
        <w:numPr>
          <w:ilvl w:val="0"/>
          <w:numId w:val="1005"/>
        </w:numPr>
        <w:pStyle w:val="Compact"/>
      </w:pPr>
      <w:r>
        <w:t xml:space="preserve">☐ Numeric fields: decimal places confirmed; negatives and outliers checked (a duty rate above 100% can be real with stacked additional duties; verify it against the brief).</w:t>
      </w:r>
    </w:p>
    <w:p>
      <w:pPr>
        <w:pStyle w:val="FirstParagraph"/>
      </w:pPr>
      <w:r>
        <w:t xml:space="preserve">A starting query for SQL Server (replace stg_classification and the column names with your staging table):</w:t>
      </w:r>
    </w:p>
    <w:p>
      <w:pPr>
        <w:pStyle w:val="SourceCode"/>
      </w:pPr>
      <w:r>
        <w:rPr>
          <w:rStyle w:val="CommentTok"/>
        </w:rPr>
        <w:t xml:space="preserve">-- Rows, distinct keys and duplicates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row_count,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(item_no,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, country))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distinct_keys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item_no, country,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item_no, country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HTS length by country (LEN ignores trailing blanks; use DATALENGTH to see them)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country, LEN(hts)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hts_len,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country, LEN(hts)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country, hts_len;</w:t>
      </w:r>
    </w:p>
    <w:bookmarkEnd w:id="27"/>
    <w:bookmarkStart w:id="28" w:name="part-6-cleansing-log"/>
    <w:p>
      <w:pPr>
        <w:pStyle w:val="Heading3"/>
      </w:pPr>
      <w:r>
        <w:t xml:space="preserve">Part 6: Cleansing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and record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and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[DQ-01]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[XX-03]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[What is wrong; how many rows]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[Fix at source, Fix in transform, Accept, Exclude]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[Open, In progress, Done; date]</w:t>
            </w:r>
          </w:p>
        </w:tc>
      </w:tr>
    </w:tbl>
    <w:p>
      <w:pPr>
        <w:pStyle w:val="BodyText"/>
      </w:pPr>
      <w:r>
        <w:t xml:space="preserve">Decision rules: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Fix at source</w:t>
      </w:r>
      <w:r>
        <w:t xml:space="preserve"> </w:t>
      </w:r>
      <w:r>
        <w:t xml:space="preserve">is the default. It keeps the AS400 data, the broker feeds and e2open in agreement during any parallel run.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Fix in transform</w:t>
      </w:r>
      <w:r>
        <w:t xml:space="preserve"> </w:t>
      </w:r>
      <w:r>
        <w:t xml:space="preserve">only for mechanical, rule-based fixes (for example zero-padding), written into table 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Accept</w:t>
      </w:r>
      <w:r>
        <w:t xml:space="preserve"> </w:t>
      </w:r>
      <w:r>
        <w:t xml:space="preserve">only with a written reason from the data owner.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Exclude</w:t>
      </w:r>
      <w:r>
        <w:t xml:space="preserve"> </w:t>
      </w:r>
      <w:r>
        <w:t xml:space="preserve">only with data-owner approval and an archive plan for the excluded records.</w:t>
      </w:r>
    </w:p>
    <w:p>
      <w:pPr>
        <w:numPr>
          <w:ilvl w:val="0"/>
          <w:numId w:val="1006"/>
        </w:numPr>
        <w:pStyle w:val="Compact"/>
      </w:pPr>
      <w:r>
        <w:t xml:space="preserve">A correction to classification, value or origin data is a compliance change. Research is maker, the Senior is checker, and it goes through a change request (</w:t>
      </w:r>
      <w:r>
        <w:rPr>
          <w:rStyle w:val="VerbatimChar"/>
        </w:rPr>
        <w:t xml:space="preserve">docs/templates/bsa/06-change-request.md</w:t>
      </w:r>
      <w:r>
        <w:t xml:space="preserve">). If past entries may have used the wrong data, tell the Manager; any correction of a past entry is filed by the broker on [COMPANY: trade compliance lead]'s decision.</w:t>
      </w:r>
    </w:p>
    <w:bookmarkEnd w:id="28"/>
    <w:bookmarkStart w:id="29" w:name="part-7-reconciliation"/>
    <w:p>
      <w:pPr>
        <w:pStyle w:val="Heading3"/>
      </w:pPr>
      <w:r>
        <w:t xml:space="preserve">Part 7: Reconciliation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records (same filter)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or explained by excluded records in the cleansing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Records by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 per country]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 per country]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Distinct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total (sum of a numeric field, or of HTS numbers as a hash total)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 or [COMPANY: tolerance] for amounts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Blanks in required target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check, field by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[25 random + all edge cases]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[Matches]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[Mismatches]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Edge cases to include in every sample: HTS chapters 01 to 09; descriptions with accented characters; the longest descriptions (truncation); items classified in all three countries; USMCA-flagged items; classifications changed in the last 90 days; the earliest and latest dates.</w:t>
      </w:r>
    </w:p>
    <w:p>
      <w:pPr>
        <w:pStyle w:val="BodyText"/>
      </w:pPr>
      <w:r>
        <w:t xml:space="preserve">Re-run every check after each test load and at cutover. Keep the queries, results, date and load ID together; they are UAT and audit evidence.</w:t>
      </w:r>
    </w:p>
    <w:bookmarkEnd w:id="29"/>
    <w:bookmarkStart w:id="30" w:name="part-8-sign-off"/>
    <w:p>
      <w:pPr>
        <w:pStyle w:val="Heading3"/>
      </w:pPr>
      <w:r>
        <w:t xml:space="preserve">Part 8: Sign-off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owner (business)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[Approved, Approved with conditions, Rejected]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BSA maker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[Senior]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[Review complete; findings closed]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e2open data or integration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name]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30"/>
    <w:bookmarkEnd w:id="31"/>
    <w:bookmarkStart w:id="32" w:name="filled-example-illustrative"/>
    <w:p>
      <w:pPr>
        <w:pStyle w:val="Heading2"/>
      </w:pPr>
      <w:r>
        <w:t xml:space="preserve">Filled example (illustrative)</w:t>
      </w:r>
    </w:p>
    <w:p>
      <w:pPr>
        <w:pStyle w:val="FirstParagraph"/>
      </w:pPr>
      <w:r>
        <w:t xml:space="preserve">Product classification master, AS400 to e2open. Field and file names stay as [COMPANY: ...] until the AS400 data dictionary and the e2open load template are in hand. Counts are illustrative.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ID and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DM-RES-01 v0.3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classification 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AS400 trade system: [COMPANY: item classification file]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e2open GTM: [COMPANY: product classification load template]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migration load, then e2open becomes the 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 scope (filter)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items; countries US, CA, MX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number +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 and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A; Senior</w:t>
            </w:r>
          </w:p>
        </w:tc>
      </w:tr>
    </w:tbl>
    <w:p>
      <w:pPr>
        <w:pStyle w:val="BodyText"/>
      </w:pPr>
      <w:r>
        <w:t xml:space="preserve">Table A: field mapping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file/table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field (type)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field (type, required?)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item classification file]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item number field] (CHAR 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ID (text, 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country field] (CHAR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country (code, 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Lookup VM-01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HTS field] (numeric, 10 digits, 0 decimals)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 number (text 10, 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 to text; Pad to 10 digits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classification date field] (numeric 7, CYYMMDD)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Effective-from date (date,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 CYYMMDD to YYYY-MM-DD; 0 becomes blank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item master file]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origin field] (CHAR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 of origin (code, 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USMCA flag] (CHAR 1, Y or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agreement qualification (separate object)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migrated as a flag; see VM-02 and open question</w:t>
            </w:r>
          </w:p>
        </w:tc>
      </w:tr>
    </w:tbl>
    <w:p>
      <w:pPr>
        <w:pStyle w:val="BodyText"/>
      </w:pPr>
      <w:r>
        <w:t xml:space="preserve">Table B: data quality and open questions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quality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with country; must exist in the Oracle item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US, CA, 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(profiling found only those three)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digits after padding; exists in the current schedule for that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HTS numeric for all three countries, or only for US?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AS400 system owner]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date, not in the 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0 mean "never set" or "set before the field existed"?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ISO code; not blank for active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item data owner]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Y needs a qualification record and a current certification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e2open scope include USMCA qualification and supplier certification collection?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e2open project lead]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</w:tbl>
    <w:p>
      <w:pPr>
        <w:pStyle w:val="BodyText"/>
      </w:pPr>
      <w:r>
        <w:t xml:space="preserve">Value map VM-02 shows why a single Y/N flag cannot move as is: the same claim is coded differently in each country.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Value map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US: SPI "S", or "S+" where the HTSUS gives different treatment by partner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USMCA claim on the US 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HTSUS General Note 3(c)(i); the broker enters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CA: tariff treatment code 10 (UST) or 11 (MXT)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CUSMA claim on the Canadian accounting declaration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 or MXT depends on the CUSMA Tariff Preference Regulations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MX: [COMPANY: confirm the pedimento coding with the agente aduanal]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T-MEC claim on the pedimento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confirmed 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or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 the non-preferential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Blank needs a source fix</w:t>
            </w:r>
          </w:p>
        </w:tc>
      </w:tr>
    </w:tbl>
    <w:p>
      <w:pPr>
        <w:pStyle w:val="BodyText"/>
      </w:pPr>
      <w:r>
        <w:t xml:space="preserve">Cleansing log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and record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and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DQ-01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 US rows with 9 digits (leading zero lost, chapters 01 to 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in transform (Pad); also fix the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A; [COMPANY: AS400 system owner]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DQ-02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rows whose HTS number is not in the current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at source: Research reclassifies (Hire A maker, Senior checker, change request)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DQ-03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active items with blank 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at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item data owner]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DQ-04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items (18 rows) not in the Oracle item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Exclude; list archived with the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Done, approved</w:t>
            </w:r>
          </w:p>
        </w:tc>
      </w:tr>
    </w:tbl>
    <w:p>
      <w:pPr>
        <w:pStyle w:val="BodyText"/>
      </w:pPr>
      <w:r>
        <w:t xml:space="preserve">Reconciliation after test load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Tolerance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records (active, 3 countries)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Explained by DQ-04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Records for 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Explained by DQ-04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Blanks in required target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Sample: 25 random + 15 edge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Fail: a 1990s date loaded as 2090s (century digit misread). Logged as DQ-05</w:t>
            </w:r>
          </w:p>
        </w:tc>
      </w:tr>
    </w:tbl>
    <w:bookmarkEnd w:id="32"/>
    <w:bookmarkStart w:id="33" w:name="quality-checklist-before-you-send"/>
    <w:p>
      <w:pPr>
        <w:pStyle w:val="Heading2"/>
      </w:pPr>
      <w:r>
        <w:t xml:space="preserve">Quality checklist before you send</w:t>
      </w:r>
    </w:p>
    <w:p>
      <w:pPr>
        <w:numPr>
          <w:ilvl w:val="0"/>
          <w:numId w:val="1007"/>
        </w:numPr>
        <w:pStyle w:val="Compact"/>
      </w:pPr>
      <w:r>
        <w:t xml:space="preserve">☐ One object and one direction per spec; header complete, including key, scope and data owner.</w:t>
      </w:r>
    </w:p>
    <w:p>
      <w:pPr>
        <w:numPr>
          <w:ilvl w:val="0"/>
          <w:numId w:val="1007"/>
        </w:numPr>
        <w:pStyle w:val="Compact"/>
      </w:pPr>
      <w:r>
        <w:t xml:space="preserve">☐ Target field names come from the e2open data dictionary or load template, or are marked TBC.</w:t>
      </w:r>
    </w:p>
    <w:p>
      <w:pPr>
        <w:numPr>
          <w:ilvl w:val="0"/>
          <w:numId w:val="1007"/>
        </w:numPr>
        <w:pStyle w:val="Compact"/>
      </w:pPr>
      <w:r>
        <w:t xml:space="preserve">☐ The source was profiled before mapping, and the profiling results are saved with their date.</w:t>
      </w:r>
    </w:p>
    <w:p>
      <w:pPr>
        <w:numPr>
          <w:ilvl w:val="0"/>
          <w:numId w:val="1007"/>
        </w:numPr>
        <w:pStyle w:val="Compact"/>
      </w:pPr>
      <w:r>
        <w:t xml:space="preserve">☐ Every target field has a row (mapped, derived, defaulted or not migrated, with a reason).</w:t>
      </w:r>
    </w:p>
    <w:p>
      <w:pPr>
        <w:numPr>
          <w:ilvl w:val="0"/>
          <w:numId w:val="1007"/>
        </w:numPr>
        <w:pStyle w:val="Compact"/>
      </w:pPr>
      <w:r>
        <w:t xml:space="preserve">☐ Transform rules use the standard vocabulary and are specific enough to code from.</w:t>
      </w:r>
    </w:p>
    <w:p>
      <w:pPr>
        <w:numPr>
          <w:ilvl w:val="0"/>
          <w:numId w:val="1007"/>
        </w:numPr>
        <w:pStyle w:val="Compact"/>
      </w:pPr>
      <w:r>
        <w:t xml:space="preserve">☐ Every coded field has a complete value map, including blanks.</w:t>
      </w:r>
    </w:p>
    <w:p>
      <w:pPr>
        <w:numPr>
          <w:ilvl w:val="0"/>
          <w:numId w:val="1007"/>
        </w:numPr>
        <w:pStyle w:val="Compact"/>
      </w:pPr>
      <w:r>
        <w:t xml:space="preserve">☐ Every Map ID has a data quality rule; open questions have an owner.</w:t>
      </w:r>
    </w:p>
    <w:p>
      <w:pPr>
        <w:numPr>
          <w:ilvl w:val="0"/>
          <w:numId w:val="1007"/>
        </w:numPr>
        <w:pStyle w:val="Compact"/>
      </w:pPr>
      <w:r>
        <w:t xml:space="preserve">☐ HTS numbers are text, the right length per country, with leading zeros kept.</w:t>
      </w:r>
    </w:p>
    <w:p>
      <w:pPr>
        <w:numPr>
          <w:ilvl w:val="0"/>
          <w:numId w:val="1007"/>
        </w:numPr>
        <w:pStyle w:val="Compact"/>
      </w:pPr>
      <w:r>
        <w:t xml:space="preserve">☐ Classification, value and origin corrections are routed through Research, a checker and a change request.</w:t>
      </w:r>
    </w:p>
    <w:p>
      <w:pPr>
        <w:numPr>
          <w:ilvl w:val="0"/>
          <w:numId w:val="1007"/>
        </w:numPr>
        <w:pStyle w:val="Compact"/>
      </w:pPr>
      <w:r>
        <w:t xml:space="preserve">☐ The reconciliation covers counts, a control total and a sample with edge cases, and every difference is explained.</w:t>
      </w:r>
    </w:p>
    <w:p>
      <w:pPr>
        <w:numPr>
          <w:ilvl w:val="0"/>
          <w:numId w:val="1007"/>
        </w:numPr>
        <w:pStyle w:val="Compact"/>
      </w:pPr>
      <w:r>
        <w:t xml:space="preserve">☐ The Senior's review is recorded and the data owner has signed the current version.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2026-10-08T15:43:49Z</dcterms:created>
  <dcterms:modified xsi:type="dcterms:W3CDTF">2026-10-08T15:43:49Z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