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short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82"/>
        <w:gridCol w:w="1523"/>
        <w:gridCol w:w="900"/>
        <w:gridCol w:w="5454"/>
      </w:tblGrid>
      <w:tr>
        <w:trPr>
          <w:tblHeader w:val="true"/>
        </w:trP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modules for both:</w:t>
      </w:r>
      <w:r>
        <w:t xml:space="preserve"> </w:t>
      </w:r>
      <w:r>
        <w:t xml:space="preserve">M0 orientation, M1 customs, M2 trade systems, M3 data and analytics (with analytics depth in W7–W9: KPI design, star-schema model, DAX measures, variance statistics), M4 BSA fundamentals (W2–W3) and craft, M6 custom tools, M10 e2open, and three newer modules: M11 Copilot Chat for BSA work (W1 onward), M12 data platform (team database, SSMS, DBeaver on Oracle EBS read-only, Power BI, Power Automate, Power Apps, the remote server; W1–W6, then ongoing) and M13 SDLC and change delivery (W5–W6, applied in W8 and on e2open). Their self-study comes out of the existing self-study time.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fundamentals and craft, Copilot Chat rules, the data platform walkthrough, SDLC coaching on the owned tool,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5–8 h guided (about 9–10 h in W1–W2, about 5 h in W10–W13);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53"/>
        <w:gridCol w:w="4472"/>
        <w:gridCol w:w="1212"/>
        <w:gridCol w:w="2021"/>
      </w:tblGrid>
      <w:tr>
        <w:trPr>
          <w:tblHeader w:val="true"/>
        </w:trP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Manager shared session (M2, M4, M10, drill debrief; in W4 also the 15-minute M11 Copilot use-log review; in W12 the kickoff debrief, on the day after the kickoff)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office hours (questions in by 12:00; in W3 the slot is small-analysis scoping, 15 minutes for Hire B, then 15 for Hire A)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W5, W6, W9,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2 (W4: 13:00–14:00 small-analysis SQL review)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Teach-back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p>
      <w:pPr>
        <w:pStyle w:val="BodyText"/>
      </w:pPr>
      <w:r>
        <w:rPr>
          <w:bCs/>
          <w:b/>
        </w:rPr>
        <w:t xml:space="preserve">Holiday Fridays:</w:t>
      </w:r>
      <w:r>
        <w:t xml:space="preserve"> </w:t>
      </w:r>
      <w:r>
        <w:t xml:space="preserve">when Friday is not a working day (W6 Fri 11/27, assumed off; W10 Fri 12/25; W11 Fri 1/1), the Friday self-report, the 1:1s and the teach-back (W10 only; there is none in W6 or W11) move to the last working day of that week, at the Friday times ([COMPANY: confirm holiday calendar]). In W6 that is Wed 11/25, and the 1:1s run 15:00–15:30 and 15:30–16:00, after tool coaching. The 1:1s are never skipped in these weeks.</w:t>
      </w:r>
    </w:p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3630"/>
        <w:gridCol w:w="2070"/>
        <w:gridCol w:w="184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M0 orientation; M1 US customs; M2 systems landscape; M3 Exercises 1–2; M11 Copilot setup and rules; M12 safe-use rules (before any SSMS or DBeaver use) and the data landscape tour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Canada, Mexico, USMCA, classification; M2 AS400 data flow; M12 data platform walkthrough; M4 BSA fundamentals; M6 inventory; Copilot use log starts; first teach-back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valuation, USMCA origin; reading a tariff action; M2 Oracle and broker data; M4 intake with stakeholder list and elicitation plan by Fri 11/6; SSMS lab starts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M5R kickoff; stakeholder intros; scope the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IMMEX, Anexo 24 and 30; M4 process mapping; classification worksheet due Wed 11/11; Copilot use-log review Wed 11/11; SSMS lab reviewed Thu 11/12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Knowledge check Mon 11/16; day-30 review Wed 11/18; M7 exports overview; M13 SDLC primer Parts 1–4; Power Platform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No new core content; exports item 1; supervised owned-tool run; test copy set up; SDLC applied to the owned tool; server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Joint tariff drill part 1; M3 Power BI and warehouse depth; Exercise 9 (KPI design); M4 data mapping and UAT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Drill part 2 (checker demo); test-copy tool change (change request with environments, test evidence and rollback); Exercise 10 (star schema); exports item 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Day-60 review Fri 12/18; M10 prep; M8 report inventory; Exercise 11 (variance statistics) by Thu 12/17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Should criteria are expected (a Should rated 1 or 2 gets a catch-up action in the next 1:1) but do not change it;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numPr>
          <w:ilvl w:val="0"/>
          <w:numId w:val="1004"/>
        </w:numPr>
        <w:pStyle w:val="Compact"/>
      </w:pPr>
      <w:r>
        <w:t xml:space="preserve">A30-11 (Must): data platform safe-use rules followed; SSMS lab finished and reviewed. A30-12, A30-13 (Should): 5 reviewed Copilot uses; stakeholder list and elicitation plan on the small analysis intake.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p>
      <w:pPr>
        <w:numPr>
          <w:ilvl w:val="0"/>
          <w:numId w:val="1005"/>
        </w:numPr>
        <w:pStyle w:val="Compact"/>
      </w:pPr>
      <w:r>
        <w:t xml:space="preserve">B30-11 to B30-13: same data platform Must and the same two Should criteria as Hire A.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numPr>
          <w:ilvl w:val="0"/>
          <w:numId w:val="1006"/>
        </w:numPr>
        <w:pStyle w:val="Compact"/>
      </w:pPr>
      <w:r>
        <w:t xml:space="preserve">A60-9 (Should): analytics Exercises 9 and 10 reviewed, Exercise 11 submitted.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p>
      <w:pPr>
        <w:numPr>
          <w:ilvl w:val="0"/>
          <w:numId w:val="1007"/>
        </w:numPr>
        <w:pStyle w:val="Compact"/>
      </w:pPr>
      <w:r>
        <w:t xml:space="preserve">B60-9 (Should): same analytics depth bar as Hire A.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numPr>
          <w:ilvl w:val="0"/>
          <w:numId w:val="1008"/>
        </w:numPr>
        <w:pStyle w:val="Compact"/>
      </w:pPr>
      <w:r>
        <w:t xml:space="preserve">A90-10 (Should): 3 of your own entries in the team Copilot prompt library, each reviewed by the Manager.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p>
      <w:pPr>
        <w:numPr>
          <w:ilvl w:val="0"/>
          <w:numId w:val="1009"/>
        </w:numPr>
        <w:pStyle w:val="Compact"/>
      </w:pPr>
      <w:r>
        <w:t xml:space="preserve">B90-10 (Should): same Copilot prompt library bar as Hire A.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Oracle EBS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checkpoint, and the checker reviews each draft on the same business day it is submitted (from the checker's review or buffer time), with nothing released before that review;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platform:</w:t>
      </w:r>
      <w:r>
        <w:t xml:space="preserve"> </w:t>
      </w:r>
      <w:r>
        <w:t xml:space="preserve">your personal login for all interactive work, never the service account; Oracle EBS read-only; loads only into [COMPANY: sandbox or staging schema in the team database]; no schema changes; no production write before the day-60 review (</w:t>
      </w:r>
      <w:r>
        <w:rPr>
          <w:rStyle w:val="VerbatimChar"/>
        </w:rPr>
        <w:t xml:space="preserve">docs/primers/data-platform-primer.md</w:t>
      </w:r>
      <w:r>
        <w:t xml:space="preserve"> </w:t>
      </w:r>
      <w:r>
        <w:t xml:space="preserve">Part 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Copilot Chat:</w:t>
      </w:r>
      <w:r>
        <w:t xml:space="preserve"> </w:t>
      </w:r>
      <w:r>
        <w:t xml:space="preserve">its output is a draft; maker-checker and primary sources still apply, and Copilot is never cited as a source (</w:t>
      </w:r>
      <w:r>
        <w:rPr>
          <w:rStyle w:val="VerbatimChar"/>
        </w:rPr>
        <w:t xml:space="preserve">docs/primers/copilot-chat-guide.md</w:t>
      </w:r>
      <w:r>
        <w:t xml:space="preserve"> </w:t>
      </w:r>
      <w:r>
        <w:t xml:space="preserve">Part 2).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analyses, SOPs and Copilot use logs (only Reviewed and Published docs in the shared section). The team Copilot prompt library is a page in [COMPANY: team OneNote section for the prompt library], where each entry carries its own status, such as Proposed or Reviewed (</w:t>
      </w:r>
      <w:r>
        <w:rPr>
          <w:rStyle w:val="VerbatimChar"/>
        </w:rPr>
        <w:t xml:space="preserve">docs/templates/knowledge/copilot-prompt-library.md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 The hires do not get the key before the day-30 review; after it, the Manager decides whether to share the key, without its Exercise 9–11 sections. The generator and those sections stay trainer-only until the day-60 review.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2026-10-17T11:55:41Z</dcterms:created>
  <dcterms:modified xsi:type="dcterms:W3CDTF">2026-10-17T11:55:41Z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