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Ten recent changes that matter most for us, newest first. The third column names the Part 1 row with the details and sources.</w:t>
      </w:r>
    </w:p>
    <w:tbl>
      <w:tblPr>
        <w:tblStyle w:val="Table"/>
        <w:tblW w:type="dxa" w:w="9360"/>
        <w:tblLook w:firstRow="1" w:lastRow="0" w:firstColumn="0" w:lastColumn="0" w:noHBand="0" w:noVBand="0" w:val="0020"/>
        <w:jc w:val="start"/>
        <w:tblLayout w:type="fixed"/>
      </w:tblPr>
      <w:tblGrid>
        <w:gridCol w:w="1380"/>
        <w:gridCol w:w="4895"/>
        <w:gridCol w:w="900"/>
        <w:gridCol w:w="2185"/>
      </w:tblGrid>
      <w:tr>
        <w:trPr>
          <w:tblHeader w:val="true"/>
        </w:trPr>
        <w:tc>
          <w:tcPr>
            <w:tcW w:w="1380" w:type="dxa"/>
          </w:tcPr>
          <w:p>
            <w:pPr>
              <w:pStyle w:val="Compact"/>
              <w:jc w:val="left"/>
            </w:pPr>
            <w:r>
              <w:t xml:space="preserve">Date</w:t>
            </w:r>
          </w:p>
        </w:tc>
        <w:tc>
          <w:tcPr>
            <w:tcW w:w="4895" w:type="dxa"/>
          </w:tcPr>
          <w:p>
            <w:pPr>
              <w:pStyle w:val="Compact"/>
              <w:jc w:val="left"/>
            </w:pPr>
            <w:r>
              <w:t xml:space="preserve">What changed</w:t>
            </w:r>
          </w:p>
        </w:tc>
        <w:tc>
          <w:tcPr>
            <w:tcW w:w="900" w:type="dxa"/>
          </w:tcPr>
          <w:p>
            <w:pPr>
              <w:pStyle w:val="Compact"/>
              <w:jc w:val="left"/>
            </w:pPr>
            <w:r>
              <w:t xml:space="preserve">Part 1 row</w:t>
            </w:r>
          </w:p>
        </w:tc>
        <w:tc>
          <w:tcPr>
            <w:tcW w:w="2185" w:type="dxa"/>
          </w:tcPr>
          <w:p>
            <w:pPr>
              <w:pStyle w:val="Compact"/>
              <w:jc w:val="left"/>
            </w:pPr>
            <w:r>
              <w:t xml:space="preserve">Confidence</w:t>
            </w:r>
          </w:p>
        </w:tc>
      </w:tr>
      <w:tr>
        <w:tc>
          <w:tcPr>
            <w:tcW w:w="1380" w:type="dxa"/>
          </w:tcPr>
          <w:p>
            <w:pPr>
              <w:pStyle w:val="Compact"/>
              <w:jc w:val="left"/>
            </w:pPr>
            <w:r>
              <w:t xml:space="preserve">2026-10-07</w:t>
            </w:r>
          </w:p>
        </w:tc>
        <w:tc>
          <w:tcPr>
            <w:tcW w:w="4895" w:type="dxa"/>
          </w:tcPr>
          <w:p>
            <w:pPr>
              <w:pStyle w:val="Compact"/>
              <w:jc w:val="left"/>
            </w:pPr>
            <w:r>
              <w:t xml:space="preserve">USTR keeps the 2018 China Section 301 actions (Lists 1 to 4A) in effect past their four-year anniversaries; the second four-year review continues</w:t>
            </w:r>
          </w:p>
        </w:tc>
        <w:tc>
          <w:tcPr>
            <w:tcW w:w="900" w:type="dxa"/>
          </w:tcPr>
          <w:p>
            <w:pPr>
              <w:pStyle w:val="Compact"/>
              <w:jc w:val="left"/>
            </w:pPr>
            <w:r>
              <w:t xml:space="preserve">US-4</w:t>
            </w:r>
          </w:p>
        </w:tc>
        <w:tc>
          <w:tcPr>
            <w:tcW w:w="2185" w:type="dxa"/>
          </w:tcPr>
          <w:p>
            <w:pPr>
              <w:pStyle w:val="Compact"/>
              <w:jc w:val="left"/>
            </w:pPr>
            <w:r>
              <w:t xml:space="preserve">Confirmed</w:t>
            </w:r>
          </w:p>
        </w:tc>
      </w:tr>
      <w:tr>
        <w:tc>
          <w:tcPr>
            <w:tcW w:w="1380" w:type="dxa"/>
          </w:tcPr>
          <w:p>
            <w:pPr>
              <w:pStyle w:val="Compact"/>
              <w:jc w:val="left"/>
            </w:pPr>
            <w:r>
              <w:t xml:space="preserve">2026-10-06</w:t>
            </w:r>
          </w:p>
        </w:tc>
        <w:tc>
          <w:tcPr>
            <w:tcW w:w="4895" w:type="dxa"/>
          </w:tcPr>
          <w:p>
            <w:pPr>
              <w:pStyle w:val="Compact"/>
              <w:jc w:val="left"/>
            </w:pPr>
            <w:r>
              <w:t xml:space="preserve">CAPE Phase 3 (IEEPA refunds on finally liquidated entries, Court of International Trade plaintiffs only) was scheduled to open; launch not confirmed</w:t>
            </w:r>
          </w:p>
        </w:tc>
        <w:tc>
          <w:tcPr>
            <w:tcW w:w="900" w:type="dxa"/>
          </w:tcPr>
          <w:p>
            <w:pPr>
              <w:pStyle w:val="Compact"/>
              <w:jc w:val="left"/>
            </w:pPr>
            <w:r>
              <w:t xml:space="preserve">US-1</w:t>
            </w:r>
          </w:p>
        </w:tc>
        <w:tc>
          <w:tcPr>
            <w:tcW w:w="2185" w:type="dxa"/>
          </w:tcPr>
          <w:p>
            <w:pPr>
              <w:pStyle w:val="Compact"/>
              <w:jc w:val="left"/>
            </w:pPr>
            <w:r>
              <w:t xml:space="preserve">Unclear</w:t>
            </w:r>
          </w:p>
        </w:tc>
      </w:tr>
      <w:tr>
        <w:tc>
          <w:tcPr>
            <w:tcW w:w="1380" w:type="dxa"/>
          </w:tcPr>
          <w:p>
            <w:pPr>
              <w:pStyle w:val="Compact"/>
              <w:jc w:val="left"/>
            </w:pPr>
            <w:r>
              <w:t xml:space="preserve">2026-10-05</w:t>
            </w:r>
          </w:p>
        </w:tc>
        <w:tc>
          <w:tcPr>
            <w:tcW w:w="4895" w:type="dxa"/>
          </w:tcPr>
          <w:p>
            <w:pPr>
              <w:pStyle w:val="Compact"/>
              <w:jc w:val="left"/>
            </w:pPr>
            <w:r>
              <w:t xml:space="preserve">USTR asks for comments for the 2027 USMCA annual joint review; deadline 2027-01-12</w:t>
            </w:r>
          </w:p>
        </w:tc>
        <w:tc>
          <w:tcPr>
            <w:tcW w:w="900" w:type="dxa"/>
          </w:tcPr>
          <w:p>
            <w:pPr>
              <w:pStyle w:val="Compact"/>
              <w:jc w:val="left"/>
            </w:pPr>
            <w:r>
              <w:t xml:space="preserve">1.5</w:t>
            </w:r>
          </w:p>
        </w:tc>
        <w:tc>
          <w:tcPr>
            <w:tcW w:w="2185" w:type="dxa"/>
          </w:tcPr>
          <w:p>
            <w:pPr>
              <w:pStyle w:val="Compact"/>
              <w:jc w:val="left"/>
            </w:pPr>
            <w:r>
              <w:t xml:space="preserve">Confirmed</w:t>
            </w:r>
          </w:p>
        </w:tc>
      </w:tr>
      <w:tr>
        <w:tc>
          <w:tcPr>
            <w:tcW w:w="1380" w:type="dxa"/>
          </w:tcPr>
          <w:p>
            <w:pPr>
              <w:pStyle w:val="Compact"/>
              <w:jc w:val="left"/>
            </w:pPr>
            <w:r>
              <w:t xml:space="preserve">2026-10-02</w:t>
            </w:r>
          </w:p>
        </w:tc>
        <w:tc>
          <w:tcPr>
            <w:tcW w:w="4895" w:type="dxa"/>
          </w:tcPr>
          <w:p>
            <w:pPr>
              <w:pStyle w:val="Compact"/>
              <w:jc w:val="left"/>
            </w:pPr>
            <w:r>
              <w:t xml:space="preserve">Mexico: electronic value declaration (MVE) filing deadline extended to 2026-10-31; mandatory transmission by regime from 2026-11-01 to 2027-01-15 (advance version of the third 2026 RGCE modifying resolution)</w:t>
            </w:r>
          </w:p>
        </w:tc>
        <w:tc>
          <w:tcPr>
            <w:tcW w:w="900" w:type="dxa"/>
          </w:tcPr>
          <w:p>
            <w:pPr>
              <w:pStyle w:val="Compact"/>
              <w:jc w:val="left"/>
            </w:pPr>
            <w:r>
              <w:t xml:space="preserve">1.4</w:t>
            </w:r>
          </w:p>
        </w:tc>
        <w:tc>
          <w:tcPr>
            <w:tcW w:w="2185" w:type="dxa"/>
          </w:tcPr>
          <w:p>
            <w:pPr>
              <w:pStyle w:val="Compact"/>
              <w:jc w:val="left"/>
            </w:pPr>
            <w:r>
              <w:t xml:space="preserve">Confirmed (announced dates); Unclear (final DOF text)</w:t>
            </w:r>
          </w:p>
        </w:tc>
      </w:tr>
      <w:tr>
        <w:tc>
          <w:tcPr>
            <w:tcW w:w="1380" w:type="dxa"/>
          </w:tcPr>
          <w:p>
            <w:pPr>
              <w:pStyle w:val="Compact"/>
              <w:jc w:val="left"/>
            </w:pPr>
            <w:r>
              <w:t xml:space="preserve">2026-10-01</w:t>
            </w:r>
          </w:p>
        </w:tc>
        <w:tc>
          <w:tcPr>
            <w:tcW w:w="4895" w:type="dxa"/>
          </w:tcPr>
          <w:p>
            <w:pPr>
              <w:pStyle w:val="Compact"/>
              <w:jc w:val="left"/>
            </w:pPr>
            <w:r>
              <w:t xml:space="preserve">Fiscal year 2027 MPF minimum $34.58 and maximum $670.86 in effect</w:t>
            </w:r>
          </w:p>
        </w:tc>
        <w:tc>
          <w:tcPr>
            <w:tcW w:w="900" w:type="dxa"/>
          </w:tcPr>
          <w:p>
            <w:pPr>
              <w:pStyle w:val="Compact"/>
              <w:jc w:val="left"/>
            </w:pPr>
            <w:r>
              <w:t xml:space="preserve">US-9</w:t>
            </w:r>
          </w:p>
        </w:tc>
        <w:tc>
          <w:tcPr>
            <w:tcW w:w="2185" w:type="dxa"/>
          </w:tcPr>
          <w:p>
            <w:pPr>
              <w:pStyle w:val="Compact"/>
              <w:jc w:val="left"/>
            </w:pPr>
            <w:r>
              <w:t xml:space="preserve">Confirmed</w:t>
            </w:r>
          </w:p>
        </w:tc>
      </w:tr>
      <w:tr>
        <w:tc>
          <w:tcPr>
            <w:tcW w:w="1380" w:type="dxa"/>
          </w:tcPr>
          <w:p>
            <w:pPr>
              <w:pStyle w:val="Compact"/>
              <w:jc w:val="left"/>
            </w:pPr>
            <w:r>
              <w:t xml:space="preserve">2026-09-29</w:t>
            </w:r>
          </w:p>
        </w:tc>
        <w:tc>
          <w:tcPr>
            <w:tcW w:w="4895" w:type="dxa"/>
          </w:tcPr>
          <w:p>
            <w:pPr>
              <w:pStyle w:val="Compact"/>
              <w:jc w:val="left"/>
            </w:pPr>
            <w:r>
              <w:t xml:space="preserve">US import ban on some listed Canadian products (Section 338); Section 232 pharmaceutical duties now apply to all companies; Mexico publishes the list of cancelled IMMEX programs</w:t>
            </w:r>
          </w:p>
        </w:tc>
        <w:tc>
          <w:tcPr>
            <w:tcW w:w="900" w:type="dxa"/>
          </w:tcPr>
          <w:p>
            <w:pPr>
              <w:pStyle w:val="Compact"/>
              <w:jc w:val="left"/>
            </w:pPr>
            <w:r>
              <w:t xml:space="preserve">US-5, US-3, 1.4</w:t>
            </w:r>
          </w:p>
        </w:tc>
        <w:tc>
          <w:tcPr>
            <w:tcW w:w="2185" w:type="dxa"/>
          </w:tcPr>
          <w:p>
            <w:pPr>
              <w:pStyle w:val="Compact"/>
              <w:jc w:val="left"/>
            </w:pPr>
            <w:r>
              <w:t xml:space="preserve">Confirmed (ban, pharmaceuticals); Reported (IMMEX list)</w:t>
            </w:r>
          </w:p>
        </w:tc>
      </w:tr>
      <w:tr>
        <w:tc>
          <w:tcPr>
            <w:tcW w:w="1380" w:type="dxa"/>
          </w:tcPr>
          <w:p>
            <w:pPr>
              <w:pStyle w:val="Compact"/>
              <w:jc w:val="left"/>
            </w:pPr>
            <w:r>
              <w:t xml:space="preserve">2026-09-15</w:t>
            </w:r>
          </w:p>
        </w:tc>
        <w:tc>
          <w:tcPr>
            <w:tcW w:w="4895" w:type="dxa"/>
          </w:tcPr>
          <w:p>
            <w:pPr>
              <w:pStyle w:val="Compact"/>
              <w:jc w:val="left"/>
            </w:pPr>
            <w:r>
              <w:t xml:space="preserve">Section 338 product lists changed: 122 HTS lines added, some removed; only dairy-list goods may still claim the Section 232 exemption line</w:t>
            </w:r>
          </w:p>
        </w:tc>
        <w:tc>
          <w:tcPr>
            <w:tcW w:w="900" w:type="dxa"/>
          </w:tcPr>
          <w:p>
            <w:pPr>
              <w:pStyle w:val="Compact"/>
              <w:jc w:val="left"/>
            </w:pPr>
            <w:r>
              <w:t xml:space="preserve">US-5, US-8</w:t>
            </w:r>
          </w:p>
        </w:tc>
        <w:tc>
          <w:tcPr>
            <w:tcW w:w="2185" w:type="dxa"/>
          </w:tcPr>
          <w:p>
            <w:pPr>
              <w:pStyle w:val="Compact"/>
              <w:jc w:val="left"/>
            </w:pPr>
            <w:r>
              <w:t xml:space="preserve">Confirmed</w:t>
            </w:r>
          </w:p>
        </w:tc>
      </w:tr>
      <w:tr>
        <w:tc>
          <w:tcPr>
            <w:tcW w:w="1380" w:type="dxa"/>
          </w:tcPr>
          <w:p>
            <w:pPr>
              <w:pStyle w:val="Compact"/>
              <w:jc w:val="left"/>
            </w:pPr>
            <w:r>
              <w:t xml:space="preserve">2026-09-08</w:t>
            </w:r>
          </w:p>
        </w:tc>
        <w:tc>
          <w:tcPr>
            <w:tcW w:w="4895" w:type="dxa"/>
          </w:tcPr>
          <w:p>
            <w:pPr>
              <w:pStyle w:val="Compact"/>
              <w:jc w:val="left"/>
            </w:pPr>
            <w:r>
              <w:t xml:space="preserve">Canada: United States Surtax Order (2026) at 15%, 25% or 50% on about C$27.6 billion of US goods; steel and aluminum counter-tariff raised from 25% to 50% for most goods</w:t>
            </w:r>
          </w:p>
        </w:tc>
        <w:tc>
          <w:tcPr>
            <w:tcW w:w="900" w:type="dxa"/>
          </w:tcPr>
          <w:p>
            <w:pPr>
              <w:pStyle w:val="Compact"/>
              <w:jc w:val="left"/>
            </w:pPr>
            <w:r>
              <w:t xml:space="preserve">1.3</w:t>
            </w:r>
          </w:p>
        </w:tc>
        <w:tc>
          <w:tcPr>
            <w:tcW w:w="2185" w:type="dxa"/>
          </w:tcPr>
          <w:p>
            <w:pPr>
              <w:pStyle w:val="Compact"/>
              <w:jc w:val="left"/>
            </w:pPr>
            <w:r>
              <w:t xml:space="preserve">Confirmed</w:t>
            </w:r>
          </w:p>
        </w:tc>
      </w:tr>
      <w:tr>
        <w:tc>
          <w:tcPr>
            <w:tcW w:w="1380" w:type="dxa"/>
          </w:tcPr>
          <w:p>
            <w:pPr>
              <w:pStyle w:val="Compact"/>
              <w:jc w:val="left"/>
            </w:pPr>
            <w:r>
              <w:t xml:space="preserve">2026-09-03</w:t>
            </w:r>
          </w:p>
        </w:tc>
        <w:tc>
          <w:tcPr>
            <w:tcW w:w="4895" w:type="dxa"/>
          </w:tcPr>
          <w:p>
            <w:pPr>
              <w:pStyle w:val="Compact"/>
              <w:jc w:val="left"/>
            </w:pPr>
            <w:r>
              <w:t xml:space="preserve">Section 232 duties on drones (UAS) and components start</w:t>
            </w:r>
          </w:p>
        </w:tc>
        <w:tc>
          <w:tcPr>
            <w:tcW w:w="900" w:type="dxa"/>
          </w:tcPr>
          <w:p>
            <w:pPr>
              <w:pStyle w:val="Compact"/>
              <w:jc w:val="left"/>
            </w:pPr>
            <w:r>
              <w:t xml:space="preserve">US-3</w:t>
            </w:r>
          </w:p>
        </w:tc>
        <w:tc>
          <w:tcPr>
            <w:tcW w:w="2185" w:type="dxa"/>
          </w:tcPr>
          <w:p>
            <w:pPr>
              <w:pStyle w:val="Compact"/>
              <w:jc w:val="left"/>
            </w:pPr>
            <w:r>
              <w:t xml:space="preserve">Confirmed</w:t>
            </w:r>
          </w:p>
        </w:tc>
      </w:tr>
      <w:tr>
        <w:tc>
          <w:tcPr>
            <w:tcW w:w="1380" w:type="dxa"/>
          </w:tcPr>
          <w:p>
            <w:pPr>
              <w:pStyle w:val="Compact"/>
              <w:jc w:val="left"/>
            </w:pPr>
            <w:r>
              <w:t xml:space="preserve">2026-09-01</w:t>
            </w:r>
          </w:p>
        </w:tc>
        <w:tc>
          <w:tcPr>
            <w:tcW w:w="4895" w:type="dxa"/>
          </w:tcPr>
          <w:p>
            <w:pPr>
              <w:pStyle w:val="Compact"/>
              <w:jc w:val="left"/>
            </w:pPr>
            <w:r>
              <w:t xml:space="preserve">Mexico cancels IMMEX programs that did not file their 2025 annual report</w:t>
            </w:r>
          </w:p>
        </w:tc>
        <w:tc>
          <w:tcPr>
            <w:tcW w:w="900" w:type="dxa"/>
          </w:tcPr>
          <w:p>
            <w:pPr>
              <w:pStyle w:val="Compact"/>
              <w:jc w:val="left"/>
            </w:pPr>
            <w:r>
              <w:t xml:space="preserve">1.4</w:t>
            </w:r>
          </w:p>
        </w:tc>
        <w:tc>
          <w:tcPr>
            <w:tcW w:w="2185" w:type="dxa"/>
          </w:tcPr>
          <w:p>
            <w:pPr>
              <w:pStyle w:val="Compact"/>
              <w:jc w:val="left"/>
            </w:pPr>
            <w:r>
              <w:t xml:space="preserve">Confirmed</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Section 338 duties of 50% on listed goods of Canada, whether or not they qualify for USMCA, started 2026-08-22 (US-5).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(the last working day of the week when Friday is a holiday; see 2.4)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38"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dxa" w:w="9360"/>
        <w:tblLook w:firstRow="1" w:lastRow="0" w:firstColumn="0" w:lastColumn="0" w:noHBand="0" w:noVBand="0" w:val="0020"/>
        <w:jc w:val="start"/>
        <w:tblLayout w:type="fixed"/>
      </w:tblPr>
      <w:tblGrid>
        <w:gridCol w:w="900"/>
        <w:gridCol w:w="3033"/>
        <w:gridCol w:w="3031"/>
        <w:gridCol w:w="1495"/>
        <w:gridCol w:w="900"/>
      </w:tblGrid>
      <w:tr>
        <w:trPr>
          <w:tblHeader w:val="true"/>
        </w:trPr>
        <w:tc>
          <w:tcPr>
            <w:tcW w:w="900" w:type="dxa"/>
          </w:tcPr>
          <w:p>
            <w:pPr>
              <w:pStyle w:val="Compact"/>
              <w:jc w:val="left"/>
            </w:pPr>
            <w:r>
              <w:t xml:space="preserve">#</w:t>
            </w:r>
          </w:p>
        </w:tc>
        <w:tc>
          <w:tcPr>
            <w:tcW w:w="3033" w:type="dxa"/>
          </w:tcPr>
          <w:p>
            <w:pPr>
              <w:pStyle w:val="Compact"/>
              <w:jc w:val="left"/>
            </w:pPr>
            <w:r>
              <w:t xml:space="preserve">Row to confirm</w:t>
            </w:r>
          </w:p>
        </w:tc>
        <w:tc>
          <w:tcPr>
            <w:tcW w:w="3031" w:type="dxa"/>
          </w:tcPr>
          <w:p>
            <w:pPr>
              <w:pStyle w:val="Compact"/>
              <w:jc w:val="left"/>
            </w:pPr>
            <w:r>
              <w:t xml:space="preserve">Primary source to open</w:t>
            </w:r>
          </w:p>
        </w:tc>
        <w:tc>
          <w:tcPr>
            <w:tcW w:w="1495" w:type="dxa"/>
          </w:tcPr>
          <w:p>
            <w:pPr>
              <w:pStyle w:val="Compact"/>
              <w:jc w:val="left"/>
            </w:pPr>
            <w:r>
              <w:t xml:space="preserve">Owner and when</w:t>
            </w:r>
          </w:p>
        </w:tc>
        <w:tc>
          <w:tcPr>
            <w:tcW w:w="900" w:type="dxa"/>
          </w:tcPr>
          <w:p>
            <w:pPr>
              <w:pStyle w:val="Compact"/>
              <w:jc w:val="left"/>
            </w:pPr>
            <w:r>
              <w:t xml:space="preserve">Done</w:t>
            </w:r>
          </w:p>
        </w:tc>
      </w:tr>
      <w:tr>
        <w:tc>
          <w:tcPr>
            <w:tcW w:w="900" w:type="dxa"/>
          </w:tcPr>
          <w:p>
            <w:pPr>
              <w:pStyle w:val="Compact"/>
              <w:jc w:val="left"/>
            </w:pPr>
            <w:r>
              <w:t xml:space="preserve">C1</w:t>
            </w:r>
          </w:p>
        </w:tc>
        <w:tc>
          <w:tcPr>
            <w:tcW w:w="3033" w:type="dxa"/>
          </w:tcPr>
          <w:p>
            <w:pPr>
              <w:pStyle w:val="Compact"/>
              <w:jc w:val="left"/>
            </w:pPr>
            <w:r>
              <w:t xml:space="preserve">Section 338 on goods of Canada: current HTS list and import bans (US-5)</w:t>
            </w:r>
          </w:p>
        </w:tc>
        <w:tc>
          <w:tcPr>
            <w:tcW w:w="3031" w:type="dxa"/>
          </w:tcPr>
          <w:p>
            <w:pPr>
              <w:pStyle w:val="Compact"/>
              <w:jc w:val="left"/>
            </w:pPr>
            <w:r>
              <w:t xml:space="preserve">CBP CSMS 69851916 (scope, HTS list) and CSMS 70050970 (import bans); FR 2026-18835 to 2026-18839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C2</w:t>
            </w:r>
          </w:p>
        </w:tc>
        <w:tc>
          <w:tcPr>
            <w:tcW w:w="3033" w:type="dxa"/>
          </w:tcPr>
          <w:p>
            <w:pPr>
              <w:pStyle w:val="Compact"/>
              <w:jc w:val="left"/>
            </w:pPr>
            <w:r>
              <w:t xml:space="preserve">Section 301 forced-labor duties: Canada and Mexico rates, USMCA lines, Section 232 exclusion (US-2)</w:t>
            </w:r>
          </w:p>
        </w:tc>
        <w:tc>
          <w:tcPr>
            <w:tcW w:w="3031" w:type="dxa"/>
          </w:tcPr>
          <w:p>
            <w:pPr>
              <w:pStyle w:val="Compact"/>
              <w:jc w:val="left"/>
            </w:pPr>
            <w:r>
              <w:t xml:space="preserve">FR 2026-15181; CBP CSMS 69326983</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C3</w:t>
            </w:r>
          </w:p>
        </w:tc>
        <w:tc>
          <w:tcPr>
            <w:tcW w:w="3033" w:type="dxa"/>
          </w:tcPr>
          <w:p>
            <w:pPr>
              <w:pStyle w:val="Compact"/>
              <w:jc w:val="left"/>
            </w:pPr>
            <w:r>
              <w:t xml:space="preserve">Section 232 metals: annex tiers, 15% weight test, full-value base, the Annex I-C list and the USMCA lines (9903.82.20 and 9903.82.21 for steel; find the aluminum lines) (US-3)</w:t>
            </w:r>
          </w:p>
        </w:tc>
        <w:tc>
          <w:tcPr>
            <w:tcW w:w="3031" w:type="dxa"/>
          </w:tcPr>
          <w:p>
            <w:pPr>
              <w:pStyle w:val="Compact"/>
              <w:jc w:val="left"/>
            </w:pPr>
            <w:r>
              <w:t xml:space="preserve">FR 2026-06960 and 2026-11314 (with the Annex I-C list); CBP CSMS 68253075 and 68855869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C4</w:t>
            </w:r>
          </w:p>
        </w:tc>
        <w:tc>
          <w:tcPr>
            <w:tcW w:w="3033" w:type="dxa"/>
          </w:tcPr>
          <w:p>
            <w:pPr>
              <w:pStyle w:val="Compact"/>
              <w:jc w:val="left"/>
            </w:pPr>
            <w:r>
              <w:t xml:space="preserve">IEEPA refunds: CAPE phases, Phase 3 launch (US-1)</w:t>
            </w:r>
          </w:p>
        </w:tc>
        <w:tc>
          <w:tcPr>
            <w:tcW w:w="3031" w:type="dxa"/>
          </w:tcPr>
          <w:p>
            <w:pPr>
              <w:pStyle w:val="Compact"/>
              <w:jc w:val="left"/>
            </w:pPr>
            <w:hyperlink r:id="rId24">
              <w:r>
                <w:rPr>
                  <w:rStyle w:val="Hyperlink"/>
                </w:rPr>
                <w:t xml:space="preserve">https://www.cbp.gov/trade/programs-administration/trade-remedies/ieepa-duty-refunds</w:t>
              </w:r>
            </w:hyperlink>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C5</w:t>
            </w:r>
          </w:p>
        </w:tc>
        <w:tc>
          <w:tcPr>
            <w:tcW w:w="3033" w:type="dxa"/>
          </w:tcPr>
          <w:p>
            <w:pPr>
              <w:pStyle w:val="Compact"/>
              <w:jc w:val="left"/>
            </w:pPr>
            <w:r>
              <w:t xml:space="preserve">Section 301 China exclusions ending 2026-11-09 (US-4)</w:t>
            </w:r>
          </w:p>
        </w:tc>
        <w:tc>
          <w:tcPr>
            <w:tcW w:w="3031" w:type="dxa"/>
          </w:tcPr>
          <w:p>
            <w:pPr>
              <w:pStyle w:val="Compact"/>
              <w:jc w:val="left"/>
            </w:pPr>
            <w:r>
              <w:t xml:space="preserve">FR 2025-21671; USTR Section 301 page</w:t>
            </w:r>
          </w:p>
        </w:tc>
        <w:tc>
          <w:tcPr>
            <w:tcW w:w="1495" w:type="dxa"/>
          </w:tcPr>
          <w:p>
            <w:pPr>
              <w:pStyle w:val="Compact"/>
              <w:jc w:val="left"/>
            </w:pPr>
            <w:r>
              <w:t xml:space="preserve">Hire A, by Fri 11/6</w:t>
            </w:r>
          </w:p>
        </w:tc>
        <w:tc>
          <w:tcPr>
            <w:tcW w:w="900" w:type="dxa"/>
          </w:tcPr>
          <w:p>
            <w:pPr>
              <w:pStyle w:val="Compact"/>
              <w:jc w:val="left"/>
            </w:pPr>
            <w:r>
              <w:t xml:space="preserve">[ ]</w:t>
            </w:r>
          </w:p>
        </w:tc>
      </w:tr>
      <w:tr>
        <w:tc>
          <w:tcPr>
            <w:tcW w:w="900" w:type="dxa"/>
          </w:tcPr>
          <w:p>
            <w:pPr>
              <w:pStyle w:val="Compact"/>
              <w:jc w:val="left"/>
            </w:pPr>
            <w:r>
              <w:t xml:space="preserve">C6</w:t>
            </w:r>
          </w:p>
        </w:tc>
        <w:tc>
          <w:tcPr>
            <w:tcW w:w="3033" w:type="dxa"/>
          </w:tcPr>
          <w:p>
            <w:pPr>
              <w:pStyle w:val="Compact"/>
              <w:jc w:val="left"/>
            </w:pPr>
            <w:r>
              <w:t xml:space="preserve">Canada: United States Surtax Order (2026) and the steel and aluminum increase (1.3)</w:t>
            </w:r>
          </w:p>
        </w:tc>
        <w:tc>
          <w:tcPr>
            <w:tcW w:w="3031" w:type="dxa"/>
          </w:tcPr>
          <w:p>
            <w:pPr>
              <w:pStyle w:val="Compact"/>
              <w:jc w:val="left"/>
            </w:pPr>
            <w:r>
              <w:t xml:space="preserve">SOR/2026-186; CBSA CN 26-23; Finance Canada complete list</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C7</w:t>
            </w:r>
          </w:p>
        </w:tc>
        <w:tc>
          <w:tcPr>
            <w:tcW w:w="3033" w:type="dxa"/>
          </w:tcPr>
          <w:p>
            <w:pPr>
              <w:pStyle w:val="Compact"/>
              <w:jc w:val="left"/>
            </w:pPr>
            <w:r>
              <w:t xml:space="preserve">Mexico: MVE dates and IMMEX cancellations (1.4)</w:t>
            </w:r>
          </w:p>
        </w:tc>
        <w:tc>
          <w:tcPr>
            <w:tcW w:w="3031" w:type="dxa"/>
          </w:tcPr>
          <w:p>
            <w:pPr>
              <w:pStyle w:val="Compact"/>
              <w:jc w:val="left"/>
            </w:pPr>
            <w:r>
              <w:t xml:space="preserve">SAT, ANAM and ATDT release on the MVE; DOF avisos of 2026-06-30 and 2026-09-29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C8</w:t>
            </w:r>
          </w:p>
        </w:tc>
        <w:tc>
          <w:tcPr>
            <w:tcW w:w="3033" w:type="dxa"/>
          </w:tcPr>
          <w:p>
            <w:pPr>
              <w:pStyle w:val="Compact"/>
              <w:jc w:val="left"/>
            </w:pPr>
            <w:r>
              <w:t xml:space="preserve">USMCA 2027 review comment deadline (1.5)</w:t>
            </w:r>
          </w:p>
        </w:tc>
        <w:tc>
          <w:tcPr>
            <w:tcW w:w="3031" w:type="dxa"/>
          </w:tcPr>
          <w:p>
            <w:pPr>
              <w:pStyle w:val="Compact"/>
              <w:jc w:val="left"/>
            </w:pPr>
            <w:r>
              <w:t xml:space="preserve">FR 2026-20341</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C9</w:t>
            </w:r>
          </w:p>
        </w:tc>
        <w:tc>
          <w:tcPr>
            <w:tcW w:w="3033" w:type="dxa"/>
          </w:tcPr>
          <w:p>
            <w:pPr>
              <w:pStyle w:val="Compact"/>
              <w:jc w:val="left"/>
            </w:pPr>
            <w:r>
              <w:t xml:space="preserve">MPF fiscal year 2027 amounts (US-9)</w:t>
            </w:r>
          </w:p>
        </w:tc>
        <w:tc>
          <w:tcPr>
            <w:tcW w:w="3031" w:type="dxa"/>
          </w:tcPr>
          <w:p>
            <w:pPr>
              <w:pStyle w:val="Compact"/>
              <w:jc w:val="left"/>
            </w:pPr>
            <w:r>
              <w:t xml:space="preserve">FR 2026-15530</w:t>
            </w:r>
          </w:p>
        </w:tc>
        <w:tc>
          <w:tcPr>
            <w:tcW w:w="1495" w:type="dxa"/>
          </w:tcPr>
          <w:p>
            <w:pPr>
              <w:pStyle w:val="Compact"/>
              <w:jc w:val="left"/>
            </w:pPr>
            <w:r>
              <w:t xml:space="preserve">Hire B, W3 (needed for the W4 landed-cost rebuild)</w:t>
            </w:r>
          </w:p>
        </w:tc>
        <w:tc>
          <w:tcPr>
            <w:tcW w:w="900" w:type="dxa"/>
          </w:tcPr>
          <w:p>
            <w:pPr>
              <w:pStyle w:val="Compact"/>
              <w:jc w:val="left"/>
            </w:pPr>
            <w:r>
              <w:t xml:space="preserve">[ ]</w:t>
            </w:r>
          </w:p>
        </w:tc>
      </w:tr>
      <w:tr>
        <w:tc>
          <w:tcPr>
            <w:tcW w:w="900" w:type="dxa"/>
          </w:tcPr>
          <w:p>
            <w:pPr>
              <w:pStyle w:val="Compact"/>
              <w:jc w:val="left"/>
            </w:pPr>
            <w:r>
              <w:t xml:space="preserve">C10</w:t>
            </w:r>
          </w:p>
        </w:tc>
        <w:tc>
          <w:tcPr>
            <w:tcW w:w="3033" w:type="dxa"/>
          </w:tcPr>
          <w:p>
            <w:pPr>
              <w:pStyle w:val="Compact"/>
              <w:jc w:val="left"/>
            </w:pPr>
            <w:r>
              <w:t xml:space="preserve">Rows marked Unclear (for example Section 122 drawback in US-10, Nicaragua stacking in US-4, CUSMA treatment of the 2026 Canadian surtax in 1.3) and the Section 122 appeal (US-2)</w:t>
            </w:r>
          </w:p>
        </w:tc>
        <w:tc>
          <w:tcPr>
            <w:tcW w:w="3031" w:type="dxa"/>
          </w:tcPr>
          <w:p>
            <w:pPr>
              <w:pStyle w:val="Compact"/>
              <w:jc w:val="left"/>
            </w:pPr>
            <w:r>
              <w:t xml:space="preserve">Sources named in each row</w:t>
            </w:r>
          </w:p>
        </w:tc>
        <w:tc>
          <w:tcPr>
            <w:tcW w:w="1495" w:type="dxa"/>
          </w:tcPr>
          <w:p>
            <w:pPr>
              <w:pStyle w:val="Compact"/>
              <w:jc w:val="left"/>
            </w:pPr>
            <w:r>
              <w:t xml:space="preserve">Hire A, raised in Senior office hours (Wed 15:00), W3 or W4</w:t>
            </w:r>
          </w:p>
        </w:tc>
        <w:tc>
          <w:tcPr>
            <w:tcW w:w="900" w:type="dxa"/>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dxa" w:w="9360"/>
        <w:tblLook w:firstRow="1" w:lastRow="0" w:firstColumn="0" w:lastColumn="0" w:noHBand="0" w:noVBand="0" w:val="0020"/>
        <w:jc w:val="start"/>
        <w:tblLayout w:type="fixed"/>
      </w:tblPr>
      <w:tblGrid>
        <w:gridCol w:w="900"/>
        <w:gridCol w:w="3936"/>
        <w:gridCol w:w="1842"/>
        <w:gridCol w:w="1781"/>
        <w:gridCol w:w="900"/>
      </w:tblGrid>
      <w:tr>
        <w:trPr>
          <w:tblHeader w:val="true"/>
        </w:trPr>
        <w:tc>
          <w:tcPr>
            <w:tcW w:w="900" w:type="dxa"/>
          </w:tcPr>
          <w:p>
            <w:pPr>
              <w:pStyle w:val="Compact"/>
              <w:jc w:val="left"/>
            </w:pPr>
            <w:r>
              <w:t xml:space="preserve">#</w:t>
            </w:r>
          </w:p>
        </w:tc>
        <w:tc>
          <w:tcPr>
            <w:tcW w:w="3936" w:type="dxa"/>
          </w:tcPr>
          <w:p>
            <w:pPr>
              <w:pStyle w:val="Compact"/>
              <w:jc w:val="left"/>
            </w:pPr>
            <w:r>
              <w:t xml:space="preserve">Check</w:t>
            </w:r>
          </w:p>
        </w:tc>
        <w:tc>
          <w:tcPr>
            <w:tcW w:w="1842" w:type="dxa"/>
          </w:tcPr>
          <w:p>
            <w:pPr>
              <w:pStyle w:val="Compact"/>
              <w:jc w:val="left"/>
            </w:pPr>
            <w:r>
              <w:t xml:space="preserve">Why now</w:t>
            </w:r>
          </w:p>
        </w:tc>
        <w:tc>
          <w:tcPr>
            <w:tcW w:w="1781" w:type="dxa"/>
          </w:tcPr>
          <w:p>
            <w:pPr>
              <w:pStyle w:val="Compact"/>
              <w:jc w:val="left"/>
            </w:pPr>
            <w:r>
              <w:t xml:space="preserve">Owner</w:t>
            </w:r>
          </w:p>
        </w:tc>
        <w:tc>
          <w:tcPr>
            <w:tcW w:w="900" w:type="dxa"/>
          </w:tcPr>
          <w:p>
            <w:pPr>
              <w:pStyle w:val="Compact"/>
              <w:jc w:val="left"/>
            </w:pPr>
            <w:r>
              <w:t xml:space="preserve">Done</w:t>
            </w:r>
          </w:p>
        </w:tc>
      </w:tr>
      <w:tr>
        <w:tc>
          <w:tcPr>
            <w:tcW w:w="900" w:type="dxa"/>
          </w:tcPr>
          <w:p>
            <w:pPr>
              <w:pStyle w:val="Compact"/>
              <w:jc w:val="left"/>
            </w:pPr>
            <w:r>
              <w:t xml:space="preserve">E1</w:t>
            </w:r>
          </w:p>
        </w:tc>
        <w:tc>
          <w:tcPr>
            <w:tcW w:w="3936" w:type="dxa"/>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tcW w:w="1842" w:type="dxa"/>
          </w:tcPr>
          <w:p>
            <w:pPr>
              <w:pStyle w:val="Compact"/>
              <w:jc w:val="left"/>
            </w:pPr>
            <w:r>
              <w:t xml:space="preserve">Phase 1 eligibility depends on liquidation timing</w:t>
            </w:r>
          </w:p>
        </w:tc>
        <w:tc>
          <w:tcPr>
            <w:tcW w:w="1781" w:type="dxa"/>
          </w:tcPr>
          <w:p>
            <w:pPr>
              <w:pStyle w:val="Compact"/>
              <w:jc w:val="left"/>
            </w:pPr>
            <w:r>
              <w:t xml:space="preserve">Manager with [COMPANY: who owns the refund project] and trade counsel</w:t>
            </w:r>
          </w:p>
        </w:tc>
        <w:tc>
          <w:tcPr>
            <w:tcW w:w="900" w:type="dxa"/>
          </w:tcPr>
          <w:p>
            <w:pPr>
              <w:pStyle w:val="Compact"/>
              <w:jc w:val="left"/>
            </w:pPr>
            <w:r>
              <w:t xml:space="preserve">[ ]</w:t>
            </w:r>
          </w:p>
        </w:tc>
      </w:tr>
      <w:tr>
        <w:tc>
          <w:tcPr>
            <w:tcW w:w="900" w:type="dxa"/>
          </w:tcPr>
          <w:p>
            <w:pPr>
              <w:pStyle w:val="Compact"/>
              <w:jc w:val="left"/>
            </w:pPr>
            <w:r>
              <w:t xml:space="preserve">E2</w:t>
            </w:r>
          </w:p>
        </w:tc>
        <w:tc>
          <w:tcPr>
            <w:tcW w:w="3936" w:type="dxa"/>
          </w:tcPr>
          <w:p>
            <w:pPr>
              <w:pStyle w:val="Compact"/>
              <w:jc w:val="left"/>
            </w:pPr>
            <w:r>
              <w:t xml:space="preserve">Section 338: do we import any listed Canadian goods into the US; is any of them banned since 2026-09-29</w:t>
            </w:r>
          </w:p>
        </w:tc>
        <w:tc>
          <w:tcPr>
            <w:tcW w:w="1842" w:type="dxa"/>
          </w:tcPr>
          <w:p>
            <w:pPr>
              <w:pStyle w:val="Compact"/>
              <w:jc w:val="left"/>
            </w:pPr>
            <w:r>
              <w:t xml:space="preserve">50% duty or no entry at all</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E3</w:t>
            </w:r>
          </w:p>
        </w:tc>
        <w:tc>
          <w:tcPr>
            <w:tcW w:w="3936" w:type="dxa"/>
          </w:tcPr>
          <w:p>
            <w:pPr>
              <w:pStyle w:val="Compact"/>
              <w:jc w:val="left"/>
            </w:pPr>
            <w:r>
              <w:t xml:space="preserve">Section 301 forced labor: our Canadian and Mexican entries since 2026-07-24 without a USMCA claim; China items now 12.5% higher</w:t>
            </w:r>
          </w:p>
        </w:tc>
        <w:tc>
          <w:tcPr>
            <w:tcW w:w="1842" w:type="dxa"/>
          </w:tcPr>
          <w:p>
            <w:pPr>
              <w:pStyle w:val="Compact"/>
              <w:jc w:val="left"/>
            </w:pPr>
            <w:r>
              <w:t xml:space="preserve">10% paid on goods that could have entered free</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E4</w:t>
            </w:r>
          </w:p>
        </w:tc>
        <w:tc>
          <w:tcPr>
            <w:tcW w:w="3936" w:type="dxa"/>
          </w:tcPr>
          <w:p>
            <w:pPr>
              <w:pStyle w:val="Compact"/>
              <w:jc w:val="left"/>
            </w:pPr>
            <w:r>
              <w:t xml:space="preserve">Canada: our imports of US-origin goods on the 2026 surtax lists; remission eligibility</w:t>
            </w:r>
          </w:p>
        </w:tc>
        <w:tc>
          <w:tcPr>
            <w:tcW w:w="1842" w:type="dxa"/>
          </w:tcPr>
          <w:p>
            <w:pPr>
              <w:pStyle w:val="Compact"/>
              <w:jc w:val="left"/>
            </w:pPr>
            <w:r>
              <w:t xml:space="preserve">Surtax of 15% to 50% since 2026-09-08</w:t>
            </w:r>
          </w:p>
        </w:tc>
        <w:tc>
          <w:tcPr>
            <w:tcW w:w="1781" w:type="dxa"/>
          </w:tcPr>
          <w:p>
            <w:pPr>
              <w:pStyle w:val="Compact"/>
              <w:jc w:val="left"/>
            </w:pPr>
            <w:r>
              <w:t xml:space="preserve">Manager, with the Canadian broker</w:t>
            </w:r>
          </w:p>
        </w:tc>
        <w:tc>
          <w:tcPr>
            <w:tcW w:w="900" w:type="dxa"/>
          </w:tcPr>
          <w:p>
            <w:pPr>
              <w:pStyle w:val="Compact"/>
              <w:jc w:val="left"/>
            </w:pPr>
            <w:r>
              <w:t xml:space="preserve">[ ]</w:t>
            </w:r>
          </w:p>
        </w:tc>
      </w:tr>
      <w:tr>
        <w:tc>
          <w:tcPr>
            <w:tcW w:w="900" w:type="dxa"/>
          </w:tcPr>
          <w:p>
            <w:pPr>
              <w:pStyle w:val="Compact"/>
              <w:jc w:val="left"/>
            </w:pPr>
            <w:r>
              <w:t xml:space="preserve">E5</w:t>
            </w:r>
          </w:p>
        </w:tc>
        <w:tc>
          <w:tcPr>
            <w:tcW w:w="3936" w:type="dxa"/>
          </w:tcPr>
          <w:p>
            <w:pPr>
              <w:pStyle w:val="Compact"/>
              <w:jc w:val="left"/>
            </w:pPr>
            <w:r>
              <w:t xml:space="preserve">Section 301 China: items relying on an exclusion that ends 2026-11-09</w:t>
            </w:r>
          </w:p>
        </w:tc>
        <w:tc>
          <w:tcPr>
            <w:tcW w:w="1842" w:type="dxa"/>
          </w:tcPr>
          <w:p>
            <w:pPr>
              <w:pStyle w:val="Compact"/>
              <w:jc w:val="left"/>
            </w:pPr>
            <w:r>
              <w:t xml:space="preserve">Duty from 2026-11-10 unless extended</w:t>
            </w:r>
          </w:p>
        </w:tc>
        <w:tc>
          <w:tcPr>
            <w:tcW w:w="1781" w:type="dxa"/>
          </w:tcPr>
          <w:p>
            <w:pPr>
              <w:pStyle w:val="Compact"/>
              <w:jc w:val="left"/>
            </w:pPr>
            <w:r>
              <w:t xml:space="preserve">Manager</w:t>
            </w:r>
          </w:p>
        </w:tc>
        <w:tc>
          <w:tcPr>
            <w:tcW w:w="900" w:type="dxa"/>
          </w:tcPr>
          <w:p>
            <w:pPr>
              <w:pStyle w:val="Compact"/>
              <w:jc w:val="left"/>
            </w:pPr>
            <w:r>
              <w:t xml:space="preserve">[ ]</w:t>
            </w:r>
          </w:p>
        </w:tc>
      </w:tr>
      <w:tr>
        <w:tc>
          <w:tcPr>
            <w:tcW w:w="900" w:type="dxa"/>
          </w:tcPr>
          <w:p>
            <w:pPr>
              <w:pStyle w:val="Compact"/>
              <w:jc w:val="left"/>
            </w:pPr>
            <w:r>
              <w:t xml:space="preserve">E6</w:t>
            </w:r>
          </w:p>
        </w:tc>
        <w:tc>
          <w:tcPr>
            <w:tcW w:w="3936" w:type="dxa"/>
          </w:tcPr>
          <w:p>
            <w:pPr>
              <w:pStyle w:val="Compact"/>
              <w:jc w:val="left"/>
            </w:pPr>
            <w:r>
              <w:t xml:space="preserve">Mexico: our IMMEX program is active, the 2025 annual report was filed, and we are not on the 2026-09-29 cancellation list; MVE readiness with the agente aduanal</w:t>
            </w:r>
          </w:p>
        </w:tc>
        <w:tc>
          <w:tcPr>
            <w:tcW w:w="1842" w:type="dxa"/>
          </w:tcPr>
          <w:p>
            <w:pPr>
              <w:pStyle w:val="Compact"/>
              <w:jc w:val="left"/>
            </w:pPr>
            <w:r>
              <w:t xml:space="preserve">Cancellations from 2026-09-01; MVE phases from 2026-11-01</w:t>
            </w:r>
          </w:p>
        </w:tc>
        <w:tc>
          <w:tcPr>
            <w:tcW w:w="1781" w:type="dxa"/>
          </w:tcPr>
          <w:p>
            <w:pPr>
              <w:pStyle w:val="Compact"/>
              <w:jc w:val="left"/>
            </w:pPr>
            <w:r>
              <w:t xml:space="preserve">Manager, with the agente aduanal</w:t>
            </w:r>
          </w:p>
        </w:tc>
        <w:tc>
          <w:tcPr>
            <w:tcW w:w="900" w:type="dxa"/>
          </w:tcPr>
          <w:p>
            <w:pPr>
              <w:pStyle w:val="Compact"/>
              <w:jc w:val="left"/>
            </w:pPr>
            <w:r>
              <w:t xml:space="preserve">[ ]</w:t>
            </w:r>
          </w:p>
        </w:tc>
      </w:tr>
    </w:tbl>
    <w:bookmarkEnd w:id="25"/>
    <w:bookmarkStart w:id="95"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dxa" w:w="9360"/>
        <w:tblLook w:firstRow="1" w:lastRow="0" w:firstColumn="0" w:lastColumn="0" w:noHBand="0" w:noVBand="0" w:val="0020"/>
        <w:jc w:val="start"/>
        <w:tblLayout w:type="fixed"/>
      </w:tblPr>
      <w:tblGrid>
        <w:gridCol w:w="1333"/>
        <w:gridCol w:w="1524"/>
        <w:gridCol w:w="1714"/>
        <w:gridCol w:w="1822"/>
        <w:gridCol w:w="1822"/>
        <w:gridCol w:w="1143"/>
      </w:tblGrid>
      <w:tr>
        <w:trPr>
          <w:tblHeader w:val="true"/>
        </w:trPr>
        <w:tc>
          <w:tcPr>
            <w:tcW w:w="1333" w:type="dxa"/>
          </w:tcPr>
          <w:p>
            <w:pPr>
              <w:pStyle w:val="Compact"/>
              <w:jc w:val="left"/>
            </w:pPr>
            <w:r>
              <w:t xml:space="preserve">Action</w:t>
            </w:r>
          </w:p>
        </w:tc>
        <w:tc>
          <w:tcPr>
            <w:tcW w:w="1524" w:type="dxa"/>
          </w:tcPr>
          <w:p>
            <w:pPr>
              <w:pStyle w:val="Compact"/>
              <w:jc w:val="left"/>
            </w:pPr>
            <w:r>
              <w:t xml:space="preserve">Authority</w:t>
            </w:r>
          </w:p>
        </w:tc>
        <w:tc>
          <w:tcPr>
            <w:tcW w:w="1714" w:type="dxa"/>
          </w:tcPr>
          <w:p>
            <w:pPr>
              <w:pStyle w:val="Compact"/>
              <w:jc w:val="left"/>
            </w:pPr>
            <w:r>
              <w:t xml:space="preserve">Scope</w:t>
            </w:r>
          </w:p>
        </w:tc>
        <w:tc>
          <w:tcPr>
            <w:tcW w:w="1822" w:type="dxa"/>
          </w:tcPr>
          <w:p>
            <w:pPr>
              <w:pStyle w:val="Compact"/>
              <w:jc w:val="left"/>
            </w:pPr>
            <w:r>
              <w:t xml:space="preserve">Status as of 2026-10-08</w:t>
            </w:r>
          </w:p>
        </w:tc>
        <w:tc>
          <w:tcPr>
            <w:tcW w:w="1822" w:type="dxa"/>
          </w:tcPr>
          <w:p>
            <w:pPr>
              <w:pStyle w:val="Compact"/>
              <w:jc w:val="left"/>
            </w:pPr>
            <w:r>
              <w:t xml:space="preserve">Source (date)</w:t>
            </w:r>
          </w:p>
        </w:tc>
        <w:tc>
          <w:tcPr>
            <w:tcW w:w="1143" w:type="dxa"/>
          </w:tcPr>
          <w:p>
            <w:pPr>
              <w:pStyle w:val="Compact"/>
              <w:jc w:val="left"/>
            </w:pPr>
            <w:r>
              <w:t xml:space="preserve">Confidence</w:t>
            </w:r>
          </w:p>
        </w:tc>
      </w:tr>
      <w:tr>
        <w:tc>
          <w:tcPr>
            <w:tcW w:w="1333" w:type="dxa"/>
          </w:tcPr>
          <w:p>
            <w:pPr>
              <w:pStyle w:val="Compact"/>
              <w:jc w:val="left"/>
            </w:pPr>
            <w:r>
              <w:t xml:space="preserve">"Fentanyl and border" duties on goods of Canada and Mexico</w:t>
            </w:r>
          </w:p>
        </w:tc>
        <w:tc>
          <w:tcPr>
            <w:tcW w:w="1524" w:type="dxa"/>
          </w:tcPr>
          <w:p>
            <w:pPr>
              <w:pStyle w:val="Compact"/>
              <w:jc w:val="left"/>
            </w:pPr>
            <w:r>
              <w:t xml:space="preserve">IEEPA (50 U.S.C. 1701 and following); EO 14193 (Canada) and EO 14194 (Mexico), 2025-02-01, as amended</w:t>
            </w:r>
          </w:p>
        </w:tc>
        <w:tc>
          <w:tcPr>
            <w:tcW w:w="1714" w:type="dxa"/>
          </w:tcPr>
          <w:p>
            <w:pPr>
              <w:pStyle w:val="Compact"/>
              <w:jc w:val="left"/>
            </w:pPr>
            <w:r>
              <w:t xml:space="preserve">25% from 2025-03-04 (Canadian energy and potash 10%). USMCA-qualifying goods exempt from 2025-03-07. Canada raised to 35% from 2025-08-01</w:t>
            </w:r>
          </w:p>
        </w:tc>
        <w:tc>
          <w:tcPr>
            <w:tcW w:w="1822" w:type="dxa"/>
          </w:tcPr>
          <w:p>
            <w:pPr>
              <w:pStyle w:val="Compact"/>
              <w:jc w:val="left"/>
            </w:pPr>
            <w:r>
              <w:t xml:space="preserve">Ended: not collected on goods entered on or after 12:00 a.m. ET 2026-02-24 (EO 14389; CBP CSMS 67834313). Refunds: see the refunds row</w:t>
            </w:r>
          </w:p>
        </w:tc>
        <w:tc>
          <w:tcPr>
            <w:tcW w:w="1822" w:type="dxa"/>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tcW w:w="1143" w:type="dxa"/>
          </w:tcPr>
          <w:p>
            <w:pPr>
              <w:pStyle w:val="Compact"/>
              <w:jc w:val="left"/>
            </w:pPr>
            <w:r>
              <w:t xml:space="preserve">Confirmed (end); Reported (rate history)</w:t>
            </w:r>
          </w:p>
        </w:tc>
      </w:tr>
      <w:tr>
        <w:tc>
          <w:tcPr>
            <w:tcW w:w="1333" w:type="dxa"/>
          </w:tcPr>
          <w:p>
            <w:pPr>
              <w:pStyle w:val="Compact"/>
              <w:jc w:val="left"/>
            </w:pPr>
            <w:r>
              <w:t xml:space="preserve">"Fentanyl" duty on goods of China, including Hong Kong</w:t>
            </w:r>
          </w:p>
        </w:tc>
        <w:tc>
          <w:tcPr>
            <w:tcW w:w="1524" w:type="dxa"/>
          </w:tcPr>
          <w:p>
            <w:pPr>
              <w:pStyle w:val="Compact"/>
              <w:jc w:val="left"/>
            </w:pPr>
            <w:r>
              <w:t xml:space="preserve">IEEPA; EO 14195, 2025-02-01, as amended</w:t>
            </w:r>
          </w:p>
        </w:tc>
        <w:tc>
          <w:tcPr>
            <w:tcW w:w="1714" w:type="dxa"/>
          </w:tcPr>
          <w:p>
            <w:pPr>
              <w:pStyle w:val="Compact"/>
              <w:jc w:val="left"/>
            </w:pPr>
            <w:r>
              <w:t xml:space="preserve">10% from 2025-02-04; 20% from 2025-03-04; 10% from 2025-11-10 under the US-China arrangement</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"Reciprocal" tariffs</w:t>
            </w:r>
          </w:p>
        </w:tc>
        <w:tc>
          <w:tcPr>
            <w:tcW w:w="1524" w:type="dxa"/>
          </w:tcPr>
          <w:p>
            <w:pPr>
              <w:pStyle w:val="Compact"/>
              <w:jc w:val="left"/>
            </w:pPr>
            <w:r>
              <w:t xml:space="preserve">IEEPA; EO 14257, 2025-04-02, as amended (including EO 14326)</w:t>
            </w:r>
          </w:p>
        </w:tc>
        <w:tc>
          <w:tcPr>
            <w:tcW w:w="1714" w:type="dxa"/>
          </w:tcPr>
          <w:p>
            <w:pPr>
              <w:pStyle w:val="Compact"/>
              <w:jc w:val="left"/>
            </w:pPr>
            <w:r>
              <w:t xml:space="preserve">10% baseline from 2025-04-05; country rates from 2025-08-07. Canada and Mexico not covered; goods subject to Section 232 not covered</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Other IEEPA country duties, for example Brazil (40% from 2025-08-06) and India (25% from 2025-08-27)</w:t>
            </w:r>
          </w:p>
        </w:tc>
        <w:tc>
          <w:tcPr>
            <w:tcW w:w="1524" w:type="dxa"/>
          </w:tcPr>
          <w:p>
            <w:pPr>
              <w:pStyle w:val="Compact"/>
              <w:jc w:val="left"/>
            </w:pPr>
            <w:r>
              <w:t xml:space="preserve">IEEPA; EO 14323; EO 14329</w:t>
            </w:r>
          </w:p>
        </w:tc>
        <w:tc>
          <w:tcPr>
            <w:tcW w:w="1714" w:type="dxa"/>
          </w:tcPr>
          <w:p>
            <w:pPr>
              <w:pStyle w:val="Compact"/>
              <w:jc w:val="left"/>
            </w:pPr>
            <w:r>
              <w:t xml:space="preserve">All goods of the country, with listed exceptions</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Supreme Court ruling on IEEPA tariffs</w:t>
            </w:r>
          </w:p>
        </w:tc>
        <w:tc>
          <w:tcPr>
            <w:tcW w:w="1524" w:type="dxa"/>
          </w:tcPr>
          <w:p>
            <w:pPr>
              <w:pStyle w:val="Compact"/>
              <w:jc w:val="left"/>
            </w:pPr>
            <w:r>
              <w:t xml:space="preserve">Learning Resources, Inc. v. Trump (No. 24-1287), decided with Trump v. V.O.S. Selections, Inc. (No. 25-250)</w:t>
            </w:r>
          </w:p>
        </w:tc>
        <w:tc>
          <w:tcPr>
            <w:tcW w:w="1714" w:type="dxa"/>
          </w:tcPr>
          <w:p>
            <w:pPr>
              <w:pStyle w:val="Compact"/>
              <w:jc w:val="left"/>
            </w:pPr>
            <w:r>
              <w:t xml:space="preserve">Whether IEEPA allows the President to impose tariffs</w:t>
            </w:r>
          </w:p>
        </w:tc>
        <w:tc>
          <w:tcPr>
            <w:tcW w:w="1822" w:type="dxa"/>
          </w:tcPr>
          <w:p>
            <w:pPr>
              <w:pStyle w:val="Compact"/>
              <w:jc w:val="left"/>
            </w:pPr>
            <w:r>
              <w:t xml:space="preserve">Decided 2026-02-20, 6-3: IEEPA does not authorize tariffs. Remedies run through CBP's CAPE process and the Court of International Trade (next row)</w:t>
            </w:r>
          </w:p>
        </w:tc>
        <w:tc>
          <w:tcPr>
            <w:tcW w:w="1822" w:type="dxa"/>
          </w:tcPr>
          <w:p>
            <w:pPr>
              <w:pStyle w:val="Compact"/>
              <w:jc w:val="left"/>
            </w:pPr>
            <w:hyperlink r:id="rId27">
              <w:r>
                <w:rPr>
                  <w:rStyle w:val="Hyperlink"/>
                </w:rPr>
                <w:t xml:space="preserve">https://www.supremecourt.gov/opinions/slipopinion/25</w:t>
              </w:r>
            </w:hyperlink>
            <w:r>
              <w:t xml:space="preserve"> </w:t>
            </w:r>
            <w:r>
              <w:t xml:space="preserve">(2026-02-20)</w:t>
            </w:r>
          </w:p>
        </w:tc>
        <w:tc>
          <w:tcPr>
            <w:tcW w:w="1143" w:type="dxa"/>
          </w:tcPr>
          <w:p>
            <w:pPr>
              <w:pStyle w:val="Compact"/>
              <w:jc w:val="left"/>
            </w:pPr>
            <w:r>
              <w:t xml:space="preserve">Confirmed</w:t>
            </w:r>
          </w:p>
        </w:tc>
      </w:tr>
      <w:tr>
        <w:tc>
          <w:tcPr>
            <w:tcW w:w="1333" w:type="dxa"/>
          </w:tcPr>
          <w:p>
            <w:pPr>
              <w:pStyle w:val="Compact"/>
              <w:jc w:val="left"/>
            </w:pPr>
            <w:r>
              <w:t xml:space="preserve">Refunds of IEEPA duties already paid</w:t>
            </w:r>
          </w:p>
        </w:tc>
        <w:tc>
          <w:tcPr>
            <w:tcW w:w="1524" w:type="dxa"/>
          </w:tcPr>
          <w:p>
            <w:pPr>
              <w:pStyle w:val="Compact"/>
              <w:jc w:val="left"/>
            </w:pPr>
            <w:r>
              <w:t xml:space="preserve">CBP's CAPE (Consolidated Administration and Processing of Entries) process in ACE; Court of International Trade orders; protests (19 U.S.C. 1514)</w:t>
            </w:r>
          </w:p>
        </w:tc>
        <w:tc>
          <w:tcPr>
            <w:tcW w:w="1714" w:type="dxa"/>
          </w:tcPr>
          <w:p>
            <w:pPr>
              <w:pStyle w:val="Compact"/>
              <w:jc w:val="left"/>
            </w:pPr>
            <w:r>
              <w:t xml:space="preserve">IEEPA Chapter 99 duties on entries up to 2026-02-23</w:t>
            </w:r>
          </w:p>
        </w:tc>
        <w:tc>
          <w:tcPr>
            <w:tcW w:w="1822" w:type="dxa"/>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tcW w:w="1822" w:type="dxa"/>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tcW w:w="1143" w:type="dxa"/>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dxa" w:w="9360"/>
        <w:tblLook w:firstRow="1" w:lastRow="0" w:firstColumn="0" w:lastColumn="0" w:noHBand="0" w:noVBand="0" w:val="0020"/>
        <w:jc w:val="start"/>
        <w:tblLayout w:type="fixed"/>
      </w:tblPr>
      <w:tblGrid>
        <w:gridCol w:w="1557"/>
        <w:gridCol w:w="1557"/>
        <w:gridCol w:w="1460"/>
        <w:gridCol w:w="1460"/>
        <w:gridCol w:w="1862"/>
        <w:gridCol w:w="1460"/>
      </w:tblGrid>
      <w:tr>
        <w:trPr>
          <w:tblHeader w:val="true"/>
        </w:trPr>
        <w:tc>
          <w:tcPr>
            <w:tcW w:w="1557" w:type="dxa"/>
          </w:tcPr>
          <w:p>
            <w:pPr>
              <w:pStyle w:val="Compact"/>
              <w:jc w:val="left"/>
            </w:pPr>
            <w:r>
              <w:t xml:space="preserve">Action</w:t>
            </w:r>
          </w:p>
        </w:tc>
        <w:tc>
          <w:tcPr>
            <w:tcW w:w="1557" w:type="dxa"/>
          </w:tcPr>
          <w:p>
            <w:pPr>
              <w:pStyle w:val="Compact"/>
              <w:jc w:val="left"/>
            </w:pPr>
            <w:r>
              <w:t xml:space="preserve">Authority</w:t>
            </w:r>
          </w:p>
        </w:tc>
        <w:tc>
          <w:tcPr>
            <w:tcW w:w="1460" w:type="dxa"/>
          </w:tcPr>
          <w:p>
            <w:pPr>
              <w:pStyle w:val="Compact"/>
              <w:jc w:val="left"/>
            </w:pPr>
            <w:r>
              <w:t xml:space="preserve">Scope</w:t>
            </w:r>
          </w:p>
        </w:tc>
        <w:tc>
          <w:tcPr>
            <w:tcW w:w="1460" w:type="dxa"/>
          </w:tcPr>
          <w:p>
            <w:pPr>
              <w:pStyle w:val="Compact"/>
              <w:jc w:val="left"/>
            </w:pPr>
            <w:r>
              <w:t xml:space="preserve">Status as of 2026-10-08</w:t>
            </w:r>
          </w:p>
        </w:tc>
        <w:tc>
          <w:tcPr>
            <w:tcW w:w="1862" w:type="dxa"/>
          </w:tcPr>
          <w:p>
            <w:pPr>
              <w:pStyle w:val="Compact"/>
              <w:jc w:val="left"/>
            </w:pPr>
            <w:r>
              <w:t xml:space="preserve">Source (date)</w:t>
            </w:r>
          </w:p>
        </w:tc>
        <w:tc>
          <w:tcPr>
            <w:tcW w:w="1460" w:type="dxa"/>
          </w:tcPr>
          <w:p>
            <w:pPr>
              <w:pStyle w:val="Compact"/>
              <w:jc w:val="left"/>
            </w:pPr>
            <w:r>
              <w:t xml:space="preserve">Confidence</w:t>
            </w:r>
          </w:p>
        </w:tc>
      </w:tr>
      <w:tr>
        <w:tc>
          <w:tcPr>
            <w:tcW w:w="1557" w:type="dxa"/>
          </w:tcPr>
          <w:p>
            <w:pPr>
              <w:pStyle w:val="Compact"/>
              <w:jc w:val="left"/>
            </w:pPr>
            <w:r>
              <w:t xml:space="preserve">Temporary import surcharge (Section 122)</w:t>
            </w:r>
          </w:p>
        </w:tc>
        <w:tc>
          <w:tcPr>
            <w:tcW w:w="1557" w:type="dxa"/>
          </w:tcPr>
          <w:p>
            <w:pPr>
              <w:pStyle w:val="Compact"/>
              <w:jc w:val="left"/>
            </w:pPr>
            <w:r>
              <w:t xml:space="preserve">Trade Act of 1974, section 122 (19 U.S.C. 2132); Proclamation 11012 of 2026-02-20</w:t>
            </w:r>
          </w:p>
        </w:tc>
        <w:tc>
          <w:tcPr>
            <w:tcW w:w="1460" w:type="dxa"/>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tcW w:w="1460" w:type="dxa"/>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tcW w:w="1862" w:type="dxa"/>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tcW w:w="1460" w:type="dxa"/>
          </w:tcPr>
          <w:p>
            <w:pPr>
              <w:pStyle w:val="Compact"/>
              <w:jc w:val="left"/>
            </w:pPr>
            <w:r>
              <w:t xml:space="preserve">Confirmed (terms, end, CIT ruling); Reported (appeal, 15%)</w:t>
            </w:r>
          </w:p>
        </w:tc>
      </w:tr>
      <w:tr>
        <w:tc>
          <w:tcPr>
            <w:tcW w:w="1557" w:type="dxa"/>
          </w:tcPr>
          <w:p>
            <w:pPr>
              <w:pStyle w:val="Compact"/>
              <w:jc w:val="left"/>
            </w:pPr>
            <w:r>
              <w:t xml:space="preserve">Section 301 forced-labor duties on 60 economies</w:t>
            </w:r>
          </w:p>
        </w:tc>
        <w:tc>
          <w:tcPr>
            <w:tcW w:w="1557" w:type="dxa"/>
          </w:tcPr>
          <w:p>
            <w:pPr>
              <w:pStyle w:val="Compact"/>
              <w:jc w:val="left"/>
            </w:pPr>
            <w:r>
              <w:t xml:space="preserve">Section 301 (19 U.S.C. 2411); investigations opened 2026-03-12; determinations 2026-06-02 (FR 2026-11296); presidential memorandum of 2026-07-23 and USTR notice of action (FR 2026-15274 and 2026-15181)</w:t>
            </w:r>
          </w:p>
        </w:tc>
        <w:tc>
          <w:tcPr>
            <w:tcW w:w="1460" w:type="dxa"/>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tcW w:w="1460" w:type="dxa"/>
          </w:tcPr>
          <w:p>
            <w:pPr>
              <w:pStyle w:val="Compact"/>
              <w:jc w:val="left"/>
            </w:pPr>
            <w:r>
              <w:t xml:space="preserve">In force. Replaced the Section 122 surcharge. USTR may modify the action for any economy</w:t>
            </w:r>
          </w:p>
        </w:tc>
        <w:tc>
          <w:tcPr>
            <w:tcW w:w="1862" w:type="dxa"/>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tcW w:w="1460" w:type="dxa"/>
          </w:tcPr>
          <w:p>
            <w:pPr>
              <w:pStyle w:val="Compact"/>
              <w:jc w:val="left"/>
            </w:pPr>
            <w:r>
              <w:t xml:space="preserve">Confirmed</w:t>
            </w:r>
          </w:p>
        </w:tc>
      </w:tr>
      <w:tr>
        <w:tc>
          <w:tcPr>
            <w:tcW w:w="1557" w:type="dxa"/>
          </w:tcPr>
          <w:p>
            <w:pPr>
              <w:pStyle w:val="Compact"/>
              <w:jc w:val="left"/>
            </w:pPr>
            <w:r>
              <w:t xml:space="preserve">Section 301 structural excess capacity investigations of 16 economies, including China and Mexico</w:t>
            </w:r>
          </w:p>
        </w:tc>
        <w:tc>
          <w:tcPr>
            <w:tcW w:w="1557" w:type="dxa"/>
          </w:tcPr>
          <w:p>
            <w:pPr>
              <w:pStyle w:val="Compact"/>
              <w:jc w:val="left"/>
            </w:pPr>
            <w:r>
              <w:t xml:space="preserve">Section 301; initiated 2026-03-11 (FR 2026-05214); hearings 2026-05-05 to 2026-05-08</w:t>
            </w:r>
          </w:p>
        </w:tc>
        <w:tc>
          <w:tcPr>
            <w:tcW w:w="1460" w:type="dxa"/>
          </w:tcPr>
          <w:p>
            <w:pPr>
              <w:pStyle w:val="Compact"/>
              <w:jc w:val="left"/>
            </w:pPr>
            <w:r>
              <w:t xml:space="preserve">Possible duties on manufacturing sectors</w:t>
            </w:r>
          </w:p>
        </w:tc>
        <w:tc>
          <w:tcPr>
            <w:tcW w:w="1460" w:type="dxa"/>
          </w:tcPr>
          <w:p>
            <w:pPr>
              <w:pStyle w:val="Compact"/>
              <w:jc w:val="left"/>
            </w:pPr>
            <w:r>
              <w:t xml:space="preserve">Pending: no determination found as of 2026-10-08</w:t>
            </w:r>
          </w:p>
        </w:tc>
        <w:tc>
          <w:tcPr>
            <w:tcW w:w="1862" w:type="dxa"/>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tcW w:w="1460" w:type="dxa"/>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6" w:name="Xf8ef408e4e4907c4be0f09d1ef3c9eaf61175cf"/>
    <w:p>
      <w:pPr>
        <w:pStyle w:val="Heading4"/>
      </w:pPr>
      <w:r>
        <w:t xml:space="preserve">US-3 Section 232 (Trade Expansion Act of 1962, 19 U.S.C. 1862)</w:t>
      </w:r>
    </w:p>
    <w:tbl>
      <w:tblPr>
        <w:tblStyle w:val="Table"/>
        <w:tblW w:type="dxa" w:w="9360"/>
        <w:tblLook w:firstRow="1" w:lastRow="0" w:firstColumn="0" w:lastColumn="0" w:noHBand="0" w:noVBand="0" w:val="0020"/>
        <w:jc w:val="start"/>
        <w:tblLayout w:type="fixed"/>
      </w:tblPr>
      <w:tblGrid>
        <w:gridCol w:w="1483"/>
        <w:gridCol w:w="1396"/>
        <w:gridCol w:w="1669"/>
        <w:gridCol w:w="1570"/>
        <w:gridCol w:w="1669"/>
        <w:gridCol w:w="1570"/>
      </w:tblGrid>
      <w:tr>
        <w:trPr>
          <w:tblHeader w:val="true"/>
        </w:trPr>
        <w:tc>
          <w:tcPr>
            <w:tcW w:w="1483" w:type="dxa"/>
          </w:tcPr>
          <w:p>
            <w:pPr>
              <w:pStyle w:val="Compact"/>
              <w:jc w:val="left"/>
            </w:pPr>
            <w:r>
              <w:t xml:space="preserve">Action</w:t>
            </w:r>
          </w:p>
        </w:tc>
        <w:tc>
          <w:tcPr>
            <w:tcW w:w="1396" w:type="dxa"/>
          </w:tcPr>
          <w:p>
            <w:pPr>
              <w:pStyle w:val="Compact"/>
              <w:jc w:val="left"/>
            </w:pPr>
            <w:r>
              <w:t xml:space="preserve">Authority</w:t>
            </w:r>
          </w:p>
        </w:tc>
        <w:tc>
          <w:tcPr>
            <w:tcW w:w="1669" w:type="dxa"/>
          </w:tcPr>
          <w:p>
            <w:pPr>
              <w:pStyle w:val="Compact"/>
              <w:jc w:val="left"/>
            </w:pPr>
            <w:r>
              <w:t xml:space="preserve">Scope</w:t>
            </w:r>
          </w:p>
        </w:tc>
        <w:tc>
          <w:tcPr>
            <w:tcW w:w="1570" w:type="dxa"/>
          </w:tcPr>
          <w:p>
            <w:pPr>
              <w:pStyle w:val="Compact"/>
              <w:jc w:val="left"/>
            </w:pPr>
            <w:r>
              <w:t xml:space="preserve">Status as of 2026-10-08</w:t>
            </w:r>
          </w:p>
        </w:tc>
        <w:tc>
          <w:tcPr>
            <w:tcW w:w="1669" w:type="dxa"/>
          </w:tcPr>
          <w:p>
            <w:pPr>
              <w:pStyle w:val="Compact"/>
              <w:jc w:val="left"/>
            </w:pPr>
            <w:r>
              <w:t xml:space="preserve">Source (date)</w:t>
            </w:r>
          </w:p>
        </w:tc>
        <w:tc>
          <w:tcPr>
            <w:tcW w:w="1570" w:type="dxa"/>
          </w:tcPr>
          <w:p>
            <w:pPr>
              <w:pStyle w:val="Compact"/>
              <w:jc w:val="left"/>
            </w:pPr>
            <w:r>
              <w:t xml:space="preserve">Confidence</w:t>
            </w:r>
          </w:p>
        </w:tc>
      </w:tr>
      <w:tr>
        <w:tc>
          <w:tcPr>
            <w:tcW w:w="1483" w:type="dxa"/>
          </w:tcPr>
          <w:p>
            <w:pPr>
              <w:pStyle w:val="Compact"/>
              <w:jc w:val="left"/>
            </w:pPr>
            <w:r>
              <w:t xml:space="preserve">Steel, aluminum and copper articles and derivatives (one regime since 2026-04-06)</w:t>
            </w:r>
          </w:p>
        </w:tc>
        <w:tc>
          <w:tcPr>
            <w:tcW w:w="1396" w:type="dxa"/>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tcW w:w="1669" w:type="dxa"/>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Annex III: temporary 15% cap on the combined column 1 and Section 232 duty for listed industrial and power grid equipment, extended by Proclamation 11032 to agricultural equipment and residential HVAC, until 2027-12-31 (reported). Annex I-C (Proclamation 11032, 2026-06-08 to 2027-12-31): 28 HTS lines of mobile industrial equipment in Chapters 84 and 87 (for example forklifts, bulldozers, graders, mobile cranes, non-agricultural tractors) moved from Annex I-B; 25%, with a 15% combined cap for listed partner countries (reported). No general USMCA exemption. Exception: USMCA-qualifying Annex I-C goods of Canada and Mexico pay 25% only on the non-US content plus any US content above 40% of value (minimum effective 15% of full value), for steel articles filed on two lines, 9903.82.20 (non-US content) and 9903.82.21 (US content up to 40%, 0%); the lines for aluminum Annex I-C articles were not identified (reported; confirm in C3)</w:t>
            </w:r>
          </w:p>
        </w:tc>
        <w:tc>
          <w:tcPr>
            <w:tcW w:w="1570" w:type="dxa"/>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tcW w:w="1669" w:type="dxa"/>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tcW w:w="1570" w:type="dxa"/>
          </w:tcPr>
          <w:p>
            <w:pPr>
              <w:pStyle w:val="Compact"/>
              <w:jc w:val="left"/>
            </w:pPr>
            <w:r>
              <w:t xml:space="preserve">Confirmed (base, tiers, 15% weight test, 85%); Reported (inclusions, once-only rule, Annex III cap, Annex I-C and its USMCA track)</w:t>
            </w:r>
          </w:p>
        </w:tc>
      </w:tr>
      <w:tr>
        <w:tc>
          <w:tcPr>
            <w:tcW w:w="1483" w:type="dxa"/>
          </w:tcPr>
          <w:p>
            <w:pPr>
              <w:pStyle w:val="Compact"/>
              <w:jc w:val="left"/>
            </w:pPr>
            <w:r>
              <w:t xml:space="preserve">Passenger vehicles, light trucks and auto parts</w:t>
            </w:r>
          </w:p>
        </w:tc>
        <w:tc>
          <w:tcPr>
            <w:tcW w:w="1396" w:type="dxa"/>
          </w:tcPr>
          <w:p>
            <w:pPr>
              <w:pStyle w:val="Compact"/>
              <w:jc w:val="left"/>
            </w:pPr>
            <w:r>
              <w:t xml:space="preserve">Proclamation 10908 (2025-03-26), as amended</w:t>
            </w:r>
          </w:p>
        </w:tc>
        <w:tc>
          <w:tcPr>
            <w:tcW w:w="1669" w:type="dxa"/>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submission timelines aligned with the medium and heavy-duty vehicle procedures by FR 2026-16859, 2026-08-19: confirm the validity period and the submission deadline for 2027 imports in the notice). USMCA-qualifying parts are exempt until Commerce sets a process to tax their non-US content</w:t>
            </w:r>
          </w:p>
        </w:tc>
        <w:tc>
          <w:tcPr>
            <w:tcW w:w="1570" w:type="dxa"/>
          </w:tcPr>
          <w:p>
            <w:pPr>
              <w:pStyle w:val="Compact"/>
              <w:jc w:val="left"/>
            </w:pPr>
            <w:r>
              <w:t xml:space="preserve">In force. No process for USMCA parts found as of 2026-10-08</w:t>
            </w:r>
          </w:p>
        </w:tc>
        <w:tc>
          <w:tcPr>
            <w:tcW w:w="1669" w:type="dxa"/>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tcW w:w="1570" w:type="dxa"/>
          </w:tcPr>
          <w:p>
            <w:pPr>
              <w:pStyle w:val="Compact"/>
              <w:jc w:val="left"/>
            </w:pPr>
            <w:r>
              <w:t xml:space="preserve">Confirmed (rule); Reported (amended timelines, no parts process yet)</w:t>
            </w:r>
          </w:p>
        </w:tc>
      </w:tr>
      <w:tr>
        <w:tc>
          <w:tcPr>
            <w:tcW w:w="1483" w:type="dxa"/>
          </w:tcPr>
          <w:p>
            <w:pPr>
              <w:pStyle w:val="Compact"/>
              <w:jc w:val="left"/>
            </w:pPr>
            <w:r>
              <w:t xml:space="preserve">Medium and heavy-duty trucks, their parts, and buses</w:t>
            </w:r>
          </w:p>
        </w:tc>
        <w:tc>
          <w:tcPr>
            <w:tcW w:w="1396" w:type="dxa"/>
          </w:tcPr>
          <w:p>
            <w:pPr>
              <w:pStyle w:val="Compact"/>
              <w:jc w:val="left"/>
            </w:pPr>
            <w:r>
              <w:t xml:space="preserve">Proclamation 10984 (2025-10-17; FR 2025-19639)</w:t>
            </w:r>
          </w:p>
        </w:tc>
        <w:tc>
          <w:tcPr>
            <w:tcW w:w="1669" w:type="dxa"/>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tcW w:w="1570" w:type="dxa"/>
          </w:tcPr>
          <w:p>
            <w:pPr>
              <w:pStyle w:val="Compact"/>
              <w:jc w:val="left"/>
            </w:pPr>
            <w:r>
              <w:t xml:space="preserve">In force. USMCA-qualifying truck parts are exempt until Commerce, with CBP, sets a process to tax their non-US content; none found as of 2026-10-08</w:t>
            </w:r>
          </w:p>
        </w:tc>
        <w:tc>
          <w:tcPr>
            <w:tcW w:w="1669" w:type="dxa"/>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tcW w:w="1570" w:type="dxa"/>
          </w:tcPr>
          <w:p>
            <w:pPr>
              <w:pStyle w:val="Compact"/>
              <w:jc w:val="left"/>
            </w:pPr>
            <w:r>
              <w:t xml:space="preserve">Confirmed (procedures); Reported (rates, headings, parts exemption)</w:t>
            </w:r>
          </w:p>
        </w:tc>
      </w:tr>
      <w:tr>
        <w:tc>
          <w:tcPr>
            <w:tcW w:w="1483" w:type="dxa"/>
          </w:tcPr>
          <w:p>
            <w:pPr>
              <w:pStyle w:val="Compact"/>
              <w:jc w:val="left"/>
            </w:pPr>
            <w:r>
              <w:t xml:space="preserve">Timber, lumber and wood products</w:t>
            </w:r>
          </w:p>
        </w:tc>
        <w:tc>
          <w:tcPr>
            <w:tcW w:w="1396" w:type="dxa"/>
          </w:tcPr>
          <w:p>
            <w:pPr>
              <w:pStyle w:val="Compact"/>
              <w:jc w:val="left"/>
            </w:pPr>
            <w:r>
              <w:t xml:space="preserve">Proclamation 10976 (2025-09-29), amended by Proclamation 11000 (2025-12-31)</w:t>
            </w:r>
          </w:p>
        </w:tc>
        <w:tc>
          <w:tcPr>
            <w:tcW w:w="1669" w:type="dxa"/>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tcW w:w="1570" w:type="dxa"/>
          </w:tcPr>
          <w:p>
            <w:pPr>
              <w:pStyle w:val="Compact"/>
              <w:jc w:val="left"/>
            </w:pPr>
            <w:r>
              <w:t xml:space="preserve">In force; watch 2027-01-01</w:t>
            </w:r>
          </w:p>
        </w:tc>
        <w:tc>
          <w:tcPr>
            <w:tcW w:w="1669" w:type="dxa"/>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tcW w:w="1570" w:type="dxa"/>
          </w:tcPr>
          <w:p>
            <w:pPr>
              <w:pStyle w:val="Compact"/>
              <w:jc w:val="left"/>
            </w:pPr>
            <w:r>
              <w:t xml:space="preserve">Confirmed (rates, dates); Reported (USMCA)</w:t>
            </w:r>
          </w:p>
        </w:tc>
      </w:tr>
      <w:tr>
        <w:tc>
          <w:tcPr>
            <w:tcW w:w="1483" w:type="dxa"/>
          </w:tcPr>
          <w:p>
            <w:pPr>
              <w:pStyle w:val="Compact"/>
              <w:jc w:val="left"/>
            </w:pPr>
            <w:r>
              <w:t xml:space="preserve">Semiconductors</w:t>
            </w:r>
          </w:p>
        </w:tc>
        <w:tc>
          <w:tcPr>
            <w:tcW w:w="1396" w:type="dxa"/>
          </w:tcPr>
          <w:p>
            <w:pPr>
              <w:pStyle w:val="Compact"/>
              <w:jc w:val="left"/>
            </w:pPr>
            <w:r>
              <w:t xml:space="preserve">Proclamation 11002 (2026-01-14)</w:t>
            </w:r>
          </w:p>
        </w:tc>
        <w:tc>
          <w:tcPr>
            <w:tcW w:w="1669" w:type="dxa"/>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tcW w:w="1570" w:type="dxa"/>
          </w:tcPr>
          <w:p>
            <w:pPr>
              <w:pStyle w:val="Compact"/>
              <w:jc w:val="left"/>
            </w:pPr>
            <w:r>
              <w:t xml:space="preserve">In force (phase 1). No broader semiconductor tariff found as of 2026-10-08</w:t>
            </w:r>
          </w:p>
        </w:tc>
        <w:tc>
          <w:tcPr>
            <w:tcW w:w="1669" w:type="dxa"/>
          </w:tcPr>
          <w:p>
            <w:pPr>
              <w:pStyle w:val="Compact"/>
              <w:jc w:val="left"/>
            </w:pPr>
            <w:hyperlink r:id="rId46">
              <w:r>
                <w:rPr>
                  <w:rStyle w:val="Hyperlink"/>
                </w:rPr>
                <w:t xml:space="preserve">https://www.federalregister.gov/d/2026-01052</w:t>
              </w:r>
            </w:hyperlink>
            <w:r>
              <w:t xml:space="preserve"> </w:t>
            </w:r>
            <w:r>
              <w:t xml:space="preserve">(2026-01-20)</w:t>
            </w:r>
          </w:p>
        </w:tc>
        <w:tc>
          <w:tcPr>
            <w:tcW w:w="1570" w:type="dxa"/>
          </w:tcPr>
          <w:p>
            <w:pPr>
              <w:pStyle w:val="Compact"/>
              <w:jc w:val="left"/>
            </w:pPr>
            <w:r>
              <w:t xml:space="preserve">Confirmed</w:t>
            </w:r>
          </w:p>
        </w:tc>
      </w:tr>
      <w:tr>
        <w:tc>
          <w:tcPr>
            <w:tcW w:w="1483" w:type="dxa"/>
          </w:tcPr>
          <w:p>
            <w:pPr>
              <w:pStyle w:val="Compact"/>
              <w:jc w:val="left"/>
            </w:pPr>
            <w:r>
              <w:t xml:space="preserve">Patented pharmaceuticals and pharmaceutical ingredients</w:t>
            </w:r>
          </w:p>
        </w:tc>
        <w:tc>
          <w:tcPr>
            <w:tcW w:w="1396" w:type="dxa"/>
          </w:tcPr>
          <w:p>
            <w:pPr>
              <w:pStyle w:val="Compact"/>
              <w:jc w:val="left"/>
            </w:pPr>
            <w:r>
              <w:t xml:space="preserve">Proclamation 11020 (2026-04-02)</w:t>
            </w:r>
          </w:p>
        </w:tc>
        <w:tc>
          <w:tcPr>
            <w:tcW w:w="1669" w:type="dxa"/>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from 2026-07-31 to 2029-01-20 for companies with both a Commerce onshoring agreement and an HHS most-favored-nation pricing agreement. Generics not covered</w:t>
            </w:r>
          </w:p>
        </w:tc>
        <w:tc>
          <w:tcPr>
            <w:tcW w:w="1570" w:type="dxa"/>
          </w:tcPr>
          <w:p>
            <w:pPr>
              <w:pStyle w:val="Compact"/>
              <w:jc w:val="left"/>
            </w:pPr>
            <w:r>
              <w:t xml:space="preserve">In force: from 2026-07-31 for Annex III companies, from 2026-09-29 for all others. Specialty pharmaceuticals guidance FR 2026-19498 (2026-09-23)</w:t>
            </w:r>
          </w:p>
        </w:tc>
        <w:tc>
          <w:tcPr>
            <w:tcW w:w="1669" w:type="dxa"/>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 onshoring agreement procedures,</w:t>
            </w:r>
            <w:r>
              <w:t xml:space="preserve"> </w:t>
            </w:r>
            <w:hyperlink r:id="rId49">
              <w:r>
                <w:rPr>
                  <w:rStyle w:val="Hyperlink"/>
                </w:rPr>
                <w:t xml:space="preserve">https://www.federalregister.gov/d/2026-09489</w:t>
              </w:r>
            </w:hyperlink>
            <w:r>
              <w:t xml:space="preserve"> </w:t>
            </w:r>
            <w:r>
              <w:t xml:space="preserve">(2026-05-13)</w:t>
            </w:r>
          </w:p>
        </w:tc>
        <w:tc>
          <w:tcPr>
            <w:tcW w:w="1570" w:type="dxa"/>
          </w:tcPr>
          <w:p>
            <w:pPr>
              <w:pStyle w:val="Compact"/>
              <w:jc w:val="left"/>
            </w:pPr>
            <w:r>
              <w:t xml:space="preserve">Confirmed (100% default, country rates, start dates, generics excluded); Reported (agreement-based 20% and 0% terms)</w:t>
            </w:r>
          </w:p>
        </w:tc>
      </w:tr>
      <w:tr>
        <w:tc>
          <w:tcPr>
            <w:tcW w:w="1483" w:type="dxa"/>
          </w:tcPr>
          <w:p>
            <w:pPr>
              <w:pStyle w:val="Compact"/>
              <w:jc w:val="left"/>
            </w:pPr>
            <w:r>
              <w:t xml:space="preserve">Processed critical minerals</w:t>
            </w:r>
          </w:p>
        </w:tc>
        <w:tc>
          <w:tcPr>
            <w:tcW w:w="1396" w:type="dxa"/>
          </w:tcPr>
          <w:p>
            <w:pPr>
              <w:pStyle w:val="Compact"/>
              <w:jc w:val="left"/>
            </w:pPr>
            <w:r>
              <w:t xml:space="preserve">Proclamation 11001 (2026-01-14)</w:t>
            </w:r>
          </w:p>
        </w:tc>
        <w:tc>
          <w:tcPr>
            <w:tcW w:w="1669" w:type="dxa"/>
          </w:tcPr>
          <w:p>
            <w:pPr>
              <w:pStyle w:val="Compact"/>
              <w:jc w:val="left"/>
            </w:pPr>
            <w:r>
              <w:t xml:space="preserve">No tariff: negotiations with partners directed, including price floors; tariffs possible if no agreements within 180 days</w:t>
            </w:r>
          </w:p>
        </w:tc>
        <w:tc>
          <w:tcPr>
            <w:tcW w:w="1570" w:type="dxa"/>
          </w:tcPr>
          <w:p>
            <w:pPr>
              <w:pStyle w:val="Compact"/>
              <w:jc w:val="left"/>
            </w:pPr>
            <w:r>
              <w:t xml:space="preserve">No tariff found as of 2026-10-08; the 180-day window ended in mid-July 2026</w:t>
            </w:r>
          </w:p>
        </w:tc>
        <w:tc>
          <w:tcPr>
            <w:tcW w:w="1669" w:type="dxa"/>
          </w:tcPr>
          <w:p>
            <w:pPr>
              <w:pStyle w:val="Compact"/>
              <w:jc w:val="left"/>
            </w:pPr>
            <w:hyperlink r:id="rId50">
              <w:r>
                <w:rPr>
                  <w:rStyle w:val="Hyperlink"/>
                </w:rPr>
                <w:t xml:space="preserve">https://www.federalregister.gov/d/2026-01045</w:t>
              </w:r>
            </w:hyperlink>
            <w:r>
              <w:t xml:space="preserve"> </w:t>
            </w:r>
            <w:r>
              <w:t xml:space="preserve">(2026-01-20)</w:t>
            </w:r>
          </w:p>
        </w:tc>
        <w:tc>
          <w:tcPr>
            <w:tcW w:w="1570" w:type="dxa"/>
          </w:tcPr>
          <w:p>
            <w:pPr>
              <w:pStyle w:val="Compact"/>
              <w:jc w:val="left"/>
            </w:pPr>
            <w:r>
              <w:t xml:space="preserve">Confirmed (proclamation); Unclear (follow-up)</w:t>
            </w:r>
          </w:p>
        </w:tc>
      </w:tr>
      <w:tr>
        <w:tc>
          <w:tcPr>
            <w:tcW w:w="1483" w:type="dxa"/>
          </w:tcPr>
          <w:p>
            <w:pPr>
              <w:pStyle w:val="Compact"/>
              <w:jc w:val="left"/>
            </w:pPr>
            <w:r>
              <w:t xml:space="preserve">Unmanned aircraft systems (drones) and components</w:t>
            </w:r>
          </w:p>
        </w:tc>
        <w:tc>
          <w:tcPr>
            <w:tcW w:w="1396" w:type="dxa"/>
          </w:tcPr>
          <w:p>
            <w:pPr>
              <w:pStyle w:val="Compact"/>
              <w:jc w:val="left"/>
            </w:pPr>
            <w:r>
              <w:t xml:space="preserve">Proclamation 11055 (2026-08-13)</w:t>
            </w:r>
          </w:p>
        </w:tc>
        <w:tc>
          <w:tcPr>
            <w:tcW w:w="1669" w:type="dxa"/>
          </w:tcPr>
          <w:p>
            <w:pPr>
              <w:pStyle w:val="Compact"/>
              <w:jc w:val="left"/>
            </w:pPr>
            <w:r>
              <w:t xml:space="preserve">Duties on drones and components in Annexes I and II from 12:01 a.m. ET 2026-09-03 (reported: Annex I 100%, Annex II 25%; caps of 15% for the EU, Japan, Korea, Switzerland, Liechtenstein and Taiwan and 10% for the UK, only where substantially all hardware, software and technology come from those countries or the US, with certification); 25% on Annex III components from 2027-02-09; possible 180-day delay for listed approved suppliers</w:t>
            </w:r>
          </w:p>
        </w:tc>
        <w:tc>
          <w:tcPr>
            <w:tcW w:w="1570" w:type="dxa"/>
          </w:tcPr>
          <w:p>
            <w:pPr>
              <w:pStyle w:val="Compact"/>
              <w:jc w:val="left"/>
            </w:pPr>
            <w:r>
              <w:t xml:space="preserve">In force from 2026-09-03</w:t>
            </w:r>
          </w:p>
        </w:tc>
        <w:tc>
          <w:tcPr>
            <w:tcW w:w="1669" w:type="dxa"/>
          </w:tcPr>
          <w:p>
            <w:pPr>
              <w:pStyle w:val="Compact"/>
              <w:jc w:val="left"/>
            </w:pPr>
            <w:hyperlink r:id="rId51">
              <w:r>
                <w:rPr>
                  <w:rStyle w:val="Hyperlink"/>
                </w:rPr>
                <w:t xml:space="preserve">https://www.federalregister.gov/d/2026-16979</w:t>
              </w:r>
            </w:hyperlink>
            <w:r>
              <w:t xml:space="preserve"> </w:t>
            </w:r>
            <w:r>
              <w:t xml:space="preserve">(2026-08-19)</w:t>
            </w:r>
          </w:p>
        </w:tc>
        <w:tc>
          <w:tcPr>
            <w:tcW w:w="1570" w:type="dxa"/>
          </w:tcPr>
          <w:p>
            <w:pPr>
              <w:pStyle w:val="Compact"/>
              <w:jc w:val="left"/>
            </w:pPr>
            <w:r>
              <w:t xml:space="preserve">Confirmed (dates); Reported (rates)</w:t>
            </w:r>
          </w:p>
        </w:tc>
      </w:tr>
      <w:tr>
        <w:tc>
          <w:tcPr>
            <w:tcW w:w="1483" w:type="dxa"/>
          </w:tcPr>
          <w:p>
            <w:pPr>
              <w:pStyle w:val="Compact"/>
              <w:jc w:val="left"/>
            </w:pPr>
            <w:r>
              <w:t xml:space="preserve">Polysilicon and derivatives</w:t>
            </w:r>
          </w:p>
        </w:tc>
        <w:tc>
          <w:tcPr>
            <w:tcW w:w="1396" w:type="dxa"/>
          </w:tcPr>
          <w:p>
            <w:pPr>
              <w:pStyle w:val="Compact"/>
              <w:jc w:val="left"/>
            </w:pPr>
            <w:r>
              <w:t xml:space="preserve">Proclamation 11052 (2026-08-06)</w:t>
            </w:r>
          </w:p>
        </w:tc>
        <w:tc>
          <w:tcPr>
            <w:tcW w:w="1669" w:type="dxa"/>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tcW w:w="1570" w:type="dxa"/>
          </w:tcPr>
          <w:p>
            <w:pPr>
              <w:pStyle w:val="Compact"/>
              <w:jc w:val="left"/>
            </w:pPr>
            <w:r>
              <w:t xml:space="preserve">Announced, effective 2026-12-04; anti-stockpiling rule in force</w:t>
            </w:r>
          </w:p>
        </w:tc>
        <w:tc>
          <w:tcPr>
            <w:tcW w:w="1669" w:type="dxa"/>
          </w:tcPr>
          <w:p>
            <w:pPr>
              <w:pStyle w:val="Compact"/>
              <w:jc w:val="left"/>
            </w:pPr>
            <w:hyperlink r:id="rId52">
              <w:r>
                <w:rPr>
                  <w:rStyle w:val="Hyperlink"/>
                </w:rPr>
                <w:t xml:space="preserve">https://www.federalregister.gov/d/2026-16400</w:t>
              </w:r>
            </w:hyperlink>
            <w:r>
              <w:t xml:space="preserve"> </w:t>
            </w:r>
            <w:r>
              <w:t xml:space="preserve">(2026-08-11);</w:t>
            </w:r>
            <w:r>
              <w:t xml:space="preserve"> </w:t>
            </w:r>
            <w:hyperlink r:id="rId53">
              <w:r>
                <w:rPr>
                  <w:rStyle w:val="Hyperlink"/>
                </w:rPr>
                <w:t xml:space="preserve">https://www.federalregister.gov/d/2026-19537</w:t>
              </w:r>
            </w:hyperlink>
            <w:r>
              <w:t xml:space="preserve"> </w:t>
            </w:r>
            <w:r>
              <w:t xml:space="preserve">(2026-09-24)</w:t>
            </w:r>
          </w:p>
        </w:tc>
        <w:tc>
          <w:tcPr>
            <w:tcW w:w="1570" w:type="dxa"/>
          </w:tcPr>
          <w:p>
            <w:pPr>
              <w:pStyle w:val="Compact"/>
              <w:jc w:val="left"/>
            </w:pPr>
            <w:r>
              <w:t xml:space="preserve">Confirmed</w:t>
            </w:r>
          </w:p>
        </w:tc>
      </w:tr>
      <w:tr>
        <w:tc>
          <w:tcPr>
            <w:tcW w:w="1483" w:type="dxa"/>
          </w:tcPr>
          <w:p>
            <w:pPr>
              <w:pStyle w:val="Compact"/>
              <w:jc w:val="left"/>
            </w:pPr>
            <w:r>
              <w:t xml:space="preserve">Commercial aircraft, jet engines and parts</w:t>
            </w:r>
          </w:p>
        </w:tc>
        <w:tc>
          <w:tcPr>
            <w:tcW w:w="1396" w:type="dxa"/>
          </w:tcPr>
          <w:p>
            <w:pPr>
              <w:pStyle w:val="Compact"/>
              <w:jc w:val="left"/>
            </w:pPr>
            <w:r>
              <w:t xml:space="preserve">Proclamation 11040 (2026-07-09)</w:t>
            </w:r>
          </w:p>
        </w:tc>
        <w:tc>
          <w:tcPr>
            <w:tcW w:w="1669" w:type="dxa"/>
          </w:tcPr>
          <w:p>
            <w:pPr>
              <w:pStyle w:val="Compact"/>
              <w:jc w:val="left"/>
            </w:pPr>
            <w:r>
              <w:t xml:space="preserve">No tariff: negotiations directed; further action possible after 180 days</w:t>
            </w:r>
          </w:p>
        </w:tc>
        <w:tc>
          <w:tcPr>
            <w:tcW w:w="1570" w:type="dxa"/>
          </w:tcPr>
          <w:p>
            <w:pPr>
              <w:pStyle w:val="Compact"/>
              <w:jc w:val="left"/>
            </w:pPr>
            <w:r>
              <w:t xml:space="preserve">No tariff as of 2026-10-08. Commerce and USTR report on the negotiations within 180 days (about 2027-01-05); tariffs or other action possible after that (reported)</w:t>
            </w:r>
          </w:p>
        </w:tc>
        <w:tc>
          <w:tcPr>
            <w:tcW w:w="1669" w:type="dxa"/>
          </w:tcPr>
          <w:p>
            <w:pPr>
              <w:pStyle w:val="Compact"/>
              <w:jc w:val="left"/>
            </w:pPr>
            <w:hyperlink r:id="rId54">
              <w:r>
                <w:rPr>
                  <w:rStyle w:val="Hyperlink"/>
                </w:rPr>
                <w:t xml:space="preserve">https://www.federalregister.gov/d/2026-14334</w:t>
              </w:r>
            </w:hyperlink>
            <w:r>
              <w:t xml:space="preserve"> </w:t>
            </w:r>
            <w:r>
              <w:t xml:space="preserve">(2026-07-15)</w:t>
            </w:r>
          </w:p>
        </w:tc>
        <w:tc>
          <w:tcPr>
            <w:tcW w:w="1570" w:type="dxa"/>
          </w:tcPr>
          <w:p>
            <w:pPr>
              <w:pStyle w:val="Compact"/>
              <w:jc w:val="left"/>
            </w:pPr>
            <w:r>
              <w:t xml:space="preserve">Confirmed (no tariff); Reported (180-day date)</w:t>
            </w:r>
          </w:p>
        </w:tc>
      </w:tr>
      <w:tr>
        <w:tc>
          <w:tcPr>
            <w:tcW w:w="1483" w:type="dxa"/>
          </w:tcPr>
          <w:p>
            <w:pPr>
              <w:pStyle w:val="Compact"/>
              <w:jc w:val="left"/>
            </w:pPr>
            <w:r>
              <w:t xml:space="preserve">Other open investigations: wind turbines; robotics and industrial machinery; personal protective equipment, medical consumables and equipment</w:t>
            </w:r>
          </w:p>
        </w:tc>
        <w:tc>
          <w:tcPr>
            <w:tcW w:w="1396" w:type="dxa"/>
          </w:tcPr>
          <w:p>
            <w:pPr>
              <w:pStyle w:val="Compact"/>
              <w:jc w:val="left"/>
            </w:pPr>
            <w:r>
              <w:t xml:space="preserve">Section 232 investigations opened by Commerce in 2025-08 and 2025-09</w:t>
            </w:r>
          </w:p>
        </w:tc>
        <w:tc>
          <w:tcPr>
            <w:tcW w:w="1669" w:type="dxa"/>
          </w:tcPr>
          <w:p>
            <w:pPr>
              <w:pStyle w:val="Compact"/>
              <w:jc w:val="left"/>
            </w:pPr>
            <w:r>
              <w:t xml:space="preserve">Possible new duties. Some wind turbine parts and industrial machinery already pay under the metals regime</w:t>
            </w:r>
          </w:p>
        </w:tc>
        <w:tc>
          <w:tcPr>
            <w:tcW w:w="1570" w:type="dxa"/>
          </w:tcPr>
          <w:p>
            <w:pPr>
              <w:pStyle w:val="Compact"/>
              <w:jc w:val="left"/>
            </w:pPr>
            <w:r>
              <w:t xml:space="preserve">Pending: no proclamation found as of 2026-10-08</w:t>
            </w:r>
          </w:p>
        </w:tc>
        <w:tc>
          <w:tcPr>
            <w:tcW w:w="1669" w:type="dxa"/>
          </w:tcPr>
          <w:p>
            <w:pPr>
              <w:pStyle w:val="Compact"/>
              <w:jc w:val="left"/>
            </w:pPr>
            <w:hyperlink r:id="rId55">
              <w:r>
                <w:rPr>
                  <w:rStyle w:val="Hyperlink"/>
                </w:rPr>
                <w:t xml:space="preserve">https://www.bis.gov/about-bis/bis-leadership-and-offices/SIES/section-232-investigations</w:t>
              </w:r>
            </w:hyperlink>
          </w:p>
        </w:tc>
        <w:tc>
          <w:tcPr>
            <w:tcW w:w="1570" w:type="dxa"/>
          </w:tcPr>
          <w:p>
            <w:pPr>
              <w:pStyle w:val="Compact"/>
              <w:jc w:val="left"/>
            </w:pPr>
            <w:r>
              <w:t xml:space="preserve">Unclear</w:t>
            </w:r>
          </w:p>
        </w:tc>
      </w:tr>
    </w:tbl>
    <w:bookmarkEnd w:id="56"/>
    <w:bookmarkStart w:id="66" w:name="X5b25d55b5d16bcb93791abd6ba0f33cd53ef868"/>
    <w:p>
      <w:pPr>
        <w:pStyle w:val="Heading4"/>
      </w:pPr>
      <w:r>
        <w:t xml:space="preserve">US-4 Section 301 (Trade Act of 1974, 19 U.S.C. 2411)</w:t>
      </w:r>
    </w:p>
    <w:tbl>
      <w:tblPr>
        <w:tblStyle w:val="Table"/>
        <w:tblW w:type="dxa" w:w="9360"/>
        <w:tblLook w:firstRow="1" w:lastRow="0" w:firstColumn="0" w:lastColumn="0" w:noHBand="0" w:noVBand="0" w:val="0020"/>
        <w:jc w:val="start"/>
        <w:tblLayout w:type="fixed"/>
      </w:tblPr>
      <w:tblGrid>
        <w:gridCol w:w="1464"/>
        <w:gridCol w:w="1464"/>
        <w:gridCol w:w="1751"/>
        <w:gridCol w:w="1372"/>
        <w:gridCol w:w="1751"/>
        <w:gridCol w:w="1556"/>
      </w:tblGrid>
      <w:tr>
        <w:trPr>
          <w:tblHeader w:val="true"/>
        </w:trPr>
        <w:tc>
          <w:tcPr>
            <w:tcW w:w="1464" w:type="dxa"/>
          </w:tcPr>
          <w:p>
            <w:pPr>
              <w:pStyle w:val="Compact"/>
              <w:jc w:val="left"/>
            </w:pPr>
            <w:r>
              <w:t xml:space="preserve">Action</w:t>
            </w:r>
          </w:p>
        </w:tc>
        <w:tc>
          <w:tcPr>
            <w:tcW w:w="1464" w:type="dxa"/>
          </w:tcPr>
          <w:p>
            <w:pPr>
              <w:pStyle w:val="Compact"/>
              <w:jc w:val="left"/>
            </w:pPr>
            <w:r>
              <w:t xml:space="preserve">Authority</w:t>
            </w:r>
          </w:p>
        </w:tc>
        <w:tc>
          <w:tcPr>
            <w:tcW w:w="1751" w:type="dxa"/>
          </w:tcPr>
          <w:p>
            <w:pPr>
              <w:pStyle w:val="Compact"/>
              <w:jc w:val="left"/>
            </w:pPr>
            <w:r>
              <w:t xml:space="preserve">Scope</w:t>
            </w:r>
          </w:p>
        </w:tc>
        <w:tc>
          <w:tcPr>
            <w:tcW w:w="1372" w:type="dxa"/>
          </w:tcPr>
          <w:p>
            <w:pPr>
              <w:pStyle w:val="Compact"/>
              <w:jc w:val="left"/>
            </w:pPr>
            <w:r>
              <w:t xml:space="preserve">Status as of 2026-10-08</w:t>
            </w:r>
          </w:p>
        </w:tc>
        <w:tc>
          <w:tcPr>
            <w:tcW w:w="1751" w:type="dxa"/>
          </w:tcPr>
          <w:p>
            <w:pPr>
              <w:pStyle w:val="Compact"/>
              <w:jc w:val="left"/>
            </w:pPr>
            <w:r>
              <w:t xml:space="preserve">Source (date)</w:t>
            </w:r>
          </w:p>
        </w:tc>
        <w:tc>
          <w:tcPr>
            <w:tcW w:w="1556" w:type="dxa"/>
          </w:tcPr>
          <w:p>
            <w:pPr>
              <w:pStyle w:val="Compact"/>
              <w:jc w:val="left"/>
            </w:pPr>
            <w:r>
              <w:t xml:space="preserve">Confidence</w:t>
            </w:r>
          </w:p>
        </w:tc>
      </w:tr>
      <w:tr>
        <w:tc>
          <w:tcPr>
            <w:tcW w:w="1464" w:type="dxa"/>
          </w:tcPr>
          <w:p>
            <w:pPr>
              <w:pStyle w:val="Compact"/>
              <w:jc w:val="left"/>
            </w:pPr>
            <w:r>
              <w:t xml:space="preserve">China, Lists 1 to 4A</w:t>
            </w:r>
          </w:p>
        </w:tc>
        <w:tc>
          <w:tcPr>
            <w:tcW w:w="1464" w:type="dxa"/>
          </w:tcPr>
          <w:p>
            <w:pPr>
              <w:pStyle w:val="Compact"/>
              <w:jc w:val="left"/>
            </w:pPr>
            <w:r>
              <w:t xml:space="preserve">USTR actions of 2018 and 2019</w:t>
            </w:r>
          </w:p>
        </w:tc>
        <w:tc>
          <w:tcPr>
            <w:tcW w:w="1751" w:type="dxa"/>
          </w:tcPr>
          <w:p>
            <w:pPr>
              <w:pStyle w:val="Compact"/>
              <w:jc w:val="left"/>
            </w:pPr>
            <w:r>
              <w:t xml:space="preserve">25% on Lists 1, 2 and 3; 7.5% on List 4A (HTSUS heading group 9903.88)</w:t>
            </w:r>
          </w:p>
        </w:tc>
        <w:tc>
          <w:tcPr>
            <w:tcW w:w="1372" w:type="dxa"/>
          </w:tcPr>
          <w:p>
            <w:pPr>
              <w:pStyle w:val="Compact"/>
              <w:jc w:val="left"/>
            </w:pPr>
            <w:r>
              <w:t xml:space="preserve">In force. USTR found the 2018 actions did not end at their 2026 anniversaries (notice of 2026-10-07); the second four-year review, opened 2026-05-06, continues</w:t>
            </w:r>
          </w:p>
        </w:tc>
        <w:tc>
          <w:tcPr>
            <w:tcW w:w="1751" w:type="dxa"/>
          </w:tcPr>
          <w:p>
            <w:pPr>
              <w:pStyle w:val="Compact"/>
              <w:jc w:val="left"/>
            </w:pPr>
            <w:hyperlink r:id="rId57">
              <w:r>
                <w:rPr>
                  <w:rStyle w:val="Hyperlink"/>
                </w:rPr>
                <w:t xml:space="preserve">https://www.federalregister.gov/d/2026-08806</w:t>
              </w:r>
            </w:hyperlink>
            <w:r>
              <w:t xml:space="preserve"> </w:t>
            </w:r>
            <w:r>
              <w:t xml:space="preserve">(2026-05-06);</w:t>
            </w:r>
            <w:r>
              <w:t xml:space="preserve"> </w:t>
            </w:r>
            <w:hyperlink r:id="rId58">
              <w:r>
                <w:rPr>
                  <w:rStyle w:val="Hyperlink"/>
                </w:rPr>
                <w:t xml:space="preserve">https://www.federalregister.gov/d/2026-20510</w:t>
              </w:r>
            </w:hyperlink>
            <w:r>
              <w:t xml:space="preserve"> </w:t>
            </w:r>
            <w:r>
              <w:t xml:space="preserve">(2026-10-07)</w:t>
            </w:r>
          </w:p>
        </w:tc>
        <w:tc>
          <w:tcPr>
            <w:tcW w:w="1556" w:type="dxa"/>
          </w:tcPr>
          <w:p>
            <w:pPr>
              <w:pStyle w:val="Compact"/>
              <w:jc w:val="left"/>
            </w:pPr>
            <w:r>
              <w:t xml:space="preserve">Confirmed (continuation); Reported (rates)</w:t>
            </w:r>
          </w:p>
        </w:tc>
      </w:tr>
      <w:tr>
        <w:tc>
          <w:tcPr>
            <w:tcW w:w="1464" w:type="dxa"/>
          </w:tcPr>
          <w:p>
            <w:pPr>
              <w:pStyle w:val="Compact"/>
              <w:jc w:val="left"/>
            </w:pPr>
            <w:r>
              <w:t xml:space="preserve">China, four-year review increases</w:t>
            </w:r>
          </w:p>
        </w:tc>
        <w:tc>
          <w:tcPr>
            <w:tcW w:w="1464" w:type="dxa"/>
          </w:tcPr>
          <w:p>
            <w:pPr>
              <w:pStyle w:val="Compact"/>
              <w:jc w:val="left"/>
            </w:pPr>
            <w:r>
              <w:t xml:space="preserve">USTR modification of 2024</w:t>
            </w:r>
          </w:p>
        </w:tc>
        <w:tc>
          <w:tcPr>
            <w:tcW w:w="1751" w:type="dxa"/>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tcW w:w="1372" w:type="dxa"/>
          </w:tcPr>
          <w:p>
            <w:pPr>
              <w:pStyle w:val="Compact"/>
              <w:jc w:val="left"/>
            </w:pPr>
            <w:r>
              <w:t xml:space="preserve">In force (reported)</w:t>
            </w:r>
          </w:p>
        </w:tc>
        <w:tc>
          <w:tcPr>
            <w:tcW w:w="1751" w:type="dxa"/>
          </w:tcPr>
          <w:p>
            <w:pPr>
              <w:pStyle w:val="Compact"/>
              <w:jc w:val="left"/>
            </w:pPr>
            <w:hyperlink r:id="rId59">
              <w:r>
                <w:rPr>
                  <w:rStyle w:val="Hyperlink"/>
                </w:rPr>
                <w:t xml:space="preserve">https://www.federalregister.gov/d/2024-21217</w:t>
              </w:r>
            </w:hyperlink>
            <w:r>
              <w:t xml:space="preserve"> </w:t>
            </w:r>
            <w:r>
              <w:t xml:space="preserve">(2024-09-18)</w:t>
            </w:r>
          </w:p>
        </w:tc>
        <w:tc>
          <w:tcPr>
            <w:tcW w:w="1556" w:type="dxa"/>
          </w:tcPr>
          <w:p>
            <w:pPr>
              <w:pStyle w:val="Compact"/>
              <w:jc w:val="left"/>
            </w:pPr>
            <w:r>
              <w:t xml:space="preserve">Reported</w:t>
            </w:r>
          </w:p>
        </w:tc>
      </w:tr>
      <w:tr>
        <w:tc>
          <w:tcPr>
            <w:tcW w:w="1464" w:type="dxa"/>
          </w:tcPr>
          <w:p>
            <w:pPr>
              <w:pStyle w:val="Compact"/>
              <w:jc w:val="left"/>
            </w:pPr>
            <w:r>
              <w:t xml:space="preserve">China, product exclusions</w:t>
            </w:r>
          </w:p>
        </w:tc>
        <w:tc>
          <w:tcPr>
            <w:tcW w:w="1464" w:type="dxa"/>
          </w:tcPr>
          <w:p>
            <w:pPr>
              <w:pStyle w:val="Compact"/>
              <w:jc w:val="left"/>
            </w:pPr>
            <w:r>
              <w:t xml:space="preserve">USTR extension notice (FR 2025-21671)</w:t>
            </w:r>
          </w:p>
        </w:tc>
        <w:tc>
          <w:tcPr>
            <w:tcW w:w="1751" w:type="dxa"/>
          </w:tcPr>
          <w:p>
            <w:pPr>
              <w:pStyle w:val="Compact"/>
              <w:jc w:val="left"/>
            </w:pPr>
            <w:r>
              <w:t xml:space="preserve">178 exclusions</w:t>
            </w:r>
          </w:p>
        </w:tc>
        <w:tc>
          <w:tcPr>
            <w:tcW w:w="1372" w:type="dxa"/>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tcW w:w="1751" w:type="dxa"/>
          </w:tcPr>
          <w:p>
            <w:pPr>
              <w:pStyle w:val="Compact"/>
              <w:jc w:val="left"/>
            </w:pPr>
            <w:hyperlink r:id="rId60">
              <w:r>
                <w:rPr>
                  <w:rStyle w:val="Hyperlink"/>
                </w:rPr>
                <w:t xml:space="preserve">https://www.federalregister.gov/d/2025-21671</w:t>
              </w:r>
            </w:hyperlink>
            <w:r>
              <w:t xml:space="preserve"> </w:t>
            </w:r>
            <w:r>
              <w:t xml:space="preserve">(2025-12-01);</w:t>
            </w:r>
            <w:r>
              <w:t xml:space="preserve"> </w:t>
            </w:r>
            <w:hyperlink r:id="rId61">
              <w:r>
                <w:rPr>
                  <w:rStyle w:val="Hyperlink"/>
                </w:rPr>
                <w:t xml:space="preserve">https://www.federalregister.gov/d/2026-20511</w:t>
              </w:r>
            </w:hyperlink>
            <w:r>
              <w:t xml:space="preserve"> </w:t>
            </w:r>
            <w:r>
              <w:t xml:space="preserve">(2026-10-07)</w:t>
            </w:r>
          </w:p>
        </w:tc>
        <w:tc>
          <w:tcPr>
            <w:tcW w:w="1556" w:type="dxa"/>
          </w:tcPr>
          <w:p>
            <w:pPr>
              <w:pStyle w:val="Compact"/>
              <w:jc w:val="left"/>
            </w:pPr>
            <w:r>
              <w:t xml:space="preserve">Confirmed</w:t>
            </w:r>
          </w:p>
        </w:tc>
      </w:tr>
      <w:tr>
        <w:tc>
          <w:tcPr>
            <w:tcW w:w="1464" w:type="dxa"/>
          </w:tcPr>
          <w:p>
            <w:pPr>
              <w:pStyle w:val="Compact"/>
              <w:jc w:val="left"/>
            </w:pPr>
            <w:r>
              <w:t xml:space="preserve">China, maritime, logistics and shipbuilding</w:t>
            </w:r>
          </w:p>
        </w:tc>
        <w:tc>
          <w:tcPr>
            <w:tcW w:w="1464" w:type="dxa"/>
          </w:tcPr>
          <w:p>
            <w:pPr>
              <w:pStyle w:val="Compact"/>
              <w:jc w:val="left"/>
            </w:pPr>
            <w:r>
              <w:t xml:space="preserve">USTR action of 2025, as modified; suspension notice (FR 2025-19873)</w:t>
            </w:r>
          </w:p>
        </w:tc>
        <w:tc>
          <w:tcPr>
            <w:tcW w:w="1751" w:type="dxa"/>
          </w:tcPr>
          <w:p>
            <w:pPr>
              <w:pStyle w:val="Compact"/>
              <w:jc w:val="left"/>
            </w:pPr>
            <w:r>
              <w:t xml:space="preserve">Fees on vessels linked to China; duties on ship-to-shore cranes and certain cargo-handling equipment</w:t>
            </w:r>
          </w:p>
        </w:tc>
        <w:tc>
          <w:tcPr>
            <w:tcW w:w="1372" w:type="dxa"/>
          </w:tcPr>
          <w:p>
            <w:pPr>
              <w:pStyle w:val="Compact"/>
              <w:jc w:val="left"/>
            </w:pPr>
            <w:r>
              <w:t xml:space="preserve">Suspended from 12:01 a.m. EST 2025-11-10 through 11:59 p.m. EST 2026-11-09. USTR will decide before then whether to continue the suspension</w:t>
            </w:r>
          </w:p>
        </w:tc>
        <w:tc>
          <w:tcPr>
            <w:tcW w:w="1751" w:type="dxa"/>
          </w:tcPr>
          <w:p>
            <w:pPr>
              <w:pStyle w:val="Compact"/>
              <w:jc w:val="left"/>
            </w:pPr>
            <w:hyperlink r:id="rId62">
              <w:r>
                <w:rPr>
                  <w:rStyle w:val="Hyperlink"/>
                </w:rPr>
                <w:t xml:space="preserve">https://www.federalregister.gov/d/2025-19873</w:t>
              </w:r>
            </w:hyperlink>
            <w:r>
              <w:t xml:space="preserve"> </w:t>
            </w:r>
            <w:r>
              <w:t xml:space="preserve">(2025-11-13)</w:t>
            </w:r>
          </w:p>
        </w:tc>
        <w:tc>
          <w:tcPr>
            <w:tcW w:w="1556" w:type="dxa"/>
          </w:tcPr>
          <w:p>
            <w:pPr>
              <w:pStyle w:val="Compact"/>
              <w:jc w:val="left"/>
            </w:pPr>
            <w:r>
              <w:t xml:space="preserve">Confirmed</w:t>
            </w:r>
          </w:p>
        </w:tc>
      </w:tr>
      <w:tr>
        <w:tc>
          <w:tcPr>
            <w:tcW w:w="1464" w:type="dxa"/>
          </w:tcPr>
          <w:p>
            <w:pPr>
              <w:pStyle w:val="Compact"/>
              <w:jc w:val="left"/>
            </w:pPr>
            <w:r>
              <w:t xml:space="preserve">China, legacy semiconductors</w:t>
            </w:r>
          </w:p>
        </w:tc>
        <w:tc>
          <w:tcPr>
            <w:tcW w:w="1464" w:type="dxa"/>
          </w:tcPr>
          <w:p>
            <w:pPr>
              <w:pStyle w:val="Compact"/>
              <w:jc w:val="left"/>
            </w:pPr>
            <w:r>
              <w:t xml:space="preserve">USTR notice of action (FR 2025-23912)</w:t>
            </w:r>
          </w:p>
        </w:tc>
        <w:tc>
          <w:tcPr>
            <w:tcW w:w="1751" w:type="dxa"/>
          </w:tcPr>
          <w:p>
            <w:pPr>
              <w:pStyle w:val="Compact"/>
              <w:jc w:val="left"/>
            </w:pPr>
            <w:r>
              <w:t xml:space="preserve">Additional duty on Chinese semiconductors, on top of the existing 50% Section 301 rate</w:t>
            </w:r>
          </w:p>
        </w:tc>
        <w:tc>
          <w:tcPr>
            <w:tcW w:w="1372" w:type="dxa"/>
          </w:tcPr>
          <w:p>
            <w:pPr>
              <w:pStyle w:val="Compact"/>
              <w:jc w:val="left"/>
            </w:pPr>
            <w:r>
              <w:t xml:space="preserve">In force at 0%. Increases on 2027-06-23 to a rate USTR will announce at least 30 days before</w:t>
            </w:r>
          </w:p>
        </w:tc>
        <w:tc>
          <w:tcPr>
            <w:tcW w:w="1751" w:type="dxa"/>
          </w:tcPr>
          <w:p>
            <w:pPr>
              <w:pStyle w:val="Compact"/>
              <w:jc w:val="left"/>
            </w:pPr>
            <w:hyperlink r:id="rId63">
              <w:r>
                <w:rPr>
                  <w:rStyle w:val="Hyperlink"/>
                </w:rPr>
                <w:t xml:space="preserve">https://www.federalregister.gov/d/2025-23912</w:t>
              </w:r>
            </w:hyperlink>
            <w:r>
              <w:t xml:space="preserve"> </w:t>
            </w:r>
            <w:r>
              <w:t xml:space="preserve">(2025-12-29)</w:t>
            </w:r>
          </w:p>
        </w:tc>
        <w:tc>
          <w:tcPr>
            <w:tcW w:w="1556" w:type="dxa"/>
          </w:tcPr>
          <w:p>
            <w:pPr>
              <w:pStyle w:val="Compact"/>
              <w:jc w:val="left"/>
            </w:pPr>
            <w:r>
              <w:t xml:space="preserve">Confirmed</w:t>
            </w:r>
          </w:p>
        </w:tc>
      </w:tr>
      <w:tr>
        <w:tc>
          <w:tcPr>
            <w:tcW w:w="1464" w:type="dxa"/>
          </w:tcPr>
          <w:p>
            <w:pPr>
              <w:pStyle w:val="Compact"/>
              <w:jc w:val="left"/>
            </w:pPr>
            <w:r>
              <w:t xml:space="preserve">Nicaragua</w:t>
            </w:r>
          </w:p>
        </w:tc>
        <w:tc>
          <w:tcPr>
            <w:tcW w:w="1464" w:type="dxa"/>
          </w:tcPr>
          <w:p>
            <w:pPr>
              <w:pStyle w:val="Compact"/>
              <w:jc w:val="left"/>
            </w:pPr>
            <w:r>
              <w:t xml:space="preserve">USTR notice of implementation (FR 2025-23892)</w:t>
            </w:r>
          </w:p>
        </w:tc>
        <w:tc>
          <w:tcPr>
            <w:tcW w:w="1751" w:type="dxa"/>
          </w:tcPr>
          <w:p>
            <w:pPr>
              <w:pStyle w:val="Compact"/>
              <w:jc w:val="left"/>
            </w:pPr>
            <w:r>
              <w:t xml:space="preserve">All goods of Nicaragua not originating under CAFTA-DR</w:t>
            </w:r>
          </w:p>
        </w:tc>
        <w:tc>
          <w:tcPr>
            <w:tcW w:w="1372" w:type="dxa"/>
          </w:tcPr>
          <w:p>
            <w:pPr>
              <w:pStyle w:val="Compact"/>
              <w:jc w:val="left"/>
            </w:pPr>
            <w:r>
              <w:t xml:space="preserve">0% in 2026; 10% from 2027-01-01; 15% from 2028-01-01. Nicaragua is also at 12.5% under the forced-labor action (US-2); how the two interact: verify</w:t>
            </w:r>
          </w:p>
        </w:tc>
        <w:tc>
          <w:tcPr>
            <w:tcW w:w="1751" w:type="dxa"/>
          </w:tcPr>
          <w:p>
            <w:pPr>
              <w:pStyle w:val="Compact"/>
              <w:jc w:val="left"/>
            </w:pPr>
            <w:hyperlink r:id="rId64">
              <w:r>
                <w:rPr>
                  <w:rStyle w:val="Hyperlink"/>
                </w:rPr>
                <w:t xml:space="preserve">https://www.federalregister.gov/d/2025-23892</w:t>
              </w:r>
            </w:hyperlink>
            <w:r>
              <w:t xml:space="preserve"> </w:t>
            </w:r>
            <w:r>
              <w:t xml:space="preserve">(2025-12-29)</w:t>
            </w:r>
          </w:p>
        </w:tc>
        <w:tc>
          <w:tcPr>
            <w:tcW w:w="1556" w:type="dxa"/>
          </w:tcPr>
          <w:p>
            <w:pPr>
              <w:pStyle w:val="Compact"/>
              <w:jc w:val="left"/>
            </w:pPr>
            <w:r>
              <w:t xml:space="preserve">Confirmed (schedule); Unclear (interaction)</w:t>
            </w:r>
          </w:p>
        </w:tc>
      </w:tr>
      <w:tr>
        <w:tc>
          <w:tcPr>
            <w:tcW w:w="1464" w:type="dxa"/>
          </w:tcPr>
          <w:p>
            <w:pPr>
              <w:pStyle w:val="Compact"/>
              <w:jc w:val="left"/>
            </w:pPr>
            <w:r>
              <w:t xml:space="preserve">Brazil</w:t>
            </w:r>
          </w:p>
        </w:tc>
        <w:tc>
          <w:tcPr>
            <w:tcW w:w="1464" w:type="dxa"/>
          </w:tcPr>
          <w:p>
            <w:pPr>
              <w:pStyle w:val="Compact"/>
              <w:jc w:val="left"/>
            </w:pPr>
            <w:r>
              <w:t xml:space="preserve">USTR determination 2026-06-01 (FR 2026-11158); notice of action (FR 2026-14542) and presidential memorandum (FR 2026-14654)</w:t>
            </w:r>
          </w:p>
        </w:tc>
        <w:tc>
          <w:tcPr>
            <w:tcW w:w="1751" w:type="dxa"/>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tcW w:w="1372" w:type="dxa"/>
          </w:tcPr>
          <w:p>
            <w:pPr>
              <w:pStyle w:val="Compact"/>
              <w:jc w:val="left"/>
            </w:pPr>
            <w:r>
              <w:t xml:space="preserve">In force from 12:01 a.m. ET 2026-07-22</w:t>
            </w:r>
          </w:p>
        </w:tc>
        <w:tc>
          <w:tcPr>
            <w:tcW w:w="1751" w:type="dxa"/>
          </w:tcPr>
          <w:p>
            <w:pPr>
              <w:pStyle w:val="Compact"/>
              <w:jc w:val="left"/>
            </w:pPr>
            <w:hyperlink r:id="rId65">
              <w:r>
                <w:rPr>
                  <w:rStyle w:val="Hyperlink"/>
                </w:rPr>
                <w:t xml:space="preserve">https://www.federalregister.gov/d/2026-14542</w:t>
              </w:r>
            </w:hyperlink>
            <w:r>
              <w:t xml:space="preserve"> </w:t>
            </w:r>
            <w:r>
              <w:t xml:space="preserve">(2026-07-20)</w:t>
            </w:r>
          </w:p>
        </w:tc>
        <w:tc>
          <w:tcPr>
            <w:tcW w:w="1556" w:type="dxa"/>
          </w:tcPr>
          <w:p>
            <w:pPr>
              <w:pStyle w:val="Compact"/>
              <w:jc w:val="left"/>
            </w:pPr>
            <w:r>
              <w:t xml:space="preserve">Confirmed</w:t>
            </w:r>
          </w:p>
        </w:tc>
      </w:tr>
    </w:tbl>
    <w:bookmarkEnd w:id="66"/>
    <w:bookmarkStart w:id="76" w:name="us-5-other-us-authorities"/>
    <w:p>
      <w:pPr>
        <w:pStyle w:val="Heading4"/>
      </w:pPr>
      <w:r>
        <w:t xml:space="preserve">US-5 Other US authorities</w:t>
      </w:r>
    </w:p>
    <w:tbl>
      <w:tblPr>
        <w:tblStyle w:val="Table"/>
        <w:tblW w:type="dxa" w:w="9360"/>
        <w:tblLook w:firstRow="1" w:lastRow="0" w:firstColumn="0" w:lastColumn="0" w:noHBand="0" w:noVBand="0" w:val="0020"/>
        <w:jc w:val="start"/>
        <w:tblLayout w:type="fixed"/>
      </w:tblPr>
      <w:tblGrid>
        <w:gridCol w:w="1574"/>
        <w:gridCol w:w="1475"/>
        <w:gridCol w:w="1869"/>
        <w:gridCol w:w="1377"/>
        <w:gridCol w:w="1882"/>
        <w:gridCol w:w="1180"/>
      </w:tblGrid>
      <w:tr>
        <w:trPr>
          <w:tblHeader w:val="true"/>
        </w:trPr>
        <w:tc>
          <w:tcPr>
            <w:tcW w:w="1574" w:type="dxa"/>
          </w:tcPr>
          <w:p>
            <w:pPr>
              <w:pStyle w:val="Compact"/>
              <w:jc w:val="left"/>
            </w:pPr>
            <w:r>
              <w:t xml:space="preserve">Action</w:t>
            </w:r>
          </w:p>
        </w:tc>
        <w:tc>
          <w:tcPr>
            <w:tcW w:w="1475" w:type="dxa"/>
          </w:tcPr>
          <w:p>
            <w:pPr>
              <w:pStyle w:val="Compact"/>
              <w:jc w:val="left"/>
            </w:pPr>
            <w:r>
              <w:t xml:space="preserve">Authority</w:t>
            </w:r>
          </w:p>
        </w:tc>
        <w:tc>
          <w:tcPr>
            <w:tcW w:w="1869" w:type="dxa"/>
          </w:tcPr>
          <w:p>
            <w:pPr>
              <w:pStyle w:val="Compact"/>
              <w:jc w:val="left"/>
            </w:pPr>
            <w:r>
              <w:t xml:space="preserve">Scope</w:t>
            </w:r>
          </w:p>
        </w:tc>
        <w:tc>
          <w:tcPr>
            <w:tcW w:w="1377" w:type="dxa"/>
          </w:tcPr>
          <w:p>
            <w:pPr>
              <w:pStyle w:val="Compact"/>
              <w:jc w:val="left"/>
            </w:pPr>
            <w:r>
              <w:t xml:space="preserve">Status as of 2026-10-08</w:t>
            </w:r>
          </w:p>
        </w:tc>
        <w:tc>
          <w:tcPr>
            <w:tcW w:w="1882" w:type="dxa"/>
          </w:tcPr>
          <w:p>
            <w:pPr>
              <w:pStyle w:val="Compact"/>
              <w:jc w:val="left"/>
            </w:pPr>
            <w:r>
              <w:t xml:space="preserve">Source (date)</w:t>
            </w:r>
          </w:p>
        </w:tc>
        <w:tc>
          <w:tcPr>
            <w:tcW w:w="1180" w:type="dxa"/>
          </w:tcPr>
          <w:p>
            <w:pPr>
              <w:pStyle w:val="Compact"/>
              <w:jc w:val="left"/>
            </w:pPr>
            <w:r>
              <w:t xml:space="preserve">Confidence</w:t>
            </w:r>
          </w:p>
        </w:tc>
      </w:tr>
      <w:tr>
        <w:tc>
          <w:tcPr>
            <w:tcW w:w="1574" w:type="dxa"/>
          </w:tcPr>
          <w:p>
            <w:pPr>
              <w:pStyle w:val="Compact"/>
              <w:jc w:val="left"/>
            </w:pPr>
            <w:r>
              <w:t xml:space="preserve">Section 338 duties on goods of Canada</w:t>
            </w:r>
          </w:p>
        </w:tc>
        <w:tc>
          <w:tcPr>
            <w:tcW w:w="1475" w:type="dxa"/>
          </w:tcPr>
          <w:p>
            <w:pPr>
              <w:pStyle w:val="Compact"/>
              <w:jc w:val="left"/>
            </w:pPr>
            <w:r>
              <w:t xml:space="preserve">Tariff Act of 1930, section 338 (19 U.S.C. 1338); Proclamations 11046 (alcoholic beverages), 11047 (dairy) and 11048 (motor vehicles) of 2026-07-20; three-day suspension by Proclamation 11056 (2026-08-18); five proclamations of 2026-09-08: scope changes by Proclamations 11064 (alcoholic beverages) and 11065 (motor vehicles), import exclusions by Proclamations 11061 to 11063</w:t>
            </w:r>
          </w:p>
        </w:tc>
        <w:tc>
          <w:tcPr>
            <w:tcW w:w="1869" w:type="dxa"/>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the products in the annexes to Proclamations 11061 to 11063, a subset of the duty lists, are excluded from importation (CSMS 70050970); the rest of the lists still pay 50%. Stacks on AD/CVD and other duties (US-8 for Section 232)</w:t>
            </w:r>
          </w:p>
        </w:tc>
        <w:tc>
          <w:tcPr>
            <w:tcW w:w="1377" w:type="dxa"/>
          </w:tcPr>
          <w:p>
            <w:pPr>
              <w:pStyle w:val="Compact"/>
              <w:jc w:val="left"/>
            </w:pPr>
            <w:r>
              <w:t xml:space="preserve">In force from 12:01 a.m. ET 2026-08-22 (start moved from 2026-08-19 by the suspension); import bans from 2026-09-29. Drawback available on 9903.03.12 to 9903.03.14</w:t>
            </w:r>
          </w:p>
        </w:tc>
        <w:tc>
          <w:tcPr>
            <w:tcW w:w="1882" w:type="dxa"/>
          </w:tcPr>
          <w:p>
            <w:pPr>
              <w:pStyle w:val="Compact"/>
              <w:jc w:val="left"/>
            </w:pPr>
            <w:hyperlink r:id="rId67">
              <w:r>
                <w:rPr>
                  <w:rStyle w:val="Hyperlink"/>
                </w:rPr>
                <w:t xml:space="preserve">https://www.federalregister.gov/d/2026-14997</w:t>
              </w:r>
            </w:hyperlink>
            <w:r>
              <w:t xml:space="preserve"> </w:t>
            </w:r>
            <w:r>
              <w:t xml:space="preserve">(2026-07-23);</w:t>
            </w:r>
            <w:r>
              <w:t xml:space="preserve"> </w:t>
            </w:r>
            <w:hyperlink r:id="rId68">
              <w:r>
                <w:rPr>
                  <w:rStyle w:val="Hyperlink"/>
                </w:rPr>
                <w:t xml:space="preserve">https://www.federalregister.gov/d/2026-17294</w:t>
              </w:r>
            </w:hyperlink>
            <w:r>
              <w:t xml:space="preserve"> </w:t>
            </w:r>
            <w:r>
              <w:t xml:space="preserve">(2026-08-24);</w:t>
            </w:r>
            <w:r>
              <w:t xml:space="preserve"> </w:t>
            </w:r>
            <w:hyperlink r:id="rId69">
              <w:r>
                <w:rPr>
                  <w:rStyle w:val="Hyperlink"/>
                </w:rPr>
                <w:t xml:space="preserve">https://www.federalregister.gov/d/2026-18837</w:t>
              </w:r>
            </w:hyperlink>
            <w:r>
              <w:t xml:space="preserve"> </w:t>
            </w:r>
            <w:r>
              <w:t xml:space="preserve">and</w:t>
            </w:r>
            <w:r>
              <w:t xml:space="preserve"> </w:t>
            </w:r>
            <w:hyperlink r:id="rId70">
              <w:r>
                <w:rPr>
                  <w:rStyle w:val="Hyperlink"/>
                </w:rPr>
                <w:t xml:space="preserve">https://www.federalregister.gov/d/2026-18839</w:t>
              </w:r>
            </w:hyperlink>
            <w:r>
              <w:t xml:space="preserve"> </w:t>
            </w:r>
            <w:r>
              <w:t xml:space="preserve">(2026-09-14); CBP CSMS 69606660 (2026-08-21) and 69851916,</w:t>
            </w:r>
            <w:r>
              <w:t xml:space="preserve"> </w:t>
            </w:r>
            <w:hyperlink r:id="rId71">
              <w:r>
                <w:rPr>
                  <w:rStyle w:val="Hyperlink"/>
                </w:rPr>
                <w:t xml:space="preserve">https://content.govdelivery.com/accounts/USDHSCBP/bulletins/429db0c</w:t>
              </w:r>
            </w:hyperlink>
            <w:r>
              <w:t xml:space="preserve"> </w:t>
            </w:r>
            <w:r>
              <w:t xml:space="preserve">(2026-09); import bans: CBP CSMS 70050970,</w:t>
            </w:r>
            <w:r>
              <w:t xml:space="preserve"> </w:t>
            </w:r>
            <w:hyperlink r:id="rId72">
              <w:r>
                <w:rPr>
                  <w:rStyle w:val="Hyperlink"/>
                </w:rPr>
                <w:t xml:space="preserve">https://content.govdelivery.com/accounts/USDHSCBP/bulletins/42ce49a</w:t>
              </w:r>
            </w:hyperlink>
            <w:r>
              <w:t xml:space="preserve"> </w:t>
            </w:r>
            <w:r>
              <w:t xml:space="preserve">(2026-09-28)</w:t>
            </w:r>
          </w:p>
        </w:tc>
        <w:tc>
          <w:tcPr>
            <w:tcW w:w="1180" w:type="dxa"/>
          </w:tcPr>
          <w:p>
            <w:pPr>
              <w:pStyle w:val="Compact"/>
              <w:jc w:val="left"/>
            </w:pPr>
            <w:r>
              <w:t xml:space="preserve">Confirmed (rate, dates, bans, numbers); Reported (USMCA, from the fact sheet and CRS)</w:t>
            </w:r>
          </w:p>
        </w:tc>
      </w:tr>
      <w:tr>
        <w:tc>
          <w:tcPr>
            <w:tcW w:w="1574" w:type="dxa"/>
          </w:tcPr>
          <w:p>
            <w:pPr>
              <w:pStyle w:val="Compact"/>
              <w:jc w:val="left"/>
            </w:pPr>
            <w:r>
              <w:t xml:space="preserve">Solar cells and modules safeguard</w:t>
            </w:r>
          </w:p>
        </w:tc>
        <w:tc>
          <w:tcPr>
            <w:tcW w:w="1475" w:type="dxa"/>
          </w:tcPr>
          <w:p>
            <w:pPr>
              <w:pStyle w:val="Compact"/>
              <w:jc w:val="left"/>
            </w:pPr>
            <w:r>
              <w:t xml:space="preserve">Section 201, Trade Act of 1974 (19 U.S.C. 2251); Proclamations 9693 (2018) and 10339 (2022)</w:t>
            </w:r>
          </w:p>
        </w:tc>
        <w:tc>
          <w:tcPr>
            <w:tcW w:w="1869" w:type="dxa"/>
          </w:tcPr>
          <w:p>
            <w:pPr>
              <w:pStyle w:val="Compact"/>
              <w:jc w:val="left"/>
            </w:pPr>
            <w:r>
              <w:t xml:space="preserve">Safeguard on crystalline silicon solar cells and modules</w:t>
            </w:r>
          </w:p>
        </w:tc>
        <w:tc>
          <w:tcPr>
            <w:tcW w:w="1377" w:type="dxa"/>
          </w:tcPr>
          <w:p>
            <w:pPr>
              <w:pStyle w:val="Compact"/>
              <w:jc w:val="left"/>
            </w:pPr>
            <w:r>
              <w:t xml:space="preserve">Ended: terminated 2026-02-06 at the eight-year limit. Solar products now face the Section 232 polysilicon action from 2026-12-04 (US-3); AD/CVD orders continue</w:t>
            </w:r>
          </w:p>
        </w:tc>
        <w:tc>
          <w:tcPr>
            <w:tcW w:w="1882" w:type="dxa"/>
          </w:tcPr>
          <w:p>
            <w:pPr>
              <w:pStyle w:val="Compact"/>
              <w:jc w:val="left"/>
            </w:pPr>
            <w:r>
              <w:t xml:space="preserve">Proclamation 10339 (2022-02-04; extended the safeguard through 2026-02-06); USITC notice opening the post-termination evaluation,</w:t>
            </w:r>
            <w:r>
              <w:t xml:space="preserve"> </w:t>
            </w:r>
            <w:hyperlink r:id="rId73">
              <w:r>
                <w:rPr>
                  <w:rStyle w:val="Hyperlink"/>
                </w:rPr>
                <w:t xml:space="preserve">https://www.federalregister.gov/d/2026-05170</w:t>
              </w:r>
            </w:hyperlink>
            <w:r>
              <w:t xml:space="preserve"> </w:t>
            </w:r>
            <w:r>
              <w:t xml:space="preserve">(2026-03-17); USITC Pub. 5773, the evaluation report,</w:t>
            </w:r>
            <w:r>
              <w:t xml:space="preserve"> </w:t>
            </w:r>
            <w:hyperlink r:id="rId74">
              <w:r>
                <w:rPr>
                  <w:rStyle w:val="Hyperlink"/>
                </w:rPr>
                <w:t xml:space="preserve">https://www.usitc.gov/publications/safeguards/pub5773.pdf</w:t>
              </w:r>
            </w:hyperlink>
            <w:r>
              <w:t xml:space="preserve"> </w:t>
            </w:r>
            <w:r>
              <w:t xml:space="preserve">(2026-08)</w:t>
            </w:r>
          </w:p>
        </w:tc>
        <w:tc>
          <w:tcPr>
            <w:tcW w:w="1180" w:type="dxa"/>
          </w:tcPr>
          <w:p>
            <w:pPr>
              <w:pStyle w:val="Compact"/>
              <w:jc w:val="left"/>
            </w:pPr>
            <w:r>
              <w:t xml:space="preserve">Confirmed (end date). The USITC documents evaluate the measure after it ended; they did not end it</w:t>
            </w:r>
          </w:p>
        </w:tc>
      </w:tr>
      <w:tr>
        <w:tc>
          <w:tcPr>
            <w:tcW w:w="1574" w:type="dxa"/>
          </w:tcPr>
          <w:p>
            <w:pPr>
              <w:pStyle w:val="Compact"/>
              <w:jc w:val="left"/>
            </w:pPr>
            <w:r>
              <w:t xml:space="preserve">Antidumping and countervailing duties</w:t>
            </w:r>
          </w:p>
        </w:tc>
        <w:tc>
          <w:tcPr>
            <w:tcW w:w="1475" w:type="dxa"/>
          </w:tcPr>
          <w:p>
            <w:pPr>
              <w:pStyle w:val="Compact"/>
              <w:jc w:val="left"/>
            </w:pPr>
            <w:r>
              <w:t xml:space="preserve">Tariff Act of 1930, Title VII</w:t>
            </w:r>
          </w:p>
        </w:tc>
        <w:tc>
          <w:tcPr>
            <w:tcW w:w="1869" w:type="dxa"/>
          </w:tcPr>
          <w:p>
            <w:pPr>
              <w:pStyle w:val="Compact"/>
              <w:jc w:val="left"/>
            </w:pPr>
            <w:r>
              <w:t xml:space="preserve">Orders on specific products from specific countries, producer-specific rates</w:t>
            </w:r>
          </w:p>
        </w:tc>
        <w:tc>
          <w:tcPr>
            <w:tcW w:w="1377" w:type="dxa"/>
          </w:tcPr>
          <w:p>
            <w:pPr>
              <w:pStyle w:val="Compact"/>
              <w:jc w:val="left"/>
            </w:pPr>
            <w:r>
              <w:t xml:space="preserve">Case by case: check orders on our product lines ([COMPANY: product lines])</w:t>
            </w:r>
          </w:p>
        </w:tc>
        <w:tc>
          <w:tcPr>
            <w:tcW w:w="1882" w:type="dxa"/>
          </w:tcPr>
          <w:p>
            <w:pPr>
              <w:pStyle w:val="Compact"/>
              <w:jc w:val="left"/>
            </w:pPr>
            <w:hyperlink r:id="rId75">
              <w:r>
                <w:rPr>
                  <w:rStyle w:val="Hyperlink"/>
                </w:rPr>
                <w:t xml:space="preserve">https://www.trade.gov/</w:t>
              </w:r>
            </w:hyperlink>
            <w:r>
              <w:t xml:space="preserve"> </w:t>
            </w:r>
            <w:r>
              <w:t xml:space="preserve">; Federal Register</w:t>
            </w:r>
          </w:p>
        </w:tc>
        <w:tc>
          <w:tcPr>
            <w:tcW w:w="1180" w:type="dxa"/>
          </w:tcPr>
          <w:p>
            <w:pPr>
              <w:pStyle w:val="Compact"/>
              <w:jc w:val="left"/>
            </w:pPr>
            <w:r>
              <w:t xml:space="preserve">Not applicable</w:t>
            </w:r>
          </w:p>
        </w:tc>
      </w:tr>
    </w:tbl>
    <w:bookmarkEnd w:id="76"/>
    <w:bookmarkStart w:id="81" w:name="us-6-de-minimis-section-321-19-usc-1321"/>
    <w:p>
      <w:pPr>
        <w:pStyle w:val="Heading4"/>
      </w:pPr>
      <w:r>
        <w:t xml:space="preserve">US-6 De minimis (Section 321, 19 U.S.C. 1321)</w:t>
      </w:r>
    </w:p>
    <w:tbl>
      <w:tblPr>
        <w:tblStyle w:val="Table"/>
        <w:tblW w:type="dxa" w:w="9360"/>
        <w:tblLook w:firstRow="1" w:lastRow="0" w:firstColumn="0" w:lastColumn="0" w:noHBand="0" w:noVBand="0" w:val="0020"/>
        <w:jc w:val="start"/>
        <w:tblLayout w:type="fixed"/>
      </w:tblPr>
      <w:tblGrid>
        <w:gridCol w:w="1319"/>
        <w:gridCol w:w="1649"/>
        <w:gridCol w:w="1319"/>
        <w:gridCol w:w="1539"/>
        <w:gridCol w:w="2103"/>
        <w:gridCol w:w="1429"/>
      </w:tblGrid>
      <w:tr>
        <w:trPr>
          <w:tblHeader w:val="true"/>
        </w:trPr>
        <w:tc>
          <w:tcPr>
            <w:tcW w:w="1319" w:type="dxa"/>
          </w:tcPr>
          <w:p>
            <w:pPr>
              <w:pStyle w:val="Compact"/>
              <w:jc w:val="left"/>
            </w:pPr>
            <w:r>
              <w:t xml:space="preserve">Action</w:t>
            </w:r>
          </w:p>
        </w:tc>
        <w:tc>
          <w:tcPr>
            <w:tcW w:w="1649" w:type="dxa"/>
          </w:tcPr>
          <w:p>
            <w:pPr>
              <w:pStyle w:val="Compact"/>
              <w:jc w:val="left"/>
            </w:pPr>
            <w:r>
              <w:t xml:space="preserve">Authority</w:t>
            </w:r>
          </w:p>
        </w:tc>
        <w:tc>
          <w:tcPr>
            <w:tcW w:w="1319" w:type="dxa"/>
          </w:tcPr>
          <w:p>
            <w:pPr>
              <w:pStyle w:val="Compact"/>
              <w:jc w:val="left"/>
            </w:pPr>
            <w:r>
              <w:t xml:space="preserve">Scope</w:t>
            </w:r>
          </w:p>
        </w:tc>
        <w:tc>
          <w:tcPr>
            <w:tcW w:w="1539" w:type="dxa"/>
          </w:tcPr>
          <w:p>
            <w:pPr>
              <w:pStyle w:val="Compact"/>
              <w:jc w:val="left"/>
            </w:pPr>
            <w:r>
              <w:t xml:space="preserve">Status as of 2026-10-08</w:t>
            </w:r>
          </w:p>
        </w:tc>
        <w:tc>
          <w:tcPr>
            <w:tcW w:w="2103" w:type="dxa"/>
          </w:tcPr>
          <w:p>
            <w:pPr>
              <w:pStyle w:val="Compact"/>
              <w:jc w:val="left"/>
            </w:pPr>
            <w:r>
              <w:t xml:space="preserve">Source (date)</w:t>
            </w:r>
          </w:p>
        </w:tc>
        <w:tc>
          <w:tcPr>
            <w:tcW w:w="1429" w:type="dxa"/>
          </w:tcPr>
          <w:p>
            <w:pPr>
              <w:pStyle w:val="Compact"/>
              <w:jc w:val="left"/>
            </w:pPr>
            <w:r>
              <w:t xml:space="preserve">Confidence</w:t>
            </w:r>
          </w:p>
        </w:tc>
      </w:tr>
      <w:tr>
        <w:tc>
          <w:tcPr>
            <w:tcW w:w="1319" w:type="dxa"/>
          </w:tcPr>
          <w:p>
            <w:pPr>
              <w:pStyle w:val="Compact"/>
              <w:jc w:val="left"/>
            </w:pPr>
            <w:r>
              <w:t xml:space="preserve">End of de minimis for China and Hong Kong</w:t>
            </w:r>
          </w:p>
        </w:tc>
        <w:tc>
          <w:tcPr>
            <w:tcW w:w="1649" w:type="dxa"/>
          </w:tcPr>
          <w:p>
            <w:pPr>
              <w:pStyle w:val="Compact"/>
              <w:jc w:val="left"/>
            </w:pPr>
            <w:r>
              <w:t xml:space="preserve">IEEPA; EO 14256 (2025-04-02)</w:t>
            </w:r>
          </w:p>
        </w:tc>
        <w:tc>
          <w:tcPr>
            <w:tcW w:w="1319" w:type="dxa"/>
          </w:tcPr>
          <w:p>
            <w:pPr>
              <w:pStyle w:val="Compact"/>
              <w:jc w:val="left"/>
            </w:pPr>
            <w:r>
              <w:t xml:space="preserve">Low-value shipments of China and Hong Kong origin</w:t>
            </w:r>
          </w:p>
        </w:tc>
        <w:tc>
          <w:tcPr>
            <w:tcW w:w="1539" w:type="dxa"/>
          </w:tcPr>
          <w:p>
            <w:pPr>
              <w:pStyle w:val="Compact"/>
              <w:jc w:val="left"/>
            </w:pPr>
            <w:r>
              <w:t xml:space="preserve">Ended from 2025-05-02; now covered by the global suspension below</w:t>
            </w:r>
          </w:p>
        </w:tc>
        <w:tc>
          <w:tcPr>
            <w:tcW w:w="2103" w:type="dxa"/>
          </w:tcPr>
          <w:p>
            <w:pPr>
              <w:pStyle w:val="Compact"/>
              <w:jc w:val="left"/>
            </w:pPr>
            <w:r>
              <w:t xml:space="preserve">Federal Register (2025-04)</w:t>
            </w:r>
          </w:p>
        </w:tc>
        <w:tc>
          <w:tcPr>
            <w:tcW w:w="1429" w:type="dxa"/>
          </w:tcPr>
          <w:p>
            <w:pPr>
              <w:pStyle w:val="Compact"/>
              <w:jc w:val="left"/>
            </w:pPr>
            <w:r>
              <w:t xml:space="preserve">Reported</w:t>
            </w:r>
          </w:p>
        </w:tc>
      </w:tr>
      <w:tr>
        <w:tc>
          <w:tcPr>
            <w:tcW w:w="1319" w:type="dxa"/>
          </w:tcPr>
          <w:p>
            <w:pPr>
              <w:pStyle w:val="Compact"/>
              <w:jc w:val="left"/>
            </w:pPr>
            <w:r>
              <w:t xml:space="preserve">Global suspension of duty-free de minimis</w:t>
            </w:r>
          </w:p>
        </w:tc>
        <w:tc>
          <w:tcPr>
            <w:tcW w:w="1649" w:type="dxa"/>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published 2026-06-24 under 19 U.S.C. 1321(b): CBP Dec. 26-12 (19 CFR 10.151, non-postal, effective 2026-06-24) and CBP Dec. 26-13 (19 CFR Part 145, postal, effective 2026-07-24)</w:t>
            </w:r>
          </w:p>
        </w:tc>
        <w:tc>
          <w:tcPr>
            <w:tcW w:w="1319" w:type="dxa"/>
          </w:tcPr>
          <w:p>
            <w:pPr>
              <w:pStyle w:val="Compact"/>
              <w:jc w:val="left"/>
            </w:pPr>
            <w:r>
              <w:t xml:space="preserve">Shipments valued at $800 or less, all countries and modes</w:t>
            </w:r>
          </w:p>
        </w:tc>
        <w:tc>
          <w:tcPr>
            <w:tcW w:w="1539" w:type="dxa"/>
          </w:tcPr>
          <w:p>
            <w:pPr>
              <w:pStyle w:val="Compact"/>
              <w:jc w:val="left"/>
            </w:pPr>
            <w:r>
              <w:t xml:space="preserve">In force: no duty-free Section 321 treatment. Since 2026-06-24 (non-postal) and 2026-07-24 (postal) the suspension also rests on CBP's own regulations, so it no longer depends on IEEPA. New postal informal entry process from 2026-07-24; some postal compliance requirements from 2026-10-22 (reported)</w:t>
            </w:r>
          </w:p>
        </w:tc>
        <w:tc>
          <w:tcPr>
            <w:tcW w:w="2103" w:type="dxa"/>
          </w:tcPr>
          <w:p>
            <w:pPr>
              <w:pStyle w:val="Compact"/>
              <w:jc w:val="left"/>
            </w:pPr>
            <w:hyperlink r:id="rId77">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8">
              <w:r>
                <w:rPr>
                  <w:rStyle w:val="Hyperlink"/>
                </w:rPr>
                <w:t xml:space="preserve">https://www.federalregister.gov/d/2026-12670</w:t>
              </w:r>
            </w:hyperlink>
            <w:r>
              <w:t xml:space="preserve"> </w:t>
            </w:r>
            <w:r>
              <w:t xml:space="preserve">and</w:t>
            </w:r>
            <w:r>
              <w:t xml:space="preserve"> </w:t>
            </w:r>
            <w:hyperlink r:id="rId79">
              <w:r>
                <w:rPr>
                  <w:rStyle w:val="Hyperlink"/>
                </w:rPr>
                <w:t xml:space="preserve">https://www.federalregister.gov/d/2026-12669</w:t>
              </w:r>
            </w:hyperlink>
            <w:r>
              <w:t xml:space="preserve"> </w:t>
            </w:r>
            <w:r>
              <w:t xml:space="preserve">(2026-06-24)</w:t>
            </w:r>
          </w:p>
        </w:tc>
        <w:tc>
          <w:tcPr>
            <w:tcW w:w="1429" w:type="dxa"/>
          </w:tcPr>
          <w:p>
            <w:pPr>
              <w:pStyle w:val="Compact"/>
              <w:jc w:val="left"/>
            </w:pPr>
            <w:r>
              <w:t xml:space="preserve">Confirmed (rules, effective dates); Reported (2026-10-22 compliance date)</w:t>
            </w:r>
          </w:p>
        </w:tc>
      </w:tr>
      <w:tr>
        <w:tc>
          <w:tcPr>
            <w:tcW w:w="1319" w:type="dxa"/>
          </w:tcPr>
          <w:p>
            <w:pPr>
              <w:pStyle w:val="Compact"/>
              <w:jc w:val="left"/>
            </w:pPr>
            <w:r>
              <w:t xml:space="preserve">Statutory repeal for commercial shipments</w:t>
            </w:r>
          </w:p>
        </w:tc>
        <w:tc>
          <w:tcPr>
            <w:tcW w:w="1649" w:type="dxa"/>
          </w:tcPr>
          <w:p>
            <w:pPr>
              <w:pStyle w:val="Compact"/>
              <w:jc w:val="left"/>
            </w:pPr>
            <w:r>
              <w:t xml:space="preserve">Pub. L. 119-21 (2025-07-04)</w:t>
            </w:r>
          </w:p>
        </w:tc>
        <w:tc>
          <w:tcPr>
            <w:tcW w:w="1319" w:type="dxa"/>
          </w:tcPr>
          <w:p>
            <w:pPr>
              <w:pStyle w:val="Compact"/>
              <w:jc w:val="left"/>
            </w:pPr>
            <w:r>
              <w:t xml:space="preserve">Removes de minimis for commercial shipments by law</w:t>
            </w:r>
          </w:p>
        </w:tc>
        <w:tc>
          <w:tcPr>
            <w:tcW w:w="1539" w:type="dxa"/>
          </w:tcPr>
          <w:p>
            <w:pPr>
              <w:pStyle w:val="Compact"/>
              <w:jc w:val="left"/>
            </w:pPr>
            <w:r>
              <w:t xml:space="preserve">Effective 2027-07-01</w:t>
            </w:r>
          </w:p>
        </w:tc>
        <w:tc>
          <w:tcPr>
            <w:tcW w:w="2103" w:type="dxa"/>
          </w:tcPr>
          <w:p>
            <w:pPr>
              <w:pStyle w:val="Compact"/>
              <w:jc w:val="left"/>
            </w:pPr>
            <w:hyperlink r:id="rId80">
              <w:r>
                <w:rPr>
                  <w:rStyle w:val="Hyperlink"/>
                </w:rPr>
                <w:t xml:space="preserve">https://www.congress.gov/bill/119th-congress/house-bill/1</w:t>
              </w:r>
            </w:hyperlink>
            <w:r>
              <w:t xml:space="preserve"> </w:t>
            </w:r>
            <w:r>
              <w:t xml:space="preserve">; cited in CBP Dec. 26-12</w:t>
            </w:r>
          </w:p>
        </w:tc>
        <w:tc>
          <w:tcPr>
            <w:tcW w:w="1429" w:type="dxa"/>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81"/>
    <w:bookmarkStart w:id="82"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dxa" w:w="9360"/>
        <w:tblLook w:firstRow="1" w:lastRow="0" w:firstColumn="0" w:lastColumn="0" w:noHBand="0" w:noVBand="0" w:val="0020"/>
        <w:jc w:val="start"/>
        <w:tblLayout w:type="fixed"/>
      </w:tblPr>
      <w:tblGrid>
        <w:gridCol w:w="2070"/>
        <w:gridCol w:w="3834"/>
        <w:gridCol w:w="1994"/>
        <w:gridCol w:w="1460"/>
      </w:tblGrid>
      <w:tr>
        <w:trPr>
          <w:tblHeader w:val="true"/>
        </w:trPr>
        <w:tc>
          <w:tcPr>
            <w:tcW w:w="2070" w:type="dxa"/>
          </w:tcPr>
          <w:p>
            <w:pPr>
              <w:pStyle w:val="Compact"/>
              <w:jc w:val="left"/>
            </w:pPr>
            <w:r>
              <w:t xml:space="preserve">Action</w:t>
            </w:r>
          </w:p>
        </w:tc>
        <w:tc>
          <w:tcPr>
            <w:tcW w:w="3834" w:type="dxa"/>
          </w:tcPr>
          <w:p>
            <w:pPr>
              <w:pStyle w:val="Compact"/>
              <w:jc w:val="left"/>
            </w:pPr>
            <w:r>
              <w:t xml:space="preserve">Entered free of duty under USMCA (claim on the entry)</w:t>
            </w:r>
          </w:p>
        </w:tc>
        <w:tc>
          <w:tcPr>
            <w:tcW w:w="1994" w:type="dxa"/>
          </w:tcPr>
          <w:p>
            <w:pPr>
              <w:pStyle w:val="Compact"/>
              <w:jc w:val="left"/>
            </w:pPr>
            <w:r>
              <w:t xml:space="preserve">No USMCA claim, or the good does not qualify</w:t>
            </w:r>
          </w:p>
        </w:tc>
        <w:tc>
          <w:tcPr>
            <w:tcW w:w="1460" w:type="dxa"/>
          </w:tcPr>
          <w:p>
            <w:pPr>
              <w:pStyle w:val="Compact"/>
              <w:jc w:val="left"/>
            </w:pPr>
            <w:r>
              <w:t xml:space="preserve">Confidence</w:t>
            </w:r>
          </w:p>
        </w:tc>
      </w:tr>
      <w:tr>
        <w:tc>
          <w:tcPr>
            <w:tcW w:w="2070" w:type="dxa"/>
          </w:tcPr>
          <w:p>
            <w:pPr>
              <w:pStyle w:val="Compact"/>
              <w:jc w:val="left"/>
            </w:pPr>
            <w:r>
              <w:t xml:space="preserve">IEEPA duties (ended for goods entered on or after 2026-02-24)</w:t>
            </w:r>
          </w:p>
        </w:tc>
        <w:tc>
          <w:tcPr>
            <w:tcW w:w="3834" w:type="dxa"/>
          </w:tcPr>
          <w:p>
            <w:pPr>
              <w:pStyle w:val="Compact"/>
              <w:jc w:val="left"/>
            </w:pPr>
            <w:r>
              <w:t xml:space="preserve">Exempt from 2025-03-07</w:t>
            </w:r>
          </w:p>
        </w:tc>
        <w:tc>
          <w:tcPr>
            <w:tcW w:w="1994" w:type="dxa"/>
          </w:tcPr>
          <w:p>
            <w:pPr>
              <w:pStyle w:val="Compact"/>
              <w:jc w:val="left"/>
            </w:pPr>
            <w:r>
              <w:t xml:space="preserve">Covered: 25%; Canada 35% from 2025-08-01; Canadian energy and potash 10%. Refunds through CAPE (US-1)</w:t>
            </w:r>
          </w:p>
        </w:tc>
        <w:tc>
          <w:tcPr>
            <w:tcW w:w="1460" w:type="dxa"/>
          </w:tcPr>
          <w:p>
            <w:pPr>
              <w:pStyle w:val="Compact"/>
              <w:jc w:val="left"/>
            </w:pPr>
            <w:r>
              <w:t xml:space="preserve">Confirmed (end); Reported (history)</w:t>
            </w:r>
          </w:p>
        </w:tc>
      </w:tr>
      <w:tr>
        <w:tc>
          <w:tcPr>
            <w:tcW w:w="2070" w:type="dxa"/>
          </w:tcPr>
          <w:p>
            <w:pPr>
              <w:pStyle w:val="Compact"/>
              <w:jc w:val="left"/>
            </w:pPr>
            <w:r>
              <w:t xml:space="preserve">Section 122 surcharge (2026-02-24 to 2026-07-24, ended)</w:t>
            </w:r>
          </w:p>
        </w:tc>
        <w:tc>
          <w:tcPr>
            <w:tcW w:w="3834" w:type="dxa"/>
          </w:tcPr>
          <w:p>
            <w:pPr>
              <w:pStyle w:val="Compact"/>
              <w:jc w:val="left"/>
            </w:pPr>
            <w:r>
              <w:t xml:space="preserve">Exempt (9903.03.07 Canada, 9903.03.08 Mexico)</w:t>
            </w:r>
          </w:p>
        </w:tc>
        <w:tc>
          <w:tcPr>
            <w:tcW w:w="1994" w:type="dxa"/>
          </w:tcPr>
          <w:p>
            <w:pPr>
              <w:pStyle w:val="Compact"/>
              <w:jc w:val="left"/>
            </w:pPr>
            <w:r>
              <w:t xml:space="preserve">10%</w:t>
            </w:r>
          </w:p>
        </w:tc>
        <w:tc>
          <w:tcPr>
            <w:tcW w:w="1460" w:type="dxa"/>
          </w:tcPr>
          <w:p>
            <w:pPr>
              <w:pStyle w:val="Compact"/>
              <w:jc w:val="left"/>
            </w:pPr>
            <w:r>
              <w:t xml:space="preserve">Confirmed</w:t>
            </w:r>
          </w:p>
        </w:tc>
      </w:tr>
      <w:tr>
        <w:tc>
          <w:tcPr>
            <w:tcW w:w="2070" w:type="dxa"/>
          </w:tcPr>
          <w:p>
            <w:pPr>
              <w:pStyle w:val="Compact"/>
              <w:jc w:val="left"/>
            </w:pPr>
            <w:r>
              <w:t xml:space="preserve">Section 301 forced labor (from 2026-07-24)</w:t>
            </w:r>
          </w:p>
        </w:tc>
        <w:tc>
          <w:tcPr>
            <w:tcW w:w="3834" w:type="dxa"/>
          </w:tcPr>
          <w:p>
            <w:pPr>
              <w:pStyle w:val="Compact"/>
              <w:jc w:val="left"/>
            </w:pPr>
            <w:r>
              <w:t xml:space="preserve">Exempt (9903.05.93 Canada, 9903.05.94 Mexico)</w:t>
            </w:r>
          </w:p>
        </w:tc>
        <w:tc>
          <w:tcPr>
            <w:tcW w:w="1994" w:type="dxa"/>
          </w:tcPr>
          <w:p>
            <w:pPr>
              <w:pStyle w:val="Compact"/>
              <w:jc w:val="left"/>
            </w:pPr>
            <w:r>
              <w:t xml:space="preserve">10% (9903.05.29 Canada, 9903.05.55 Mexico); articles subject to Section 232 not covered</w:t>
            </w:r>
          </w:p>
        </w:tc>
        <w:tc>
          <w:tcPr>
            <w:tcW w:w="1460" w:type="dxa"/>
          </w:tcPr>
          <w:p>
            <w:pPr>
              <w:pStyle w:val="Compact"/>
              <w:jc w:val="left"/>
            </w:pPr>
            <w:r>
              <w:t xml:space="preserve">Confirmed</w:t>
            </w:r>
          </w:p>
        </w:tc>
      </w:tr>
      <w:tr>
        <w:tc>
          <w:tcPr>
            <w:tcW w:w="2070" w:type="dxa"/>
          </w:tcPr>
          <w:p>
            <w:pPr>
              <w:pStyle w:val="Compact"/>
              <w:jc w:val="left"/>
            </w:pPr>
            <w:r>
              <w:t xml:space="preserve">Section 338 on goods of Canada (from 2026-08-22)</w:t>
            </w:r>
          </w:p>
        </w:tc>
        <w:tc>
          <w:tcPr>
            <w:tcW w:w="3834" w:type="dxa"/>
          </w:tcPr>
          <w:p>
            <w:pPr>
              <w:pStyle w:val="Compact"/>
              <w:jc w:val="left"/>
            </w:pPr>
            <w:r>
              <w:t xml:space="preserve">No exemption: 50% on listed goods; some listed goods banned from 2026-09-29</w:t>
            </w:r>
          </w:p>
        </w:tc>
        <w:tc>
          <w:tcPr>
            <w:tcW w:w="1994" w:type="dxa"/>
          </w:tcPr>
          <w:p>
            <w:pPr>
              <w:pStyle w:val="Compact"/>
              <w:jc w:val="left"/>
            </w:pPr>
            <w:r>
              <w:t xml:space="preserve">Same</w:t>
            </w:r>
          </w:p>
        </w:tc>
        <w:tc>
          <w:tcPr>
            <w:tcW w:w="1460" w:type="dxa"/>
          </w:tcPr>
          <w:p>
            <w:pPr>
              <w:pStyle w:val="Compact"/>
              <w:jc w:val="left"/>
            </w:pPr>
            <w:r>
              <w:t xml:space="preserve">Reported (fact sheet and CRS; no exemption seen in the text)</w:t>
            </w:r>
          </w:p>
        </w:tc>
      </w:tr>
      <w:tr>
        <w:tc>
          <w:tcPr>
            <w:tcW w:w="2070" w:type="dxa"/>
          </w:tcPr>
          <w:p>
            <w:pPr>
              <w:pStyle w:val="Compact"/>
              <w:jc w:val="left"/>
            </w:pPr>
            <w:r>
              <w:t xml:space="preserve">Section 232 steel, aluminum and copper</w:t>
            </w:r>
          </w:p>
        </w:tc>
        <w:tc>
          <w:tcPr>
            <w:tcW w:w="3834" w:type="dxa"/>
          </w:tcPr>
          <w:p>
            <w:pPr>
              <w:pStyle w:val="Compact"/>
              <w:jc w:val="left"/>
            </w:pPr>
            <w:r>
              <w:t xml:space="preserve">No general exemption: full customs value from 2026-04-06. Exception, 2026-06-08 to 2027-12-31: USMCA-qualifying Annex I-C mobile industrial equipment pays 25% only on the non-US content plus any US content above 40% of value (minimum effective 15%; steel articles on 9903.82.20 and 9903.82.21)</w:t>
            </w:r>
          </w:p>
        </w:tc>
        <w:tc>
          <w:tcPr>
            <w:tcW w:w="1994" w:type="dxa"/>
          </w:tcPr>
          <w:p>
            <w:pPr>
              <w:pStyle w:val="Compact"/>
              <w:jc w:val="left"/>
            </w:pPr>
            <w:r>
              <w:t xml:space="preserve">Full customs value; Annex I-C goods at 25%</w:t>
            </w:r>
          </w:p>
        </w:tc>
        <w:tc>
          <w:tcPr>
            <w:tcW w:w="1460" w:type="dxa"/>
          </w:tcPr>
          <w:p>
            <w:pPr>
              <w:pStyle w:val="Compact"/>
              <w:jc w:val="left"/>
            </w:pPr>
            <w:r>
              <w:t xml:space="preserve">Confirmed (full value); Reported (Annex I-C USMCA track)</w:t>
            </w:r>
          </w:p>
        </w:tc>
      </w:tr>
      <w:tr>
        <w:tc>
          <w:tcPr>
            <w:tcW w:w="2070" w:type="dxa"/>
          </w:tcPr>
          <w:p>
            <w:pPr>
              <w:pStyle w:val="Compact"/>
              <w:jc w:val="left"/>
            </w:pPr>
            <w:r>
              <w:t xml:space="preserve">Section 232 autos and auto parts</w:t>
            </w:r>
          </w:p>
        </w:tc>
        <w:tc>
          <w:tcPr>
            <w:tcW w:w="3834" w:type="dxa"/>
          </w:tcPr>
          <w:p>
            <w:pPr>
              <w:pStyle w:val="Compact"/>
              <w:jc w:val="left"/>
            </w:pPr>
            <w:r>
              <w:t xml:space="preserve">Vehicles: duty on non-US content only, under Commerce-approved US content. Parts: exempt until Commerce publishes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Confirmed (rule); Reported (no parts process)</w:t>
            </w:r>
          </w:p>
        </w:tc>
      </w:tr>
      <w:tr>
        <w:tc>
          <w:tcPr>
            <w:tcW w:w="2070" w:type="dxa"/>
          </w:tcPr>
          <w:p>
            <w:pPr>
              <w:pStyle w:val="Compact"/>
              <w:jc w:val="left"/>
            </w:pPr>
            <w:r>
              <w:t xml:space="preserve">Section 232 medium and heavy trucks</w:t>
            </w:r>
          </w:p>
        </w:tc>
        <w:tc>
          <w:tcPr>
            <w:tcW w:w="3834" w:type="dxa"/>
          </w:tcPr>
          <w:p>
            <w:pPr>
              <w:pStyle w:val="Compact"/>
              <w:jc w:val="left"/>
            </w:pPr>
            <w:r>
              <w:t xml:space="preserve">Approved models: duty on non-US content only (9903.74.03; US content 9903.74.06 at 0%). Parts: exempt until Commerce sets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Reported</w:t>
            </w:r>
          </w:p>
        </w:tc>
      </w:tr>
      <w:tr>
        <w:tc>
          <w:tcPr>
            <w:tcW w:w="2070" w:type="dxa"/>
          </w:tcPr>
          <w:p>
            <w:pPr>
              <w:pStyle w:val="Compact"/>
              <w:jc w:val="left"/>
            </w:pPr>
            <w:r>
              <w:t xml:space="preserve">Section 232 timber, lumber, furniture, cabinets</w:t>
            </w:r>
          </w:p>
        </w:tc>
        <w:tc>
          <w:tcPr>
            <w:tcW w:w="3834" w:type="dxa"/>
          </w:tcPr>
          <w:p>
            <w:pPr>
              <w:pStyle w:val="Compact"/>
              <w:jc w:val="left"/>
            </w:pPr>
            <w:r>
              <w:t xml:space="preserve">No exemption (reported)</w:t>
            </w:r>
          </w:p>
        </w:tc>
        <w:tc>
          <w:tcPr>
            <w:tcW w:w="1994" w:type="dxa"/>
          </w:tcPr>
          <w:p>
            <w:pPr>
              <w:pStyle w:val="Compact"/>
              <w:jc w:val="left"/>
            </w:pPr>
            <w:r>
              <w:t xml:space="preserve">Covered</w:t>
            </w:r>
          </w:p>
        </w:tc>
        <w:tc>
          <w:tcPr>
            <w:tcW w:w="1460" w:type="dxa"/>
          </w:tcPr>
          <w:p>
            <w:pPr>
              <w:pStyle w:val="Compact"/>
              <w:jc w:val="left"/>
            </w:pPr>
            <w:r>
              <w:t xml:space="preserve">Reported</w:t>
            </w:r>
          </w:p>
        </w:tc>
      </w:tr>
      <w:tr>
        <w:tc>
          <w:tcPr>
            <w:tcW w:w="2070" w:type="dxa"/>
          </w:tcPr>
          <w:p>
            <w:pPr>
              <w:pStyle w:val="Compact"/>
              <w:jc w:val="left"/>
            </w:pPr>
            <w:r>
              <w:t xml:space="preserve">Section 232 pharmaceuticals, semiconductors, drones, polysilicon</w:t>
            </w:r>
          </w:p>
        </w:tc>
        <w:tc>
          <w:tcPr>
            <w:tcW w:w="3834" w:type="dxa"/>
          </w:tcPr>
          <w:p>
            <w:pPr>
              <w:pStyle w:val="Compact"/>
              <w:jc w:val="left"/>
            </w:pPr>
            <w:r>
              <w:t xml:space="preserve">No USMCA exemption seen in this check: read each proclamation</w:t>
            </w:r>
          </w:p>
        </w:tc>
        <w:tc>
          <w:tcPr>
            <w:tcW w:w="1994" w:type="dxa"/>
          </w:tcPr>
          <w:p>
            <w:pPr>
              <w:pStyle w:val="Compact"/>
              <w:jc w:val="left"/>
            </w:pPr>
            <w:r>
              <w:t xml:space="preserve">Covered</w:t>
            </w:r>
          </w:p>
        </w:tc>
        <w:tc>
          <w:tcPr>
            <w:tcW w:w="1460" w:type="dxa"/>
          </w:tcPr>
          <w:p>
            <w:pPr>
              <w:pStyle w:val="Compact"/>
              <w:jc w:val="left"/>
            </w:pPr>
            <w:r>
              <w:t xml:space="preserve">Unclear</w:t>
            </w:r>
          </w:p>
        </w:tc>
      </w:tr>
      <w:tr>
        <w:tc>
          <w:tcPr>
            <w:tcW w:w="2070" w:type="dxa"/>
          </w:tcPr>
          <w:p>
            <w:pPr>
              <w:pStyle w:val="Compact"/>
              <w:jc w:val="left"/>
            </w:pPr>
            <w:r>
              <w:t xml:space="preserve">Section 301 China</w:t>
            </w:r>
          </w:p>
        </w:tc>
        <w:tc>
          <w:tcPr>
            <w:tcW w:w="3834" w:type="dxa"/>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tcW w:w="1994" w:type="dxa"/>
          </w:tcPr>
          <w:p>
            <w:pPr>
              <w:pStyle w:val="Compact"/>
              <w:jc w:val="left"/>
            </w:pPr>
            <w:r>
              <w:t xml:space="preserve">Same</w:t>
            </w:r>
          </w:p>
        </w:tc>
        <w:tc>
          <w:tcPr>
            <w:tcW w:w="1460" w:type="dxa"/>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2"/>
    <w:bookmarkStart w:id="84"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at launch, goods subject to listed Section 232 duties could claim the 0% line 9903.03.15 on all three lists. For entries from 12:01 a.m. ET 2026-09-15, only goods under 9903.03.13 (the dairy list) may claim it, so goods under 9903.03.12 (the alcoholic beverage list) and 9903.03.14 (the motor vehicle list) that are also subject to Section 232 pay both (CSMS 69851916; Proclamations 11064 and 11065) (Confirmed). 9903.03.16 is a separate 0% exclusion for qualifying Canadian civil aircraft, engines and parts, not a Section 232 line (reported).</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 and the non-US content (plus any US content above 40% of value) of USMCA-qualifying Annex I-C equipment under the Section 232 metals regime (Proclamation 11032, to 2027-12-31).</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dxa" w:w="9360"/>
        <w:tblLook w:firstRow="1" w:lastRow="0" w:firstColumn="0" w:lastColumn="0" w:noHBand="0" w:noVBand="0" w:val="0020"/>
        <w:jc w:val="start"/>
        <w:tblLayout w:type="fixed"/>
      </w:tblPr>
      <w:tblGrid>
        <w:gridCol w:w="2200"/>
        <w:gridCol w:w="1848"/>
        <w:gridCol w:w="3931"/>
        <w:gridCol w:w="1380"/>
      </w:tblGrid>
      <w:tr>
        <w:trPr>
          <w:tblHeader w:val="true"/>
        </w:trPr>
        <w:tc>
          <w:tcPr>
            <w:tcW w:w="2200" w:type="dxa"/>
          </w:tcPr>
          <w:p>
            <w:pPr>
              <w:pStyle w:val="Compact"/>
              <w:jc w:val="left"/>
            </w:pPr>
            <w:r>
              <w:t xml:space="preserve">Item</w:t>
            </w:r>
          </w:p>
        </w:tc>
        <w:tc>
          <w:tcPr>
            <w:tcW w:w="1848" w:type="dxa"/>
          </w:tcPr>
          <w:p>
            <w:pPr>
              <w:pStyle w:val="Compact"/>
              <w:jc w:val="left"/>
            </w:pPr>
            <w:r>
              <w:t xml:space="preserve">Last known</w:t>
            </w:r>
          </w:p>
        </w:tc>
        <w:tc>
          <w:tcPr>
            <w:tcW w:w="3931" w:type="dxa"/>
          </w:tcPr>
          <w:p>
            <w:pPr>
              <w:pStyle w:val="Compact"/>
              <w:jc w:val="left"/>
            </w:pPr>
            <w:r>
              <w:t xml:space="preserve">Source</w:t>
            </w:r>
          </w:p>
        </w:tc>
        <w:tc>
          <w:tcPr>
            <w:tcW w:w="1380" w:type="dxa"/>
          </w:tcPr>
          <w:p>
            <w:pPr>
              <w:pStyle w:val="Compact"/>
              <w:jc w:val="left"/>
            </w:pPr>
            <w:r>
              <w:t xml:space="preserve">Confidence</w:t>
            </w:r>
          </w:p>
        </w:tc>
      </w:tr>
      <w:tr>
        <w:tc>
          <w:tcPr>
            <w:tcW w:w="2200" w:type="dxa"/>
          </w:tcPr>
          <w:p>
            <w:pPr>
              <w:pStyle w:val="Compact"/>
              <w:jc w:val="left"/>
            </w:pPr>
            <w:r>
              <w:t xml:space="preserve">Latest CBP order-of-reporting message</w:t>
            </w:r>
          </w:p>
        </w:tc>
        <w:tc>
          <w:tcPr>
            <w:tcW w:w="1848" w:type="dxa"/>
          </w:tcPr>
          <w:p>
            <w:pPr>
              <w:pStyle w:val="Compact"/>
              <w:jc w:val="left"/>
            </w:pPr>
            <w:r>
              <w:t xml:space="preserve">CSMS 69668138 (2026): Section 301, then 338, then 232, then 201</w:t>
            </w:r>
          </w:p>
        </w:tc>
        <w:tc>
          <w:tcPr>
            <w:tcW w:w="3931" w:type="dxa"/>
          </w:tcPr>
          <w:p>
            <w:pPr>
              <w:pStyle w:val="Compact"/>
              <w:jc w:val="left"/>
            </w:pPr>
            <w:hyperlink r:id="rId83">
              <w:r>
                <w:rPr>
                  <w:rStyle w:val="Hyperlink"/>
                </w:rPr>
                <w:t xml:space="preserve">https://www.cbp.gov/trade/programs-administration/entry-summary/order-of-reporting-multiple-hts-in-ace</w:t>
              </w:r>
            </w:hyperlink>
          </w:p>
        </w:tc>
        <w:tc>
          <w:tcPr>
            <w:tcW w:w="1380" w:type="dxa"/>
          </w:tcPr>
          <w:p>
            <w:pPr>
              <w:pStyle w:val="Compact"/>
              <w:jc w:val="left"/>
            </w:pPr>
            <w:r>
              <w:t xml:space="preserve">Confirmed</w:t>
            </w:r>
          </w:p>
        </w:tc>
      </w:tr>
    </w:tbl>
    <w:bookmarkEnd w:id="84"/>
    <w:bookmarkStart w:id="89" w:name="us-9-customs-fees-used-in-landed-cost"/>
    <w:p>
      <w:pPr>
        <w:pStyle w:val="Heading4"/>
      </w:pPr>
      <w:r>
        <w:t xml:space="preserve">US-9 Customs fees used in landed cost</w:t>
      </w:r>
    </w:p>
    <w:tbl>
      <w:tblPr>
        <w:tblStyle w:val="Table"/>
        <w:tblW w:type="dxa" w:w="9360"/>
        <w:tblLook w:firstRow="1" w:lastRow="0" w:firstColumn="0" w:lastColumn="0" w:noHBand="0" w:noVBand="0" w:val="0020"/>
        <w:jc w:val="start"/>
        <w:tblLayout w:type="fixed"/>
      </w:tblPr>
      <w:tblGrid>
        <w:gridCol w:w="1380"/>
        <w:gridCol w:w="1168"/>
        <w:gridCol w:w="2017"/>
        <w:gridCol w:w="1486"/>
        <w:gridCol w:w="2031"/>
        <w:gridCol w:w="1274"/>
      </w:tblGrid>
      <w:tr>
        <w:trPr>
          <w:tblHeader w:val="true"/>
        </w:trPr>
        <w:tc>
          <w:tcPr>
            <w:tcW w:w="1380" w:type="dxa"/>
          </w:tcPr>
          <w:p>
            <w:pPr>
              <w:pStyle w:val="Compact"/>
              <w:jc w:val="left"/>
            </w:pPr>
            <w:r>
              <w:t xml:space="preserve">Fee</w:t>
            </w:r>
          </w:p>
        </w:tc>
        <w:tc>
          <w:tcPr>
            <w:tcW w:w="1168" w:type="dxa"/>
          </w:tcPr>
          <w:p>
            <w:pPr>
              <w:pStyle w:val="Compact"/>
              <w:jc w:val="left"/>
            </w:pPr>
            <w:r>
              <w:t xml:space="preserve">Authority</w:t>
            </w:r>
          </w:p>
        </w:tc>
        <w:tc>
          <w:tcPr>
            <w:tcW w:w="2017" w:type="dxa"/>
          </w:tcPr>
          <w:p>
            <w:pPr>
              <w:pStyle w:val="Compact"/>
              <w:jc w:val="left"/>
            </w:pPr>
            <w:r>
              <w:t xml:space="preserve">Basis</w:t>
            </w:r>
          </w:p>
        </w:tc>
        <w:tc>
          <w:tcPr>
            <w:tcW w:w="1486" w:type="dxa"/>
          </w:tcPr>
          <w:p>
            <w:pPr>
              <w:pStyle w:val="Compact"/>
              <w:jc w:val="left"/>
            </w:pPr>
            <w:r>
              <w:t xml:space="preserve">Status as of 2026-10-08</w:t>
            </w:r>
          </w:p>
        </w:tc>
        <w:tc>
          <w:tcPr>
            <w:tcW w:w="2031" w:type="dxa"/>
          </w:tcPr>
          <w:p>
            <w:pPr>
              <w:pStyle w:val="Compact"/>
              <w:jc w:val="left"/>
            </w:pPr>
            <w:r>
              <w:t xml:space="preserve">Source</w:t>
            </w:r>
          </w:p>
        </w:tc>
        <w:tc>
          <w:tcPr>
            <w:tcW w:w="1274" w:type="dxa"/>
          </w:tcPr>
          <w:p>
            <w:pPr>
              <w:pStyle w:val="Compact"/>
              <w:jc w:val="left"/>
            </w:pPr>
            <w:r>
              <w:t xml:space="preserve">Confidence</w:t>
            </w:r>
          </w:p>
        </w:tc>
      </w:tr>
      <w:tr>
        <w:tc>
          <w:tcPr>
            <w:tcW w:w="1380" w:type="dxa"/>
          </w:tcPr>
          <w:p>
            <w:pPr>
              <w:pStyle w:val="Compact"/>
              <w:jc w:val="left"/>
            </w:pPr>
            <w:r>
              <w:t xml:space="preserve">Merchandise Processing Fee (MPF), formal entries</w:t>
            </w:r>
          </w:p>
        </w:tc>
        <w:tc>
          <w:tcPr>
            <w:tcW w:w="1168" w:type="dxa"/>
          </w:tcPr>
          <w:p>
            <w:pPr>
              <w:pStyle w:val="Compact"/>
              <w:jc w:val="left"/>
            </w:pPr>
            <w:r>
              <w:t xml:space="preserve">19 U.S.C. 58c; 19 CFR 24.23</w:t>
            </w:r>
          </w:p>
        </w:tc>
        <w:tc>
          <w:tcPr>
            <w:tcW w:w="2017" w:type="dxa"/>
          </w:tcPr>
          <w:p>
            <w:pPr>
              <w:pStyle w:val="Compact"/>
              <w:jc w:val="left"/>
            </w:pPr>
            <w:r>
              <w:t xml:space="preserve">0.3464% ad valorem, with a per-entry minimum and maximum adjusted every fiscal year. USMCA-originating goods properly claimed are exempt</w:t>
            </w:r>
          </w:p>
        </w:tc>
        <w:tc>
          <w:tcPr>
            <w:tcW w:w="1486" w:type="dxa"/>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tcW w:w="2031" w:type="dxa"/>
          </w:tcPr>
          <w:p>
            <w:pPr>
              <w:pStyle w:val="Compact"/>
              <w:jc w:val="left"/>
            </w:pPr>
            <w:hyperlink r:id="rId85">
              <w:r>
                <w:rPr>
                  <w:rStyle w:val="Hyperlink"/>
                </w:rPr>
                <w:t xml:space="preserve">https://www.federalregister.gov/d/2026-15530</w:t>
              </w:r>
            </w:hyperlink>
            <w:r>
              <w:t xml:space="preserve"> </w:t>
            </w:r>
            <w:r>
              <w:t xml:space="preserve">(2026-07-31, 91 FR 48398);</w:t>
            </w:r>
            <w:r>
              <w:t xml:space="preserve"> </w:t>
            </w:r>
            <w:hyperlink r:id="rId86">
              <w:r>
                <w:rPr>
                  <w:rStyle w:val="Hyperlink"/>
                </w:rPr>
                <w:t xml:space="preserve">https://www.cbp.gov/trade/basic-import-export/user-fee-table</w:t>
              </w:r>
            </w:hyperlink>
            <w:r>
              <w:t xml:space="preserve"> </w:t>
            </w:r>
            <w:r>
              <w:t xml:space="preserve">;</w:t>
            </w:r>
            <w:r>
              <w:t xml:space="preserve"> </w:t>
            </w:r>
            <w:hyperlink r:id="rId87">
              <w:r>
                <w:rPr>
                  <w:rStyle w:val="Hyperlink"/>
                </w:rPr>
                <w:t xml:space="preserve">https://www.ecfr.gov/current/title-19/section-24.23</w:t>
              </w:r>
            </w:hyperlink>
          </w:p>
        </w:tc>
        <w:tc>
          <w:tcPr>
            <w:tcW w:w="1274" w:type="dxa"/>
          </w:tcPr>
          <w:p>
            <w:pPr>
              <w:pStyle w:val="Compact"/>
              <w:jc w:val="left"/>
            </w:pPr>
            <w:r>
              <w:t xml:space="preserve">Confirmed (amounts); Reported (rate unchanged)</w:t>
            </w:r>
          </w:p>
        </w:tc>
      </w:tr>
      <w:tr>
        <w:tc>
          <w:tcPr>
            <w:tcW w:w="1380" w:type="dxa"/>
          </w:tcPr>
          <w:p>
            <w:pPr>
              <w:pStyle w:val="Compact"/>
              <w:jc w:val="left"/>
            </w:pPr>
            <w:r>
              <w:t xml:space="preserve">Harbor Maintenance Fee (HMF)</w:t>
            </w:r>
          </w:p>
        </w:tc>
        <w:tc>
          <w:tcPr>
            <w:tcW w:w="1168" w:type="dxa"/>
          </w:tcPr>
          <w:p>
            <w:pPr>
              <w:pStyle w:val="Compact"/>
              <w:jc w:val="left"/>
            </w:pPr>
            <w:r>
              <w:t xml:space="preserve">26 U.S.C. 4461; 19 CFR 24.24</w:t>
            </w:r>
          </w:p>
        </w:tc>
        <w:tc>
          <w:tcPr>
            <w:tcW w:w="2017" w:type="dxa"/>
          </w:tcPr>
          <w:p>
            <w:pPr>
              <w:pStyle w:val="Compact"/>
              <w:jc w:val="left"/>
            </w:pPr>
            <w:r>
              <w:t xml:space="preserve">0.125% of the value of commercial cargo loaded or unloaded at covered ports; vessel shipments only; no minimum or cap</w:t>
            </w:r>
          </w:p>
        </w:tc>
        <w:tc>
          <w:tcPr>
            <w:tcW w:w="1486" w:type="dxa"/>
          </w:tcPr>
          <w:p>
            <w:pPr>
              <w:pStyle w:val="Compact"/>
              <w:jc w:val="left"/>
            </w:pPr>
            <w:r>
              <w:t xml:space="preserve">In force; no change found</w:t>
            </w:r>
          </w:p>
        </w:tc>
        <w:tc>
          <w:tcPr>
            <w:tcW w:w="2031" w:type="dxa"/>
          </w:tcPr>
          <w:p>
            <w:pPr>
              <w:pStyle w:val="Compact"/>
              <w:jc w:val="left"/>
            </w:pPr>
            <w:hyperlink r:id="rId88">
              <w:r>
                <w:rPr>
                  <w:rStyle w:val="Hyperlink"/>
                </w:rPr>
                <w:t xml:space="preserve">https://www.ecfr.gov/current/title-19/section-24.24</w:t>
              </w:r>
            </w:hyperlink>
          </w:p>
        </w:tc>
        <w:tc>
          <w:tcPr>
            <w:tcW w:w="1274" w:type="dxa"/>
          </w:tcPr>
          <w:p>
            <w:pPr>
              <w:pStyle w:val="Compact"/>
              <w:jc w:val="left"/>
            </w:pPr>
            <w:r>
              <w:t xml:space="preserve">Reported</w:t>
            </w:r>
          </w:p>
        </w:tc>
      </w:tr>
    </w:tbl>
    <w:bookmarkEnd w:id="89"/>
    <w:bookmarkStart w:id="94"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dxa" w:w="9360"/>
        <w:tblLook w:firstRow="1" w:lastRow="0" w:firstColumn="0" w:lastColumn="0" w:noHBand="0" w:noVBand="0" w:val="0020"/>
        <w:jc w:val="start"/>
        <w:tblLayout w:type="fixed"/>
      </w:tblPr>
      <w:tblGrid>
        <w:gridCol w:w="2070"/>
        <w:gridCol w:w="2693"/>
        <w:gridCol w:w="3101"/>
        <w:gridCol w:w="1495"/>
      </w:tblGrid>
      <w:tr>
        <w:trPr>
          <w:tblHeader w:val="true"/>
        </w:trPr>
        <w:tc>
          <w:tcPr>
            <w:tcW w:w="2070" w:type="dxa"/>
          </w:tcPr>
          <w:p>
            <w:pPr>
              <w:pStyle w:val="Compact"/>
              <w:jc w:val="left"/>
            </w:pPr>
            <w:r>
              <w:t xml:space="preserve">Duty</w:t>
            </w:r>
          </w:p>
        </w:tc>
        <w:tc>
          <w:tcPr>
            <w:tcW w:w="2693" w:type="dxa"/>
          </w:tcPr>
          <w:p>
            <w:pPr>
              <w:pStyle w:val="Compact"/>
              <w:jc w:val="left"/>
            </w:pPr>
            <w:r>
              <w:t xml:space="preserve">Drawback (last known)</w:t>
            </w:r>
          </w:p>
        </w:tc>
        <w:tc>
          <w:tcPr>
            <w:tcW w:w="3101" w:type="dxa"/>
          </w:tcPr>
          <w:p>
            <w:pPr>
              <w:pStyle w:val="Compact"/>
              <w:jc w:val="left"/>
            </w:pPr>
            <w:r>
              <w:t xml:space="preserve">Source</w:t>
            </w:r>
          </w:p>
        </w:tc>
        <w:tc>
          <w:tcPr>
            <w:tcW w:w="1495" w:type="dxa"/>
          </w:tcPr>
          <w:p>
            <w:pPr>
              <w:pStyle w:val="Compact"/>
              <w:jc w:val="left"/>
            </w:pPr>
            <w:r>
              <w:t xml:space="preserve">Confidence</w:t>
            </w:r>
          </w:p>
        </w:tc>
      </w:tr>
      <w:tr>
        <w:tc>
          <w:tcPr>
            <w:tcW w:w="2070" w:type="dxa"/>
          </w:tcPr>
          <w:p>
            <w:pPr>
              <w:pStyle w:val="Compact"/>
              <w:jc w:val="left"/>
            </w:pPr>
            <w:r>
              <w:t xml:space="preserve">Section 301 China</w:t>
            </w:r>
          </w:p>
        </w:tc>
        <w:tc>
          <w:tcPr>
            <w:tcW w:w="2693" w:type="dxa"/>
          </w:tcPr>
          <w:p>
            <w:pPr>
              <w:pStyle w:val="Compact"/>
              <w:jc w:val="left"/>
            </w:pPr>
            <w:r>
              <w:t xml:space="preserve">Eligible under normal drawback rules</w:t>
            </w:r>
          </w:p>
        </w:tc>
        <w:tc>
          <w:tcPr>
            <w:tcW w:w="3101" w:type="dxa"/>
          </w:tcPr>
          <w:p>
            <w:pPr>
              <w:pStyle w:val="Compact"/>
              <w:jc w:val="left"/>
            </w:pPr>
            <w:r>
              <w:t xml:space="preserve">CBP Section 301 FAQs,</w:t>
            </w:r>
            <w:r>
              <w:t xml:space="preserve"> </w:t>
            </w:r>
            <w:hyperlink r:id="rId90">
              <w:r>
                <w:rPr>
                  <w:rStyle w:val="Hyperlink"/>
                </w:rPr>
                <w:t xml:space="preserve">https://www.cbp.gov/trade/programs-administration/entry-summary/section-301-trade-remedies/faqs</w:t>
              </w:r>
            </w:hyperlink>
          </w:p>
        </w:tc>
        <w:tc>
          <w:tcPr>
            <w:tcW w:w="1495" w:type="dxa"/>
          </w:tcPr>
          <w:p>
            <w:pPr>
              <w:pStyle w:val="Compact"/>
              <w:jc w:val="left"/>
            </w:pPr>
            <w:r>
              <w:t xml:space="preserve">Reported</w:t>
            </w:r>
          </w:p>
        </w:tc>
      </w:tr>
      <w:tr>
        <w:tc>
          <w:tcPr>
            <w:tcW w:w="2070" w:type="dxa"/>
          </w:tcPr>
          <w:p>
            <w:pPr>
              <w:pStyle w:val="Compact"/>
              <w:jc w:val="left"/>
            </w:pPr>
            <w:r>
              <w:t xml:space="preserve">Section 301 forced labor (9903.05.20 to 9903.05.84) and Brazil (9903.05.01)</w:t>
            </w:r>
          </w:p>
        </w:tc>
        <w:tc>
          <w:tcPr>
            <w:tcW w:w="2693" w:type="dxa"/>
          </w:tcPr>
          <w:p>
            <w:pPr>
              <w:pStyle w:val="Compact"/>
              <w:jc w:val="left"/>
            </w:pPr>
            <w:r>
              <w:t xml:space="preserve">Eligible. CBP's ACE drawback validation (FD07) rejected these lines from 2026-08-12 (CSMS 69535943); CBP then corrected the validation to allow drawback and updated the CATAIR drawback error dictionary (CSMS 69567203, 2026-08-18). The Senior reviews any claim rejected on these lines since 2026-08-12</w:t>
            </w:r>
          </w:p>
        </w:tc>
        <w:tc>
          <w:tcPr>
            <w:tcW w:w="3101" w:type="dxa"/>
          </w:tcPr>
          <w:p>
            <w:pPr>
              <w:pStyle w:val="Compact"/>
              <w:jc w:val="left"/>
            </w:pPr>
            <w:r>
              <w:t xml:space="preserve">CBP CSMS 69535943,</w:t>
            </w:r>
            <w:r>
              <w:t xml:space="preserve"> </w:t>
            </w:r>
            <w:hyperlink r:id="rId91">
              <w:r>
                <w:rPr>
                  <w:rStyle w:val="Hyperlink"/>
                </w:rPr>
                <w:t xml:space="preserve">https://content.govdelivery.com/accounts/USDHSCBP/bulletins/42508c7</w:t>
              </w:r>
            </w:hyperlink>
            <w:r>
              <w:t xml:space="preserve"> </w:t>
            </w:r>
            <w:r>
              <w:t xml:space="preserve">; CSMS 69567203,</w:t>
            </w:r>
            <w:r>
              <w:t xml:space="preserve"> </w:t>
            </w:r>
            <w:hyperlink r:id="rId92">
              <w:r>
                <w:rPr>
                  <w:rStyle w:val="Hyperlink"/>
                </w:rPr>
                <w:t xml:space="preserve">https://content.govdelivery.com/accounts/USDHSCBP/bulletins/42582e3</w:t>
              </w:r>
            </w:hyperlink>
          </w:p>
        </w:tc>
        <w:tc>
          <w:tcPr>
            <w:tcW w:w="1495" w:type="dxa"/>
          </w:tcPr>
          <w:p>
            <w:pPr>
              <w:pStyle w:val="Compact"/>
              <w:jc w:val="left"/>
            </w:pPr>
            <w:r>
              <w:t xml:space="preserve">Confirmed (CSMS text in search excerpts)</w:t>
            </w:r>
          </w:p>
        </w:tc>
      </w:tr>
      <w:tr>
        <w:tc>
          <w:tcPr>
            <w:tcW w:w="2070" w:type="dxa"/>
          </w:tcPr>
          <w:p>
            <w:pPr>
              <w:pStyle w:val="Compact"/>
              <w:jc w:val="left"/>
            </w:pPr>
            <w:r>
              <w:t xml:space="preserve">Section 338 on goods of Canada (9903.03.12 to 9903.03.14)</w:t>
            </w:r>
          </w:p>
        </w:tc>
        <w:tc>
          <w:tcPr>
            <w:tcW w:w="2693" w:type="dxa"/>
          </w:tcPr>
          <w:p>
            <w:pPr>
              <w:pStyle w:val="Compact"/>
              <w:jc w:val="left"/>
            </w:pPr>
            <w:r>
              <w:t xml:space="preserve">Eligible</w:t>
            </w:r>
          </w:p>
        </w:tc>
        <w:tc>
          <w:tcPr>
            <w:tcW w:w="3101" w:type="dxa"/>
          </w:tcPr>
          <w:p>
            <w:pPr>
              <w:pStyle w:val="Compact"/>
              <w:jc w:val="left"/>
            </w:pPr>
            <w:r>
              <w:t xml:space="preserve">CBP CSMS 69606660 and 69851916</w:t>
            </w:r>
          </w:p>
        </w:tc>
        <w:tc>
          <w:tcPr>
            <w:tcW w:w="1495" w:type="dxa"/>
          </w:tcPr>
          <w:p>
            <w:pPr>
              <w:pStyle w:val="Compact"/>
              <w:jc w:val="left"/>
            </w:pPr>
            <w:r>
              <w:t xml:space="preserve">Confirmed</w:t>
            </w:r>
          </w:p>
        </w:tc>
      </w:tr>
      <w:tr>
        <w:tc>
          <w:tcPr>
            <w:tcW w:w="2070" w:type="dxa"/>
          </w:tcPr>
          <w:p>
            <w:pPr>
              <w:pStyle w:val="Compact"/>
              <w:jc w:val="left"/>
            </w:pPr>
            <w:r>
              <w:t xml:space="preserve">Section 232 metals from 2026-04-06</w:t>
            </w:r>
          </w:p>
        </w:tc>
        <w:tc>
          <w:tcPr>
            <w:tcW w:w="2693" w:type="dxa"/>
          </w:tcPr>
          <w:p>
            <w:pPr>
              <w:pStyle w:val="Compact"/>
              <w:jc w:val="left"/>
            </w:pPr>
            <w:r>
              <w:t xml:space="preserve">Manufacturing drawback only (19 U.S.C. 1313(a) and (b)) for articles meeting the conditions in clause 13 of Proclamation 11021; no other drawback</w:t>
            </w:r>
          </w:p>
        </w:tc>
        <w:tc>
          <w:tcPr>
            <w:tcW w:w="3101" w:type="dxa"/>
          </w:tcPr>
          <w:p>
            <w:pPr>
              <w:pStyle w:val="Compact"/>
              <w:jc w:val="left"/>
            </w:pPr>
            <w:r>
              <w:t xml:space="preserve">Proclamation 11021,</w:t>
            </w:r>
            <w:r>
              <w:t xml:space="preserve"> </w:t>
            </w:r>
            <w:hyperlink r:id="rId22">
              <w:r>
                <w:rPr>
                  <w:rStyle w:val="Hyperlink"/>
                </w:rPr>
                <w:t xml:space="preserve">https://www.federalregister.gov/d/2026-06960</w:t>
              </w:r>
            </w:hyperlink>
          </w:p>
        </w:tc>
        <w:tc>
          <w:tcPr>
            <w:tcW w:w="1495" w:type="dxa"/>
          </w:tcPr>
          <w:p>
            <w:pPr>
              <w:pStyle w:val="Compact"/>
              <w:jc w:val="left"/>
            </w:pPr>
            <w:r>
              <w:t xml:space="preserve">Confirmed</w:t>
            </w:r>
          </w:p>
        </w:tc>
      </w:tr>
      <w:tr>
        <w:tc>
          <w:tcPr>
            <w:tcW w:w="2070" w:type="dxa"/>
          </w:tcPr>
          <w:p>
            <w:pPr>
              <w:pStyle w:val="Compact"/>
              <w:jc w:val="left"/>
            </w:pPr>
            <w:r>
              <w:t xml:space="preserve">Section 232 semiconductors</w:t>
            </w:r>
          </w:p>
        </w:tc>
        <w:tc>
          <w:tcPr>
            <w:tcW w:w="2693" w:type="dxa"/>
          </w:tcPr>
          <w:p>
            <w:pPr>
              <w:pStyle w:val="Compact"/>
              <w:jc w:val="left"/>
            </w:pPr>
            <w:r>
              <w:t xml:space="preserve">Not eligible</w:t>
            </w:r>
          </w:p>
        </w:tc>
        <w:tc>
          <w:tcPr>
            <w:tcW w:w="3101" w:type="dxa"/>
          </w:tcPr>
          <w:p>
            <w:pPr>
              <w:pStyle w:val="Compact"/>
              <w:jc w:val="left"/>
            </w:pPr>
            <w:r>
              <w:t xml:space="preserve">Proclamation 11002</w:t>
            </w:r>
          </w:p>
        </w:tc>
        <w:tc>
          <w:tcPr>
            <w:tcW w:w="1495" w:type="dxa"/>
          </w:tcPr>
          <w:p>
            <w:pPr>
              <w:pStyle w:val="Compact"/>
              <w:jc w:val="left"/>
            </w:pPr>
            <w:r>
              <w:t xml:space="preserve">Confirmed</w:t>
            </w:r>
          </w:p>
        </w:tc>
      </w:tr>
      <w:tr>
        <w:tc>
          <w:tcPr>
            <w:tcW w:w="2070" w:type="dxa"/>
          </w:tcPr>
          <w:p>
            <w:pPr>
              <w:pStyle w:val="Compact"/>
              <w:jc w:val="left"/>
            </w:pPr>
            <w:r>
              <w:t xml:space="preserve">Other Section 232 actions (autos, trucks, timber, pharmaceuticals, drones, polysilicon)</w:t>
            </w:r>
          </w:p>
        </w:tc>
        <w:tc>
          <w:tcPr>
            <w:tcW w:w="2693" w:type="dxa"/>
          </w:tcPr>
          <w:p>
            <w:pPr>
              <w:pStyle w:val="Compact"/>
              <w:jc w:val="left"/>
            </w:pPr>
            <w:r>
              <w:t xml:space="preserve">Read each proclamation's drawback clause</w:t>
            </w:r>
          </w:p>
        </w:tc>
        <w:tc>
          <w:tcPr>
            <w:tcW w:w="3101" w:type="dxa"/>
          </w:tcPr>
          <w:p>
            <w:pPr>
              <w:pStyle w:val="Compact"/>
              <w:jc w:val="left"/>
            </w:pPr>
            <w:r>
              <w:t xml:space="preserve">Each proclamation</w:t>
            </w:r>
          </w:p>
        </w:tc>
        <w:tc>
          <w:tcPr>
            <w:tcW w:w="1495" w:type="dxa"/>
          </w:tcPr>
          <w:p>
            <w:pPr>
              <w:pStyle w:val="Compact"/>
              <w:jc w:val="left"/>
            </w:pPr>
            <w:r>
              <w:t xml:space="preserve">Unclear</w:t>
            </w:r>
          </w:p>
        </w:tc>
      </w:tr>
      <w:tr>
        <w:tc>
          <w:tcPr>
            <w:tcW w:w="2070" w:type="dxa"/>
          </w:tcPr>
          <w:p>
            <w:pPr>
              <w:pStyle w:val="Compact"/>
              <w:jc w:val="left"/>
            </w:pPr>
            <w:r>
              <w:t xml:space="preserve">IEEPA duties on past entries</w:t>
            </w:r>
          </w:p>
        </w:tc>
        <w:tc>
          <w:tcPr>
            <w:tcW w:w="2693" w:type="dxa"/>
          </w:tcPr>
          <w:p>
            <w:pPr>
              <w:pStyle w:val="Compact"/>
              <w:jc w:val="left"/>
            </w:pPr>
            <w:r>
              <w:t xml:space="preserve">Refunds run through CAPE; entries on a drawback claim were excluded from CAPE Phase 1. Interaction with drawback: the Senior</w:t>
            </w:r>
          </w:p>
        </w:tc>
        <w:tc>
          <w:tcPr>
            <w:tcW w:w="3101" w:type="dxa"/>
          </w:tcPr>
          <w:p>
            <w:pPr>
              <w:pStyle w:val="Compact"/>
              <w:jc w:val="left"/>
            </w:pPr>
            <w:r>
              <w:t xml:space="preserve">CBP CAPE notice</w:t>
            </w:r>
          </w:p>
        </w:tc>
        <w:tc>
          <w:tcPr>
            <w:tcW w:w="1495" w:type="dxa"/>
          </w:tcPr>
          <w:p>
            <w:pPr>
              <w:pStyle w:val="Compact"/>
              <w:jc w:val="left"/>
            </w:pPr>
            <w:r>
              <w:t xml:space="preserve">Confirmed (exclusion)</w:t>
            </w:r>
          </w:p>
        </w:tc>
      </w:tr>
      <w:tr>
        <w:tc>
          <w:tcPr>
            <w:tcW w:w="2070" w:type="dxa"/>
          </w:tcPr>
          <w:p>
            <w:pPr>
              <w:pStyle w:val="Compact"/>
              <w:jc w:val="left"/>
            </w:pPr>
            <w:r>
              <w:t xml:space="preserve">Section 122 surcharge (ended)</w:t>
            </w:r>
          </w:p>
        </w:tc>
        <w:tc>
          <w:tcPr>
            <w:tcW w:w="2693" w:type="dxa"/>
          </w:tcPr>
          <w:p>
            <w:pPr>
              <w:pStyle w:val="Compact"/>
              <w:jc w:val="left"/>
            </w:pPr>
            <w:r>
              <w:t xml:space="preserve">Not established: read Proclamation 11012</w:t>
            </w:r>
          </w:p>
        </w:tc>
        <w:tc>
          <w:tcPr>
            <w:tcW w:w="3101" w:type="dxa"/>
          </w:tcPr>
          <w:p>
            <w:pPr>
              <w:pStyle w:val="Compact"/>
              <w:jc w:val="left"/>
            </w:pPr>
            <w:r>
              <w:t xml:space="preserve">Proclamation 11012</w:t>
            </w:r>
          </w:p>
        </w:tc>
        <w:tc>
          <w:tcPr>
            <w:tcW w:w="1495" w:type="dxa"/>
          </w:tcPr>
          <w:p>
            <w:pPr>
              <w:pStyle w:val="Compact"/>
              <w:jc w:val="left"/>
            </w:pPr>
            <w:r>
              <w:t xml:space="preserve">Unclear</w:t>
            </w:r>
          </w:p>
        </w:tc>
      </w:tr>
      <w:tr>
        <w:tc>
          <w:tcPr>
            <w:tcW w:w="2070" w:type="dxa"/>
          </w:tcPr>
          <w:p>
            <w:pPr>
              <w:pStyle w:val="Compact"/>
              <w:jc w:val="left"/>
            </w:pPr>
            <w:r>
              <w:t xml:space="preserve">Antidumping and countervailing duties</w:t>
            </w:r>
          </w:p>
        </w:tc>
        <w:tc>
          <w:tcPr>
            <w:tcW w:w="2693" w:type="dxa"/>
          </w:tcPr>
          <w:p>
            <w:pPr>
              <w:pStyle w:val="Compact"/>
              <w:jc w:val="left"/>
            </w:pPr>
            <w:r>
              <w:t xml:space="preserve">Not eligible (19 U.S.C. 1677h)</w:t>
            </w:r>
          </w:p>
        </w:tc>
        <w:tc>
          <w:tcPr>
            <w:tcW w:w="3101" w:type="dxa"/>
          </w:tcPr>
          <w:p>
            <w:pPr>
              <w:pStyle w:val="Compact"/>
              <w:jc w:val="left"/>
            </w:pPr>
            <w:hyperlink r:id="rId93">
              <w:r>
                <w:rPr>
                  <w:rStyle w:val="Hyperlink"/>
                </w:rPr>
                <w:t xml:space="preserve">https://uscode.house.gov/</w:t>
              </w:r>
            </w:hyperlink>
          </w:p>
        </w:tc>
        <w:tc>
          <w:tcPr>
            <w:tcW w:w="1495" w:type="dxa"/>
          </w:tcPr>
          <w:p>
            <w:pPr>
              <w:pStyle w:val="Compact"/>
              <w:jc w:val="left"/>
            </w:pPr>
            <w:r>
              <w:t xml:space="preserve">Reported</w:t>
            </w:r>
          </w:p>
        </w:tc>
      </w:tr>
    </w:tbl>
    <w:bookmarkEnd w:id="94"/>
    <w:bookmarkEnd w:id="95"/>
    <w:bookmarkStart w:id="114" w:name="X4c5d038cb16461c4a7a94df30521694f400d4ab"/>
    <w:p>
      <w:pPr>
        <w:pStyle w:val="Heading3"/>
      </w:pPr>
      <w:r>
        <w:t xml:space="preserve">1.3 Canada</w:t>
      </w:r>
    </w:p>
    <w:tbl>
      <w:tblPr>
        <w:tblStyle w:val="Table"/>
        <w:tblW w:type="dxa" w:w="9360"/>
        <w:tblLook w:firstRow="1" w:lastRow="0" w:firstColumn="0" w:lastColumn="0" w:noHBand="0" w:noVBand="0" w:val="0020"/>
        <w:jc w:val="start"/>
        <w:tblLayout w:type="fixed"/>
      </w:tblPr>
      <w:tblGrid>
        <w:gridCol w:w="1480"/>
        <w:gridCol w:w="1388"/>
        <w:gridCol w:w="1665"/>
        <w:gridCol w:w="1758"/>
        <w:gridCol w:w="1770"/>
        <w:gridCol w:w="1295"/>
      </w:tblGrid>
      <w:tr>
        <w:trPr>
          <w:tblHeader w:val="true"/>
        </w:trPr>
        <w:tc>
          <w:tcPr>
            <w:tcW w:w="1480" w:type="dxa"/>
          </w:tcPr>
          <w:p>
            <w:pPr>
              <w:pStyle w:val="Compact"/>
              <w:jc w:val="left"/>
            </w:pPr>
            <w:r>
              <w:t xml:space="preserve">Action</w:t>
            </w:r>
          </w:p>
        </w:tc>
        <w:tc>
          <w:tcPr>
            <w:tcW w:w="1388" w:type="dxa"/>
          </w:tcPr>
          <w:p>
            <w:pPr>
              <w:pStyle w:val="Compact"/>
              <w:jc w:val="left"/>
            </w:pPr>
            <w:r>
              <w:t xml:space="preserve">Authority</w:t>
            </w:r>
          </w:p>
        </w:tc>
        <w:tc>
          <w:tcPr>
            <w:tcW w:w="1665" w:type="dxa"/>
          </w:tcPr>
          <w:p>
            <w:pPr>
              <w:pStyle w:val="Compact"/>
              <w:jc w:val="left"/>
            </w:pPr>
            <w:r>
              <w:t xml:space="preserve">Scope</w:t>
            </w:r>
          </w:p>
        </w:tc>
        <w:tc>
          <w:tcPr>
            <w:tcW w:w="1758" w:type="dxa"/>
          </w:tcPr>
          <w:p>
            <w:pPr>
              <w:pStyle w:val="Compact"/>
              <w:jc w:val="left"/>
            </w:pPr>
            <w:r>
              <w:t xml:space="preserve">Status as of 2026-10-08</w:t>
            </w:r>
          </w:p>
        </w:tc>
        <w:tc>
          <w:tcPr>
            <w:tcW w:w="1770" w:type="dxa"/>
          </w:tcPr>
          <w:p>
            <w:pPr>
              <w:pStyle w:val="Compact"/>
              <w:jc w:val="left"/>
            </w:pPr>
            <w:r>
              <w:t xml:space="preserve">Source (date)</w:t>
            </w:r>
          </w:p>
        </w:tc>
        <w:tc>
          <w:tcPr>
            <w:tcW w:w="1295" w:type="dxa"/>
          </w:tcPr>
          <w:p>
            <w:pPr>
              <w:pStyle w:val="Compact"/>
              <w:jc w:val="left"/>
            </w:pPr>
            <w:r>
              <w:t xml:space="preserve">Confidence</w:t>
            </w:r>
          </w:p>
        </w:tc>
      </w:tr>
      <w:tr>
        <w:tc>
          <w:tcPr>
            <w:tcW w:w="1480" w:type="dxa"/>
          </w:tcPr>
          <w:p>
            <w:pPr>
              <w:pStyle w:val="Compact"/>
              <w:jc w:val="left"/>
            </w:pPr>
            <w:r>
              <w:t xml:space="preserve">Countermeasure surtaxes on US goods (2025 orders)</w:t>
            </w:r>
          </w:p>
        </w:tc>
        <w:tc>
          <w:tcPr>
            <w:tcW w:w="1388" w:type="dxa"/>
          </w:tcPr>
          <w:p>
            <w:pPr>
              <w:pStyle w:val="Compact"/>
              <w:jc w:val="left"/>
            </w:pPr>
            <w:r>
              <w:t xml:space="preserve">Customs Tariff, section 53: United States Surtax Order (2025-1), United States Surtax Order (Steel and Aluminum 2025), United States Surtax Order (Motor Vehicles 2025)</w:t>
            </w:r>
          </w:p>
        </w:tc>
        <w:tc>
          <w:tcPr>
            <w:tcW w:w="1665" w:type="dxa"/>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tcW w:w="1758" w:type="dxa"/>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tcW w:w="1770" w:type="dxa"/>
          </w:tcPr>
          <w:p>
            <w:pPr>
              <w:pStyle w:val="Compact"/>
              <w:jc w:val="left"/>
            </w:pPr>
            <w:r>
              <w:t xml:space="preserve">Finance Canada news (2026-08),</w:t>
            </w:r>
            <w:r>
              <w:t xml:space="preserve"> </w:t>
            </w:r>
            <w:hyperlink r:id="rId96">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7">
              <w:r>
                <w:rPr>
                  <w:rStyle w:val="Hyperlink"/>
                </w:rPr>
                <w:t xml:space="preserve">https://www.canada.ca/en/department-finance/programs/international-trade-finance-policy/canadas-response-us-tariffs/complete-list-us-products-subject-to-counter-tariffs.html</w:t>
              </w:r>
            </w:hyperlink>
          </w:p>
        </w:tc>
        <w:tc>
          <w:tcPr>
            <w:tcW w:w="1295" w:type="dxa"/>
          </w:tcPr>
          <w:p>
            <w:pPr>
              <w:pStyle w:val="Compact"/>
              <w:jc w:val="left"/>
            </w:pPr>
            <w:r>
              <w:t xml:space="preserve">Confirmed (2026 change); Reported (2025-09-01 removal)</w:t>
            </w:r>
          </w:p>
        </w:tc>
      </w:tr>
      <w:tr>
        <w:tc>
          <w:tcPr>
            <w:tcW w:w="1480" w:type="dxa"/>
          </w:tcPr>
          <w:p>
            <w:pPr>
              <w:pStyle w:val="Compact"/>
              <w:jc w:val="left"/>
            </w:pPr>
            <w:r>
              <w:t xml:space="preserve">United States Surtax Order (2026)</w:t>
            </w:r>
          </w:p>
        </w:tc>
        <w:tc>
          <w:tcPr>
            <w:tcW w:w="1388" w:type="dxa"/>
          </w:tcPr>
          <w:p>
            <w:pPr>
              <w:pStyle w:val="Compact"/>
              <w:jc w:val="left"/>
            </w:pPr>
            <w:r>
              <w:t xml:space="preserve">Customs Tariff, section 53; SOR/2026-186 (registered 2026-09-04); CBSA Customs Notice 26-23</w:t>
            </w:r>
          </w:p>
        </w:tc>
        <w:tc>
          <w:tcPr>
            <w:tcW w:w="1665" w:type="dxa"/>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tcW w:w="1758" w:type="dxa"/>
          </w:tcPr>
          <w:p>
            <w:pPr>
              <w:pStyle w:val="Compact"/>
              <w:jc w:val="left"/>
            </w:pPr>
            <w:r>
              <w:t xml:space="preserve">In force from 12:01 a.m. 2026-09-08. No CUSMA-qualifying exemption was seen in the excerpts: confirm in CN 26-23. SOR/2026-186 also amended the 2025 Remission Order so that some of its relief, including section 3 (goods used in manufacturing, processing, food and beverage packaging or agricultural production in Canada), covers the 2026 surtax. Other goods need a request under the U.S. Remission Framework (CN 26-23)</w:t>
            </w:r>
          </w:p>
        </w:tc>
        <w:tc>
          <w:tcPr>
            <w:tcW w:w="1770" w:type="dxa"/>
          </w:tcPr>
          <w:p>
            <w:pPr>
              <w:pStyle w:val="Compact"/>
              <w:jc w:val="left"/>
            </w:pPr>
            <w:r>
              <w:t xml:space="preserve">SOR/2026-186,</w:t>
            </w:r>
            <w:r>
              <w:t xml:space="preserve"> </w:t>
            </w:r>
            <w:hyperlink r:id="rId98">
              <w:r>
                <w:rPr>
                  <w:rStyle w:val="Hyperlink"/>
                </w:rPr>
                <w:t xml:space="preserve">https://gazette.gc.ca/rp-pr/p2/2026/2026-09-23/html/sor-dors186-eng.html</w:t>
              </w:r>
            </w:hyperlink>
            <w:r>
              <w:t xml:space="preserve"> </w:t>
            </w:r>
            <w:r>
              <w:t xml:space="preserve">(2026-09-23); CN 26-23,</w:t>
            </w:r>
            <w:r>
              <w:t xml:space="preserve"> </w:t>
            </w:r>
            <w:hyperlink r:id="rId99">
              <w:r>
                <w:rPr>
                  <w:rStyle w:val="Hyperlink"/>
                </w:rPr>
                <w:t xml:space="preserve">https://www.cbsa-asfc.gc.ca/publications/cn-ad/cn26-23-eng.html</w:t>
              </w:r>
            </w:hyperlink>
            <w:r>
              <w:t xml:space="preserve"> </w:t>
            </w:r>
            <w:r>
              <w:t xml:space="preserve">(2026-09-07)</w:t>
            </w:r>
          </w:p>
        </w:tc>
        <w:tc>
          <w:tcPr>
            <w:tcW w:w="1295" w:type="dxa"/>
          </w:tcPr>
          <w:p>
            <w:pPr>
              <w:pStyle w:val="Compact"/>
              <w:jc w:val="left"/>
            </w:pPr>
            <w:r>
              <w:t xml:space="preserve">Confirmed (rates, date, origin rule); Unclear (CUSMA treatment)</w:t>
            </w:r>
          </w:p>
        </w:tc>
      </w:tr>
      <w:tr>
        <w:tc>
          <w:tcPr>
            <w:tcW w:w="1480" w:type="dxa"/>
          </w:tcPr>
          <w:p>
            <w:pPr>
              <w:pStyle w:val="Compact"/>
              <w:jc w:val="left"/>
            </w:pPr>
            <w:r>
              <w:t xml:space="preserve">Remission of countermeasure surtaxes</w:t>
            </w:r>
          </w:p>
        </w:tc>
        <w:tc>
          <w:tcPr>
            <w:tcW w:w="1388" w:type="dxa"/>
          </w:tcPr>
          <w:p>
            <w:pPr>
              <w:pStyle w:val="Compact"/>
              <w:jc w:val="left"/>
            </w:pPr>
            <w:r>
              <w:t xml:space="preserve">Customs Tariff, section 115: United States Surtax Remission Order (2025), SOR/2025-122, as amended (including SOR/2025-269, SOR/2026-154, and SOR/2026-186 with consequential amendments from 2026-09-08); United States Surtax Remission Order (Motor Vehicles 2026)</w:t>
            </w:r>
          </w:p>
        </w:tc>
        <w:tc>
          <w:tcPr>
            <w:tcW w:w="1665" w:type="dxa"/>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tcW w:w="1758" w:type="dxa"/>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SOR/2026-154 also added Schedule 6 (section 4.4): remission of the steel and aluminum surtax for listed steel mill products determined not to be made in Canada (reported: broad, no end date). Motor vehicles order: eligible imports 2026-04-09 to 2027-04-08. Remission is claimed, not automatic</w:t>
            </w:r>
          </w:p>
        </w:tc>
        <w:tc>
          <w:tcPr>
            <w:tcW w:w="1770" w:type="dxa"/>
          </w:tcPr>
          <w:p>
            <w:pPr>
              <w:pStyle w:val="Compact"/>
              <w:jc w:val="left"/>
            </w:pPr>
            <w:r>
              <w:t xml:space="preserve">SOR/2026-154,</w:t>
            </w:r>
            <w:r>
              <w:t xml:space="preserve"> </w:t>
            </w:r>
            <w:hyperlink r:id="rId100">
              <w:r>
                <w:rPr>
                  <w:rStyle w:val="Hyperlink"/>
                </w:rPr>
                <w:t xml:space="preserve">https://gazette.gc.ca/rp-pr/p2/2026/2026-07-01/html/sor-dors154-eng.html</w:t>
              </w:r>
            </w:hyperlink>
            <w:r>
              <w:t xml:space="preserve"> </w:t>
            </w:r>
            <w:r>
              <w:t xml:space="preserve">(2026-07-01; check the erratum); CN 26-10,</w:t>
            </w:r>
            <w:r>
              <w:t xml:space="preserve"> </w:t>
            </w:r>
            <w:hyperlink r:id="rId101">
              <w:r>
                <w:rPr>
                  <w:rStyle w:val="Hyperlink"/>
                </w:rPr>
                <w:t xml:space="preserve">https://www.cbsa-asfc.gc.ca/publications/cn-ad/cn26-10-eng.html</w:t>
              </w:r>
            </w:hyperlink>
            <w:r>
              <w:t xml:space="preserve"> </w:t>
            </w:r>
            <w:r>
              <w:t xml:space="preserve">; consolidated SOR/2025-122,</w:t>
            </w:r>
            <w:r>
              <w:t xml:space="preserve"> </w:t>
            </w:r>
            <w:hyperlink r:id="rId102">
              <w:r>
                <w:rPr>
                  <w:rStyle w:val="Hyperlink"/>
                </w:rPr>
                <w:t xml:space="preserve">https://laws-lois.justice.gc.ca/eng/regulations/SOR-2025-122/index.html</w:t>
              </w:r>
            </w:hyperlink>
            <w:r>
              <w:t xml:space="preserve"> </w:t>
            </w:r>
            <w:r>
              <w:t xml:space="preserve">(last amended 2026-09-08)</w:t>
            </w:r>
          </w:p>
        </w:tc>
        <w:tc>
          <w:tcPr>
            <w:tcW w:w="1295" w:type="dxa"/>
          </w:tcPr>
          <w:p>
            <w:pPr>
              <w:pStyle w:val="Compact"/>
              <w:jc w:val="left"/>
            </w:pPr>
            <w:r>
              <w:t xml:space="preserve">Confirmed; Reported (Schedule 6 with no end date)</w:t>
            </w:r>
          </w:p>
        </w:tc>
      </w:tr>
      <w:tr>
        <w:tc>
          <w:tcPr>
            <w:tcW w:w="1480" w:type="dxa"/>
          </w:tcPr>
          <w:p>
            <w:pPr>
              <w:pStyle w:val="Compact"/>
              <w:jc w:val="left"/>
            </w:pPr>
            <w:r>
              <w:t xml:space="preserve">Steel measures on non-US imports</w:t>
            </w:r>
          </w:p>
        </w:tc>
        <w:tc>
          <w:tcPr>
            <w:tcW w:w="1388" w:type="dxa"/>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SOR/2025-154 (CN 25-28)</w:t>
            </w:r>
          </w:p>
        </w:tc>
        <w:tc>
          <w:tcPr>
            <w:tcW w:w="1665" w:type="dxa"/>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steel goods containing steel melted and poured in China and on aluminum goods containing aluminum smelted and cast in China, from 2025-07-31, whatever the country of export. Exempt: goods that originate in the US under the CUSMA marking regulations, and CADs with C$5,000 or less of these goods (CN 25-28)</w:t>
            </w:r>
          </w:p>
        </w:tc>
        <w:tc>
          <w:tcPr>
            <w:tcW w:w="1758" w:type="dxa"/>
          </w:tcPr>
          <w:p>
            <w:pPr>
              <w:pStyle w:val="Compact"/>
              <w:jc w:val="left"/>
            </w:pPr>
            <w:r>
              <w:t xml:space="preserve">In force. Quota framework extended for the quota year 2026-06-28 to 2027-06-27 (SOR/2026-119). Schedules 1 and 2 were revised: new volumes for some product classes, and some tariff items moved between classes (CBSA CN 25-24). The 20% and 75% rule and the 50% above-quota surtax are unchanged (reported). Check whether any of our Canadian imports, including goods shipped from the US, are on the derivative list, and whether any non-US-origin goods we import from the US contain Chinese-melted steel or Chinese-smelted aluminum</w:t>
            </w:r>
          </w:p>
        </w:tc>
        <w:tc>
          <w:tcPr>
            <w:tcW w:w="1770" w:type="dxa"/>
          </w:tcPr>
          <w:p>
            <w:pPr>
              <w:pStyle w:val="Compact"/>
              <w:jc w:val="left"/>
            </w:pPr>
            <w:hyperlink r:id="rId103">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104">
              <w:r>
                <w:rPr>
                  <w:rStyle w:val="Hyperlink"/>
                </w:rPr>
                <w:t xml:space="preserve">https://gazette.gc.ca/rp-pr/p2/2026/2026-07-01/html/sor-dors119-eng.html</w:t>
              </w:r>
            </w:hyperlink>
            <w:r>
              <w:t xml:space="preserve"> </w:t>
            </w:r>
            <w:r>
              <w:t xml:space="preserve">(2026-07-01); CN 25-33,</w:t>
            </w:r>
            <w:r>
              <w:t xml:space="preserve"> </w:t>
            </w:r>
            <w:hyperlink r:id="rId105">
              <w:r>
                <w:rPr>
                  <w:rStyle w:val="Hyperlink"/>
                </w:rPr>
                <w:t xml:space="preserve">https://www.cbsa-asfc.gc.ca/publications/cn-ad/cn25-33-eng.html</w:t>
              </w:r>
            </w:hyperlink>
            <w:r>
              <w:t xml:space="preserve"> </w:t>
            </w:r>
            <w:r>
              <w:t xml:space="preserve">; SOR/2025-154,</w:t>
            </w:r>
            <w:r>
              <w:t xml:space="preserve"> </w:t>
            </w:r>
            <w:hyperlink r:id="rId106">
              <w:r>
                <w:rPr>
                  <w:rStyle w:val="Hyperlink"/>
                </w:rPr>
                <w:t xml:space="preserve">https://gazette.gc.ca/rp-pr/p2/2025/2025-08-13/html/sor-dors154-eng.html</w:t>
              </w:r>
            </w:hyperlink>
            <w:r>
              <w:t xml:space="preserve"> </w:t>
            </w:r>
            <w:r>
              <w:t xml:space="preserve">(2025-08-13); CN 25-28,</w:t>
            </w:r>
            <w:r>
              <w:t xml:space="preserve"> </w:t>
            </w:r>
            <w:hyperlink r:id="rId107">
              <w:r>
                <w:rPr>
                  <w:rStyle w:val="Hyperlink"/>
                </w:rPr>
                <w:t xml:space="preserve">https://www.cbsa-asfc.gc.ca/publications/cn-ad/cn25-28-eng.html</w:t>
              </w:r>
            </w:hyperlink>
            <w:r>
              <w:t xml:space="preserve"> </w:t>
            </w:r>
            <w:r>
              <w:t xml:space="preserve">; CN 25-24,</w:t>
            </w:r>
            <w:r>
              <w:t xml:space="preserve"> </w:t>
            </w:r>
            <w:hyperlink r:id="rId108">
              <w:r>
                <w:rPr>
                  <w:rStyle w:val="Hyperlink"/>
                </w:rPr>
                <w:t xml:space="preserve">https://www.cbsa-asfc.gc.ca/publications/cn-ad/cn25-24-eng.html</w:t>
              </w:r>
            </w:hyperlink>
          </w:p>
        </w:tc>
        <w:tc>
          <w:tcPr>
            <w:tcW w:w="1295" w:type="dxa"/>
          </w:tcPr>
          <w:p>
            <w:pPr>
              <w:pStyle w:val="Compact"/>
              <w:jc w:val="left"/>
            </w:pPr>
            <w:r>
              <w:t xml:space="preserve">Confirmed (quota extension, China-melt rule and exemptions); Reported (volume changes)</w:t>
            </w:r>
          </w:p>
        </w:tc>
      </w:tr>
      <w:tr>
        <w:tc>
          <w:tcPr>
            <w:tcW w:w="1480" w:type="dxa"/>
          </w:tcPr>
          <w:p>
            <w:pPr>
              <w:pStyle w:val="Compact"/>
              <w:jc w:val="left"/>
            </w:pPr>
            <w:r>
              <w:t xml:space="preserve">Surtaxes on goods of China</w:t>
            </w:r>
          </w:p>
        </w:tc>
        <w:tc>
          <w:tcPr>
            <w:tcW w:w="1388" w:type="dxa"/>
          </w:tcPr>
          <w:p>
            <w:pPr>
              <w:pStyle w:val="Compact"/>
              <w:jc w:val="left"/>
            </w:pPr>
            <w:r>
              <w:t xml:space="preserve">Customs Tariff, section 53: China Surtax Order (2024), SOR/2024-187, as amended by SOR/2026-33 (electric vehicle surtax repealed from 2026-03-01)</w:t>
            </w:r>
          </w:p>
        </w:tc>
        <w:tc>
          <w:tcPr>
            <w:tcW w:w="1665" w:type="dxa"/>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tcW w:w="1758" w:type="dxa"/>
          </w:tcPr>
          <w:p>
            <w:pPr>
              <w:pStyle w:val="Compact"/>
              <w:jc w:val="left"/>
            </w:pPr>
            <w:r>
              <w:t xml:space="preserve">Steel and aluminum surtax in force, with remission for some goods to the end of 2026 (reported). Electric vehicle quota in force; the second allocation period from 2026-09-01 is set by Global Affairs Canada Notice to Importers No. 1168 (seen only in the notice listing): read it</w:t>
            </w:r>
          </w:p>
        </w:tc>
        <w:tc>
          <w:tcPr>
            <w:tcW w:w="1770" w:type="dxa"/>
          </w:tcPr>
          <w:p>
            <w:pPr>
              <w:pStyle w:val="Compact"/>
              <w:jc w:val="left"/>
            </w:pPr>
            <w:r>
              <w:t xml:space="preserve">SOR/2026-33,</w:t>
            </w:r>
            <w:r>
              <w:t xml:space="preserve"> </w:t>
            </w:r>
            <w:hyperlink r:id="rId109">
              <w:r>
                <w:rPr>
                  <w:rStyle w:val="Hyperlink"/>
                </w:rPr>
                <w:t xml:space="preserve">https://gazette.gc.ca/rp-pr/p2/2026/2026-03-11/html/sor-dors33-eng.html</w:t>
              </w:r>
            </w:hyperlink>
            <w:r>
              <w:t xml:space="preserve"> </w:t>
            </w:r>
            <w:r>
              <w:t xml:space="preserve">(2026-03-11); CN 24-32,</w:t>
            </w:r>
            <w:r>
              <w:t xml:space="preserve"> </w:t>
            </w:r>
            <w:hyperlink r:id="rId110">
              <w:r>
                <w:rPr>
                  <w:rStyle w:val="Hyperlink"/>
                </w:rPr>
                <w:t xml:space="preserve">https://www.cbsa-asfc.gc.ca/publications/cn-ad/cn24-32-eng.html</w:t>
              </w:r>
            </w:hyperlink>
            <w:r>
              <w:t xml:space="preserve"> </w:t>
            </w:r>
            <w:r>
              <w:t xml:space="preserve">; Global Affairs Canada electric vehicle import page,</w:t>
            </w:r>
            <w:r>
              <w:t xml:space="preserve"> </w:t>
            </w:r>
            <w:hyperlink r:id="rId111">
              <w:r>
                <w:rPr>
                  <w:rStyle w:val="Hyperlink"/>
                </w:rPr>
                <w:t xml:space="preserve">https://www.international.gc.ca/trade-commerce/controls-controles/electric-vehicle-vehicule-electrique/index.aspx?lang=eng</w:t>
              </w:r>
            </w:hyperlink>
            <w:r>
              <w:t xml:space="preserve"> </w:t>
            </w:r>
            <w:r>
              <w:t xml:space="preserve">; background: Prime Minister's release (2026-01-16),</w:t>
            </w:r>
            <w:r>
              <w:t xml:space="preserve"> </w:t>
            </w:r>
            <w:hyperlink r:id="rId112">
              <w:r>
                <w:rPr>
                  <w:rStyle w:val="Hyperlink"/>
                </w:rPr>
                <w:t xml:space="preserve">https://www.pm.gc.ca/en/news/news-releases/2026/01/16/prime-minister-carney-forges-new-strategic-partnership-peoples</w:t>
              </w:r>
            </w:hyperlink>
          </w:p>
        </w:tc>
        <w:tc>
          <w:tcPr>
            <w:tcW w:w="1295" w:type="dxa"/>
          </w:tcPr>
          <w:p>
            <w:pPr>
              <w:pStyle w:val="Compact"/>
              <w:jc w:val="left"/>
            </w:pPr>
            <w:r>
              <w:t xml:space="preserve">Confirmed (electric vehicles); Reported (remission)</w:t>
            </w:r>
          </w:p>
        </w:tc>
      </w:tr>
      <w:tr>
        <w:tc>
          <w:tcPr>
            <w:tcW w:w="1480" w:type="dxa"/>
          </w:tcPr>
          <w:p>
            <w:pPr>
              <w:pStyle w:val="Compact"/>
              <w:jc w:val="left"/>
            </w:pPr>
            <w:r>
              <w:t xml:space="preserve">CARM</w:t>
            </w:r>
          </w:p>
        </w:tc>
        <w:tc>
          <w:tcPr>
            <w:tcW w:w="1388" w:type="dxa"/>
          </w:tcPr>
          <w:p>
            <w:pPr>
              <w:pStyle w:val="Compact"/>
              <w:jc w:val="left"/>
            </w:pPr>
            <w:r>
              <w:t xml:space="preserve">Customs Act; CBSA</w:t>
            </w:r>
          </w:p>
        </w:tc>
        <w:tc>
          <w:tcPr>
            <w:tcW w:w="1665" w:type="dxa"/>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tcW w:w="1758" w:type="dxa"/>
          </w:tcPr>
          <w:p>
            <w:pPr>
              <w:pStyle w:val="Compact"/>
              <w:jc w:val="left"/>
            </w:pPr>
            <w:r>
              <w:t xml:space="preserve">In force. The annual security review now runs in October: CARM notifies importers around 2026-10-20, and an increase is due by 2027-01-15 (inference from CBSA bulletins)</w:t>
            </w:r>
          </w:p>
        </w:tc>
        <w:tc>
          <w:tcPr>
            <w:tcW w:w="1770" w:type="dxa"/>
          </w:tcPr>
          <w:p>
            <w:pPr>
              <w:pStyle w:val="Compact"/>
              <w:jc w:val="left"/>
            </w:pPr>
            <w:hyperlink r:id="rId113">
              <w:r>
                <w:rPr>
                  <w:rStyle w:val="Hyperlink"/>
                </w:rPr>
                <w:t xml:space="preserve">https://www.cbsa-asfc.gc.ca/services/carm-gcra/menu-eng.html</w:t>
              </w:r>
            </w:hyperlink>
            <w:r>
              <w:t xml:space="preserve"> </w:t>
            </w:r>
            <w:r>
              <w:t xml:space="preserve">; CARM Client Portal bulletins</w:t>
            </w:r>
          </w:p>
        </w:tc>
        <w:tc>
          <w:tcPr>
            <w:tcW w:w="1295" w:type="dxa"/>
          </w:tcPr>
          <w:p>
            <w:pPr>
              <w:pStyle w:val="Compact"/>
              <w:jc w:val="left"/>
            </w:pPr>
            <w:r>
              <w:t xml:space="preserve">Reported</w:t>
            </w:r>
          </w:p>
        </w:tc>
      </w:tr>
    </w:tbl>
    <w:bookmarkEnd w:id="114"/>
    <w:bookmarkStart w:id="130" w:name="X6eceebb82dd28e939a3f6ae5f461312fa8d7637"/>
    <w:p>
      <w:pPr>
        <w:pStyle w:val="Heading3"/>
      </w:pPr>
      <w:r>
        <w:t xml:space="preserve">1.4 Mexico</w:t>
      </w:r>
    </w:p>
    <w:tbl>
      <w:tblPr>
        <w:tblStyle w:val="Table"/>
        <w:tblW w:type="dxa" w:w="9360"/>
        <w:tblLook w:firstRow="1" w:lastRow="0" w:firstColumn="0" w:lastColumn="0" w:noHBand="0" w:noVBand="0" w:val="0020"/>
        <w:jc w:val="start"/>
        <w:tblLayout w:type="fixed"/>
      </w:tblPr>
      <w:tblGrid>
        <w:gridCol w:w="1539"/>
        <w:gridCol w:w="1347"/>
        <w:gridCol w:w="1841"/>
        <w:gridCol w:w="1347"/>
        <w:gridCol w:w="1841"/>
        <w:gridCol w:w="1443"/>
      </w:tblGrid>
      <w:tr>
        <w:trPr>
          <w:tblHeader w:val="true"/>
        </w:trPr>
        <w:tc>
          <w:tcPr>
            <w:tcW w:w="1539" w:type="dxa"/>
          </w:tcPr>
          <w:p>
            <w:pPr>
              <w:pStyle w:val="Compact"/>
              <w:jc w:val="left"/>
            </w:pPr>
            <w:r>
              <w:t xml:space="preserve">Action</w:t>
            </w:r>
          </w:p>
        </w:tc>
        <w:tc>
          <w:tcPr>
            <w:tcW w:w="1347" w:type="dxa"/>
          </w:tcPr>
          <w:p>
            <w:pPr>
              <w:pStyle w:val="Compact"/>
              <w:jc w:val="left"/>
            </w:pPr>
            <w:r>
              <w:t xml:space="preserve">Authority</w:t>
            </w:r>
          </w:p>
        </w:tc>
        <w:tc>
          <w:tcPr>
            <w:tcW w:w="1841" w:type="dxa"/>
          </w:tcPr>
          <w:p>
            <w:pPr>
              <w:pStyle w:val="Compact"/>
              <w:jc w:val="left"/>
            </w:pPr>
            <w:r>
              <w:t xml:space="preserve">Scope</w:t>
            </w:r>
          </w:p>
        </w:tc>
        <w:tc>
          <w:tcPr>
            <w:tcW w:w="1347" w:type="dxa"/>
          </w:tcPr>
          <w:p>
            <w:pPr>
              <w:pStyle w:val="Compact"/>
              <w:jc w:val="left"/>
            </w:pPr>
            <w:r>
              <w:t xml:space="preserve">Status as of 2026-10-08</w:t>
            </w:r>
          </w:p>
        </w:tc>
        <w:tc>
          <w:tcPr>
            <w:tcW w:w="1841" w:type="dxa"/>
          </w:tcPr>
          <w:p>
            <w:pPr>
              <w:pStyle w:val="Compact"/>
              <w:jc w:val="left"/>
            </w:pPr>
            <w:r>
              <w:t xml:space="preserve">Source (date)</w:t>
            </w:r>
          </w:p>
        </w:tc>
        <w:tc>
          <w:tcPr>
            <w:tcW w:w="1443" w:type="dxa"/>
          </w:tcPr>
          <w:p>
            <w:pPr>
              <w:pStyle w:val="Compact"/>
              <w:jc w:val="left"/>
            </w:pPr>
            <w:r>
              <w:t xml:space="preserve">Confidence</w:t>
            </w:r>
          </w:p>
        </w:tc>
      </w:tr>
      <w:tr>
        <w:tc>
          <w:tcPr>
            <w:tcW w:w="1539" w:type="dxa"/>
          </w:tcPr>
          <w:p>
            <w:pPr>
              <w:pStyle w:val="Compact"/>
              <w:jc w:val="left"/>
            </w:pPr>
            <w:r>
              <w:t xml:space="preserve">Higher import duty (IGI) on goods from countries without a trade agreement with Mexico</w:t>
            </w:r>
          </w:p>
        </w:tc>
        <w:tc>
          <w:tcPr>
            <w:tcW w:w="1347" w:type="dxa"/>
          </w:tcPr>
          <w:p>
            <w:pPr>
              <w:pStyle w:val="Compact"/>
              <w:jc w:val="left"/>
            </w:pPr>
            <w:r>
              <w:t xml:space="preserve">Decree reforming fracciones of the Tarifa of the Ley de los Impuestos Generales de Importación y de Exportación (LIGIE), DOF 2025-12-29 (approved by Congress in December 2025)</w:t>
            </w:r>
          </w:p>
        </w:tc>
        <w:tc>
          <w:tcPr>
            <w:tcW w:w="1841" w:type="dxa"/>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tcW w:w="1347" w:type="dxa"/>
          </w:tcPr>
          <w:p>
            <w:pPr>
              <w:pStyle w:val="Compact"/>
              <w:jc w:val="left"/>
            </w:pPr>
            <w:r>
              <w:t xml:space="preserve">In force from 2026-01-01. Some fracciones changed again by the decree of 2026-04-23</w:t>
            </w:r>
          </w:p>
        </w:tc>
        <w:tc>
          <w:tcPr>
            <w:tcW w:w="1841" w:type="dxa"/>
          </w:tcPr>
          <w:p>
            <w:pPr>
              <w:pStyle w:val="Compact"/>
              <w:jc w:val="left"/>
            </w:pPr>
            <w:r>
              <w:t xml:space="preserve">DOF,</w:t>
            </w:r>
            <w:r>
              <w:t xml:space="preserve"> </w:t>
            </w:r>
            <w:hyperlink r:id="rId115">
              <w:r>
                <w:rPr>
                  <w:rStyle w:val="Hyperlink"/>
                </w:rPr>
                <w:t xml:space="preserve">https://dof.gob.mx/nota_detalle.php?codigo=5777376&amp;fecha=29/12/2025</w:t>
              </w:r>
            </w:hyperlink>
            <w:r>
              <w:t xml:space="preserve"> </w:t>
            </w:r>
            <w:r>
              <w:t xml:space="preserve">(2025-12-29); Secretaría de Economía,</w:t>
            </w:r>
            <w:r>
              <w:t xml:space="preserve"> </w:t>
            </w:r>
            <w:hyperlink r:id="rId116">
              <w:r>
                <w:rPr>
                  <w:rStyle w:val="Hyperlink"/>
                </w:rPr>
                <w:t xml:space="preserve">https://www.gob.mx/se/prensa/se-publica-en-el-dof-la-modificacion-de-aranceles-de-la-ligie</w:t>
              </w:r>
            </w:hyperlink>
          </w:p>
        </w:tc>
        <w:tc>
          <w:tcPr>
            <w:tcW w:w="1443" w:type="dxa"/>
          </w:tcPr>
          <w:p>
            <w:pPr>
              <w:pStyle w:val="Compact"/>
              <w:jc w:val="left"/>
            </w:pPr>
            <w:r>
              <w:t xml:space="preserve">Confirmed (scope, date); Reported (top rate, countries)</w:t>
            </w:r>
          </w:p>
        </w:tc>
      </w:tr>
      <w:tr>
        <w:tc>
          <w:tcPr>
            <w:tcW w:w="1539" w:type="dxa"/>
          </w:tcPr>
          <w:p>
            <w:pPr>
              <w:pStyle w:val="Compact"/>
              <w:jc w:val="left"/>
            </w:pPr>
            <w:r>
              <w:t xml:space="preserve">Temporary IGI decrees of 2024 and their 2026 renewal</w:t>
            </w:r>
          </w:p>
        </w:tc>
        <w:tc>
          <w:tcPr>
            <w:tcW w:w="1347" w:type="dxa"/>
          </w:tcPr>
          <w:p>
            <w:pPr>
              <w:pStyle w:val="Compact"/>
              <w:jc w:val="left"/>
            </w:pPr>
            <w:r>
              <w:t xml:space="preserve">Decree of 2024-04-22 (DOF evening edition; temporary rates of 5% to 50% on 544 fracciones, goods of countries without a trade agreement with Mexico, 2024-04-23 to 2026-04-23); decree of 2024-12-19 (DOF; 35% on 138 apparel and 15% on 17 textile fracciones, to 2026-04-23; finished apparel barred from IMMEX temporary import); decree of 2026-04-23 (DOF evening edition)</w:t>
            </w:r>
          </w:p>
        </w:tc>
        <w:tc>
          <w:tcPr>
            <w:tcW w:w="1841" w:type="dxa"/>
          </w:tcPr>
          <w:p>
            <w:pPr>
              <w:pStyle w:val="Compact"/>
              <w:jc w:val="left"/>
            </w:pPr>
            <w:r>
              <w:t xml:space="preserve">The 2024 temporary rates were set to expire 2026-04-23. The 2026-04-23 decree kept and updated rates of 5% to 35% on about 185 fracciones (reported sectors: chemicals, plastics, textiles including denim, steel and aluminum, auto parts, electrical goods, bicycles, furniture, musical instruments), with no end date reported, and reformed article 5 of the PROSEC Decree (sector rates). On the other 2024 lines the temporary rates lapsed: lines also covered by the 2025-12-29 LIGIE reform keep that reform's rates (row above), and lines in neither went back to the rate in force before the 2024 decree, which for some lines was an earlier temporary rate (reported)</w:t>
            </w:r>
          </w:p>
        </w:tc>
        <w:tc>
          <w:tcPr>
            <w:tcW w:w="1347" w:type="dxa"/>
          </w:tcPr>
          <w:p>
            <w:pPr>
              <w:pStyle w:val="Compact"/>
              <w:jc w:val="left"/>
            </w:pPr>
            <w:r>
              <w:t xml:space="preserve">2026 decree in force from 2026-04-24. Check each fracción in the SNICE list and the DOF text before modeling. IMMEX apparel restriction: confirm it is still in force (agente aduanal, through the Senior)</w:t>
            </w:r>
          </w:p>
        </w:tc>
        <w:tc>
          <w:tcPr>
            <w:tcW w:w="1841" w:type="dxa"/>
          </w:tcPr>
          <w:p>
            <w:pPr>
              <w:pStyle w:val="Compact"/>
              <w:jc w:val="left"/>
            </w:pPr>
            <w:r>
              <w:t xml:space="preserve">DOF,</w:t>
            </w:r>
            <w:r>
              <w:t xml:space="preserve"> </w:t>
            </w:r>
            <w:hyperlink r:id="rId117">
              <w:r>
                <w:rPr>
                  <w:rStyle w:val="Hyperlink"/>
                </w:rPr>
                <w:t xml:space="preserve">https://www.dof.gob.mx/nota_detalle.php?codigo=5785818&amp;fecha=23/04/2026</w:t>
              </w:r>
            </w:hyperlink>
            <w:r>
              <w:t xml:space="preserve"> </w:t>
            </w:r>
            <w:r>
              <w:t xml:space="preserve">(2026-04-23); DOF,</w:t>
            </w:r>
            <w:r>
              <w:t xml:space="preserve"> </w:t>
            </w:r>
            <w:hyperlink r:id="rId118">
              <w:r>
                <w:rPr>
                  <w:rStyle w:val="Hyperlink"/>
                </w:rPr>
                <w:t xml:space="preserve">https://www.dof.gob.mx/nota_detalle.php?codigo=5745788&amp;fecha=19/12/2024</w:t>
              </w:r>
            </w:hyperlink>
            <w:r>
              <w:t xml:space="preserve"> </w:t>
            </w:r>
            <w:r>
              <w:t xml:space="preserve">(2024-12-19); SNICE lists of TIGIE changes,</w:t>
            </w:r>
            <w:r>
              <w:t xml:space="preserve"> </w:t>
            </w:r>
            <w:hyperlink r:id="rId119">
              <w:r>
                <w:rPr>
                  <w:rStyle w:val="Hyperlink"/>
                </w:rPr>
                <w:t xml:space="preserve">https://www.snice.gob.mx/cs/avi/snice/ligie.info22.mod26.html</w:t>
              </w:r>
            </w:hyperlink>
            <w:r>
              <w:t xml:space="preserve"> </w:t>
            </w:r>
            <w:r>
              <w:t xml:space="preserve">(2026) and</w:t>
            </w:r>
            <w:r>
              <w:t xml:space="preserve"> </w:t>
            </w:r>
            <w:hyperlink r:id="rId120">
              <w:r>
                <w:rPr>
                  <w:rStyle w:val="Hyperlink"/>
                </w:rPr>
                <w:t xml:space="preserve">https://www.snice.gob.mx/cs/avi/snice/ligie.info22.mod24.html</w:t>
              </w:r>
            </w:hyperlink>
            <w:r>
              <w:t xml:space="preserve"> </w:t>
            </w:r>
            <w:r>
              <w:t xml:space="preserve">(2024)</w:t>
            </w:r>
          </w:p>
        </w:tc>
        <w:tc>
          <w:tcPr>
            <w:tcW w:w="1443" w:type="dxa"/>
          </w:tcPr>
          <w:p>
            <w:pPr>
              <w:pStyle w:val="Compact"/>
              <w:jc w:val="left"/>
            </w:pPr>
            <w:r>
              <w:t xml:space="preserve">Confirmed (decree dates); Reported (which lines were renewed, rates, no end date, 2024 details)</w:t>
            </w:r>
          </w:p>
        </w:tc>
      </w:tr>
      <w:tr>
        <w:tc>
          <w:tcPr>
            <w:tcW w:w="1539" w:type="dxa"/>
          </w:tcPr>
          <w:p>
            <w:pPr>
              <w:pStyle w:val="Compact"/>
              <w:jc w:val="left"/>
            </w:pPr>
            <w:r>
              <w:t xml:space="preserve">IMMEX and PROSEC</w:t>
            </w:r>
          </w:p>
        </w:tc>
        <w:tc>
          <w:tcPr>
            <w:tcW w:w="1347" w:type="dxa"/>
          </w:tcPr>
          <w:p>
            <w:pPr>
              <w:pStyle w:val="Compact"/>
              <w:jc w:val="left"/>
            </w:pPr>
            <w:r>
              <w:t xml:space="preserve">IMMEX Decree (annual report, article 25); PROSEC Decree (article 5 rates)</w:t>
            </w:r>
          </w:p>
        </w:tc>
        <w:tc>
          <w:tcPr>
            <w:tcW w:w="1841" w:type="dxa"/>
          </w:tcPr>
          <w:p>
            <w:pPr>
              <w:pStyle w:val="Compact"/>
              <w:jc w:val="left"/>
            </w:pPr>
            <w:r>
              <w:t xml:space="preserve">IMMEX holders file an annual report of sales and exports by the last business day of May. PROSEC article 5 rates reformed by the decree of 2026-04-23</w:t>
            </w:r>
          </w:p>
        </w:tc>
        <w:tc>
          <w:tcPr>
            <w:tcW w:w="1347" w:type="dxa"/>
          </w:tcPr>
          <w:p>
            <w:pPr>
              <w:pStyle w:val="Compact"/>
              <w:jc w:val="left"/>
            </w:pPr>
            <w:r>
              <w:t xml:space="preserve">Secretaría de Economía suspended IMMEX programs that did not file the 2025 report (DOF aviso of 2026-06-30); programs not regularized by the last business day of August 2026 were cancelled from 2026-09-01. The Secretaría de Economía published the list of cancelled programs in a DOF aviso of 2026-09-29 (reported). [COMPANY: confirm our IMMEX program is active, the 2025 report was filed and we are not on the 2026-09-29 list]</w:t>
            </w:r>
          </w:p>
        </w:tc>
        <w:tc>
          <w:tcPr>
            <w:tcW w:w="1841" w:type="dxa"/>
          </w:tcPr>
          <w:p>
            <w:pPr>
              <w:pStyle w:val="Compact"/>
              <w:jc w:val="left"/>
            </w:pPr>
            <w:r>
              <w:t xml:space="preserve">DOF,</w:t>
            </w:r>
            <w:r>
              <w:t xml:space="preserve"> </w:t>
            </w:r>
            <w:hyperlink r:id="rId121">
              <w:r>
                <w:rPr>
                  <w:rStyle w:val="Hyperlink"/>
                </w:rPr>
                <w:t xml:space="preserve">https://dof.gob.mx/nota_detalle.php?codigo=5792091&amp;fecha=30/06/2026</w:t>
              </w:r>
            </w:hyperlink>
            <w:r>
              <w:t xml:space="preserve"> </w:t>
            </w:r>
            <w:r>
              <w:t xml:space="preserve">(2026-06-30); DOF aviso of 2026-09-29 listing cancelled programs (find it on</w:t>
            </w:r>
            <w:r>
              <w:t xml:space="preserve"> </w:t>
            </w:r>
            <w:hyperlink r:id="rId122">
              <w:r>
                <w:rPr>
                  <w:rStyle w:val="Hyperlink"/>
                </w:rPr>
                <w:t xml:space="preserve">https://www.dof.gob.mx/</w:t>
              </w:r>
            </w:hyperlink>
            <w:r>
              <w:t xml:space="preserve">)</w:t>
            </w:r>
          </w:p>
        </w:tc>
        <w:tc>
          <w:tcPr>
            <w:tcW w:w="1443" w:type="dxa"/>
          </w:tcPr>
          <w:p>
            <w:pPr>
              <w:pStyle w:val="Compact"/>
              <w:jc w:val="left"/>
            </w:pPr>
            <w:r>
              <w:t xml:space="preserve">Confirmed (suspension aviso); Reported (cancellation list)</w:t>
            </w:r>
          </w:p>
        </w:tc>
      </w:tr>
      <w:tr>
        <w:tc>
          <w:tcPr>
            <w:tcW w:w="1539" w:type="dxa"/>
          </w:tcPr>
          <w:p>
            <w:pPr>
              <w:pStyle w:val="Compact"/>
              <w:jc w:val="left"/>
            </w:pPr>
            <w:r>
              <w:t xml:space="preserve">Ley Aduanera reform</w:t>
            </w:r>
          </w:p>
        </w:tc>
        <w:tc>
          <w:tcPr>
            <w:tcW w:w="1347" w:type="dxa"/>
          </w:tcPr>
          <w:p>
            <w:pPr>
              <w:pStyle w:val="Compact"/>
              <w:jc w:val="left"/>
            </w:pPr>
            <w:r>
              <w:t xml:space="preserve">Decree, DOF 2025-11-19; reform of the Reglamento, DOF 2026-02-23</w:t>
            </w:r>
          </w:p>
        </w:tc>
        <w:tc>
          <w:tcPr>
            <w:tcW w:w="1841" w:type="dxa"/>
          </w:tcPr>
          <w:p>
            <w:pPr>
              <w:pStyle w:val="Compact"/>
              <w:jc w:val="left"/>
            </w:pPr>
            <w:r>
              <w:t xml:space="preserve">Stricter obligations for agentes aduanales (20-year patents in place of lifetime ones; a new customs council), a fuller electronic file for importers, higher fines</w:t>
            </w:r>
          </w:p>
        </w:tc>
        <w:tc>
          <w:tcPr>
            <w:tcW w:w="1347" w:type="dxa"/>
          </w:tcPr>
          <w:p>
            <w:pPr>
              <w:pStyle w:val="Compact"/>
              <w:jc w:val="left"/>
            </w:pPr>
            <w:r>
              <w:t xml:space="preserve">In force from 2026-01-01, with some articles three months later; Reglamento reformed 2026-02-23</w:t>
            </w:r>
          </w:p>
        </w:tc>
        <w:tc>
          <w:tcPr>
            <w:tcW w:w="1841" w:type="dxa"/>
          </w:tcPr>
          <w:p>
            <w:pPr>
              <w:pStyle w:val="Compact"/>
              <w:jc w:val="left"/>
            </w:pPr>
            <w:r>
              <w:t xml:space="preserve">DOF,</w:t>
            </w:r>
            <w:r>
              <w:t xml:space="preserve"> </w:t>
            </w:r>
            <w:hyperlink r:id="rId123">
              <w:r>
                <w:rPr>
                  <w:rStyle w:val="Hyperlink"/>
                </w:rPr>
                <w:t xml:space="preserve">https://dof.gob.mx/nota_detalle.php?codigo=5773357&amp;fecha=19/11/2025</w:t>
              </w:r>
            </w:hyperlink>
            <w:r>
              <w:t xml:space="preserve"> </w:t>
            </w:r>
            <w:r>
              <w:t xml:space="preserve">(2025-11-19)</w:t>
            </w:r>
          </w:p>
        </w:tc>
        <w:tc>
          <w:tcPr>
            <w:tcW w:w="1443" w:type="dxa"/>
          </w:tcPr>
          <w:p>
            <w:pPr>
              <w:pStyle w:val="Compact"/>
              <w:jc w:val="left"/>
            </w:pPr>
            <w:r>
              <w:t xml:space="preserve">Confirmed</w:t>
            </w:r>
          </w:p>
        </w:tc>
      </w:tr>
      <w:tr>
        <w:tc>
          <w:tcPr>
            <w:tcW w:w="1539" w:type="dxa"/>
          </w:tcPr>
          <w:p>
            <w:pPr>
              <w:pStyle w:val="Compact"/>
              <w:jc w:val="left"/>
            </w:pPr>
            <w:r>
              <w:t xml:space="preserve">RGCE 2026 and the electronic value declaration (Manifestación de Valor Electrónica, MVE)</w:t>
            </w:r>
          </w:p>
        </w:tc>
        <w:tc>
          <w:tcPr>
            <w:tcW w:w="1347" w:type="dxa"/>
          </w:tcPr>
          <w:p>
            <w:pPr>
              <w:pStyle w:val="Compact"/>
              <w:jc w:val="left"/>
            </w:pPr>
            <w:r>
              <w:t xml:space="preserve">Reglas Generales de Comercio Exterior para 2026, DOF 2025-12-27, with modifying resolutions (the first on 2026-05-14)</w:t>
            </w:r>
          </w:p>
        </w:tc>
        <w:tc>
          <w:tcPr>
            <w:tcW w:w="1841" w:type="dxa"/>
          </w:tcPr>
          <w:p>
            <w:pPr>
              <w:pStyle w:val="Compact"/>
              <w:jc w:val="left"/>
            </w:pPr>
            <w:r>
              <w:t xml:space="preserve">The customs value declaration must be transmitted electronically through the single window</w:t>
            </w:r>
          </w:p>
        </w:tc>
        <w:tc>
          <w:tcPr>
            <w:tcW w:w="1347" w:type="dxa"/>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tcW w:w="1841" w:type="dxa"/>
          </w:tcPr>
          <w:p>
            <w:pPr>
              <w:pStyle w:val="Compact"/>
              <w:jc w:val="left"/>
            </w:pPr>
            <w:r>
              <w:t xml:space="preserve">SAT, ANAM and ATDT release,</w:t>
            </w:r>
            <w:r>
              <w:t xml:space="preserve"> </w:t>
            </w:r>
            <w:hyperlink r:id="rId124">
              <w:r>
                <w:rPr>
                  <w:rStyle w:val="Hyperlink"/>
                </w:rPr>
                <w:t xml:space="preserve">https://www.gob.mx/sat/prensa/sat-anam-y-atdt-amplian-al-31-de-octubre-plazo-para-presentar-manifestacion-de-valor-electronica</w:t>
              </w:r>
            </w:hyperlink>
            <w:r>
              <w:t xml:space="preserve"> </w:t>
            </w:r>
            <w:r>
              <w:t xml:space="preserve">(2026-10-02); RGCE 2026,</w:t>
            </w:r>
            <w:r>
              <w:t xml:space="preserve"> </w:t>
            </w:r>
            <w:hyperlink r:id="rId125">
              <w:r>
                <w:rPr>
                  <w:rStyle w:val="Hyperlink"/>
                </w:rPr>
                <w:t xml:space="preserve">https://dof.gob.mx/nota_detalle_popup.php?codigo=5777199</w:t>
              </w:r>
            </w:hyperlink>
          </w:p>
        </w:tc>
        <w:tc>
          <w:tcPr>
            <w:tcW w:w="1443" w:type="dxa"/>
          </w:tcPr>
          <w:p>
            <w:pPr>
              <w:pStyle w:val="Compact"/>
              <w:jc w:val="left"/>
            </w:pPr>
            <w:r>
              <w:t xml:space="preserve">Confirmed (announced dates); Unclear (final DOF text)</w:t>
            </w:r>
          </w:p>
        </w:tc>
      </w:tr>
      <w:tr>
        <w:tc>
          <w:tcPr>
            <w:tcW w:w="1539" w:type="dxa"/>
          </w:tcPr>
          <w:p>
            <w:pPr>
              <w:pStyle w:val="Compact"/>
              <w:jc w:val="left"/>
            </w:pPr>
            <w:r>
              <w:t xml:space="preserve">Single window</w:t>
            </w:r>
          </w:p>
        </w:tc>
        <w:tc>
          <w:tcPr>
            <w:tcW w:w="1347" w:type="dxa"/>
          </w:tcPr>
          <w:p>
            <w:pPr>
              <w:pStyle w:val="Compact"/>
              <w:jc w:val="left"/>
            </w:pPr>
            <w:r>
              <w:t xml:space="preserve">Decree, DOF 2026-05-04</w:t>
            </w:r>
          </w:p>
        </w:tc>
        <w:tc>
          <w:tcPr>
            <w:tcW w:w="1841" w:type="dxa"/>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26">
              <w:r>
                <w:rPr>
                  <w:rStyle w:val="Hyperlink"/>
                </w:rPr>
                <w:t xml:space="preserve">https://www.ventanillaunica.gob.mx</w:t>
              </w:r>
            </w:hyperlink>
          </w:p>
        </w:tc>
        <w:tc>
          <w:tcPr>
            <w:tcW w:w="1347" w:type="dxa"/>
          </w:tcPr>
          <w:p>
            <w:pPr>
              <w:pStyle w:val="Compact"/>
              <w:jc w:val="left"/>
            </w:pPr>
            <w:r>
              <w:t xml:space="preserve">In force from 2026-05-05. Transition effects: ask the agente aduanal through the Senior</w:t>
            </w:r>
          </w:p>
        </w:tc>
        <w:tc>
          <w:tcPr>
            <w:tcW w:w="1841" w:type="dxa"/>
          </w:tcPr>
          <w:p>
            <w:pPr>
              <w:pStyle w:val="Compact"/>
              <w:jc w:val="left"/>
            </w:pPr>
            <w:r>
              <w:t xml:space="preserve">DOF,</w:t>
            </w:r>
            <w:r>
              <w:t xml:space="preserve"> </w:t>
            </w:r>
            <w:hyperlink r:id="rId127">
              <w:r>
                <w:rPr>
                  <w:rStyle w:val="Hyperlink"/>
                </w:rPr>
                <w:t xml:space="preserve">https://www.dof.gob.mx/nota_detalle.php?codigo=5786598&amp;fecha=04/05/2026</w:t>
              </w:r>
            </w:hyperlink>
            <w:r>
              <w:t xml:space="preserve"> </w:t>
            </w:r>
            <w:r>
              <w:t xml:space="preserve">(2026-05-04)</w:t>
            </w:r>
          </w:p>
        </w:tc>
        <w:tc>
          <w:tcPr>
            <w:tcW w:w="1443" w:type="dxa"/>
          </w:tcPr>
          <w:p>
            <w:pPr>
              <w:pStyle w:val="Compact"/>
              <w:jc w:val="left"/>
            </w:pPr>
            <w:r>
              <w:t xml:space="preserve">Confirmed</w:t>
            </w:r>
          </w:p>
        </w:tc>
      </w:tr>
      <w:tr>
        <w:tc>
          <w:tcPr>
            <w:tcW w:w="1539" w:type="dxa"/>
          </w:tcPr>
          <w:p>
            <w:pPr>
              <w:pStyle w:val="Compact"/>
              <w:jc w:val="left"/>
            </w:pPr>
            <w:r>
              <w:t xml:space="preserve">Measures on goods of the US or Canada</w:t>
            </w:r>
          </w:p>
        </w:tc>
        <w:tc>
          <w:tcPr>
            <w:tcW w:w="1347" w:type="dxa"/>
          </w:tcPr>
          <w:p>
            <w:pPr>
              <w:pStyle w:val="Compact"/>
              <w:jc w:val="left"/>
            </w:pPr>
            <w:r>
              <w:t xml:space="preserve">None found</w:t>
            </w:r>
          </w:p>
        </w:tc>
        <w:tc>
          <w:tcPr>
            <w:tcW w:w="1841" w:type="dxa"/>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tcW w:w="1347" w:type="dxa"/>
          </w:tcPr>
          <w:p>
            <w:pPr>
              <w:pStyle w:val="Compact"/>
              <w:jc w:val="left"/>
            </w:pPr>
            <w:r>
              <w:t xml:space="preserve">None found as of 2026-10-08</w:t>
            </w:r>
          </w:p>
        </w:tc>
        <w:tc>
          <w:tcPr>
            <w:tcW w:w="1841" w:type="dxa"/>
          </w:tcPr>
          <w:p>
            <w:pPr>
              <w:pStyle w:val="Compact"/>
              <w:jc w:val="left"/>
            </w:pPr>
            <w:hyperlink r:id="rId128">
              <w:r>
                <w:rPr>
                  <w:rStyle w:val="Hyperlink"/>
                </w:rPr>
                <w:t xml:space="preserve">https://www.gob.mx/se</w:t>
              </w:r>
            </w:hyperlink>
            <w:r>
              <w:t xml:space="preserve"> </w:t>
            </w:r>
            <w:r>
              <w:t xml:space="preserve">;</w:t>
            </w:r>
            <w:r>
              <w:t xml:space="preserve"> </w:t>
            </w:r>
            <w:hyperlink r:id="rId122">
              <w:r>
                <w:rPr>
                  <w:rStyle w:val="Hyperlink"/>
                </w:rPr>
                <w:t xml:space="preserve">https://www.dof.gob.mx/</w:t>
              </w:r>
            </w:hyperlink>
          </w:p>
        </w:tc>
        <w:tc>
          <w:tcPr>
            <w:tcW w:w="1443" w:type="dxa"/>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29">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30"/>
    <w:bookmarkStart w:id="135"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31">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dxa" w:w="9360"/>
        <w:tblLook w:firstRow="1" w:lastRow="0" w:firstColumn="0" w:lastColumn="0" w:noHBand="0" w:noVBand="0" w:val="0020"/>
        <w:jc w:val="start"/>
        <w:tblLayout w:type="fixed"/>
      </w:tblPr>
      <w:tblGrid>
        <w:gridCol w:w="1610"/>
        <w:gridCol w:w="3262"/>
        <w:gridCol w:w="3107"/>
        <w:gridCol w:w="1380"/>
      </w:tblGrid>
      <w:tr>
        <w:trPr>
          <w:tblHeader w:val="true"/>
        </w:trPr>
        <w:tc>
          <w:tcPr>
            <w:tcW w:w="1610" w:type="dxa"/>
          </w:tcPr>
          <w:p>
            <w:pPr>
              <w:pStyle w:val="Compact"/>
              <w:jc w:val="left"/>
            </w:pPr>
            <w:r>
              <w:t xml:space="preserve">Item</w:t>
            </w:r>
          </w:p>
        </w:tc>
        <w:tc>
          <w:tcPr>
            <w:tcW w:w="3262" w:type="dxa"/>
          </w:tcPr>
          <w:p>
            <w:pPr>
              <w:pStyle w:val="Compact"/>
              <w:jc w:val="left"/>
            </w:pPr>
            <w:r>
              <w:t xml:space="preserve">Status as of 2026-10-08</w:t>
            </w:r>
          </w:p>
        </w:tc>
        <w:tc>
          <w:tcPr>
            <w:tcW w:w="3107" w:type="dxa"/>
          </w:tcPr>
          <w:p>
            <w:pPr>
              <w:pStyle w:val="Compact"/>
              <w:jc w:val="left"/>
            </w:pPr>
            <w:r>
              <w:t xml:space="preserve">Source (date)</w:t>
            </w:r>
          </w:p>
        </w:tc>
        <w:tc>
          <w:tcPr>
            <w:tcW w:w="1380" w:type="dxa"/>
          </w:tcPr>
          <w:p>
            <w:pPr>
              <w:pStyle w:val="Compact"/>
              <w:jc w:val="left"/>
            </w:pPr>
            <w:r>
              <w:t xml:space="preserve">Confidence</w:t>
            </w:r>
          </w:p>
        </w:tc>
      </w:tr>
      <w:tr>
        <w:tc>
          <w:tcPr>
            <w:tcW w:w="1610" w:type="dxa"/>
          </w:tcPr>
          <w:p>
            <w:pPr>
              <w:pStyle w:val="Compact"/>
              <w:jc w:val="left"/>
            </w:pPr>
            <w:r>
              <w:t xml:space="preserve">Outcome of the 2026-07-01 joint review</w:t>
            </w:r>
          </w:p>
        </w:tc>
        <w:tc>
          <w:tcPr>
            <w:tcW w:w="3262" w:type="dxa"/>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tcW w:w="3107" w:type="dxa"/>
          </w:tcPr>
          <w:p>
            <w:pPr>
              <w:pStyle w:val="Compact"/>
              <w:jc w:val="left"/>
            </w:pPr>
            <w:r>
              <w:t xml:space="preserve">USTR statement (2026-07-01),</w:t>
            </w:r>
            <w:r>
              <w:t xml:space="preserve"> </w:t>
            </w:r>
            <w:hyperlink r:id="rId132">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33">
              <w:r>
                <w:rPr>
                  <w:rStyle w:val="Hyperlink"/>
                </w:rPr>
                <w:t xml:space="preserve">https://www.congress.gov/crs-product/R48787</w:t>
              </w:r>
            </w:hyperlink>
          </w:p>
        </w:tc>
        <w:tc>
          <w:tcPr>
            <w:tcW w:w="1380" w:type="dxa"/>
          </w:tcPr>
          <w:p>
            <w:pPr>
              <w:pStyle w:val="Compact"/>
              <w:jc w:val="left"/>
            </w:pPr>
            <w:r>
              <w:t xml:space="preserve">Confirmed</w:t>
            </w:r>
          </w:p>
        </w:tc>
      </w:tr>
      <w:tr>
        <w:tc>
          <w:tcPr>
            <w:tcW w:w="1610" w:type="dxa"/>
          </w:tcPr>
          <w:p>
            <w:pPr>
              <w:pStyle w:val="Compact"/>
              <w:jc w:val="left"/>
            </w:pPr>
            <w:r>
              <w:t xml:space="preserve">2027 annual joint review: USTR comments and hearing</w:t>
            </w:r>
          </w:p>
        </w:tc>
        <w:tc>
          <w:tcPr>
            <w:tcW w:w="3262" w:type="dxa"/>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tcW w:w="3107" w:type="dxa"/>
          </w:tcPr>
          <w:p>
            <w:pPr>
              <w:pStyle w:val="Compact"/>
              <w:jc w:val="left"/>
            </w:pPr>
            <w:hyperlink r:id="rId134">
              <w:r>
                <w:rPr>
                  <w:rStyle w:val="Hyperlink"/>
                </w:rPr>
                <w:t xml:space="preserve">https://www.federalregister.gov/d/2026-20341</w:t>
              </w:r>
            </w:hyperlink>
            <w:r>
              <w:t xml:space="preserve"> </w:t>
            </w:r>
            <w:r>
              <w:t xml:space="preserve">(2026-10-05)</w:t>
            </w:r>
          </w:p>
        </w:tc>
        <w:tc>
          <w:tcPr>
            <w:tcW w:w="1380" w:type="dxa"/>
          </w:tcPr>
          <w:p>
            <w:pPr>
              <w:pStyle w:val="Compact"/>
              <w:jc w:val="left"/>
            </w:pPr>
            <w:r>
              <w:t xml:space="preserve">Confirmed</w:t>
            </w:r>
          </w:p>
        </w:tc>
      </w:tr>
      <w:tr>
        <w:tc>
          <w:tcPr>
            <w:tcW w:w="1610" w:type="dxa"/>
          </w:tcPr>
          <w:p>
            <w:pPr>
              <w:pStyle w:val="Compact"/>
              <w:jc w:val="left"/>
            </w:pPr>
            <w:r>
              <w:t xml:space="preserve">Talks and agreed changes (rules of origin, side letters, new commitments)</w:t>
            </w:r>
          </w:p>
        </w:tc>
        <w:tc>
          <w:tcPr>
            <w:tcW w:w="3262" w:type="dxa"/>
          </w:tcPr>
          <w:p>
            <w:pPr>
              <w:pStyle w:val="Compact"/>
              <w:jc w:val="left"/>
            </w:pPr>
            <w:r>
              <w:t xml:space="preserve">None agreed as of early October 2026. The US and Mexico held three bilateral rounds from May to July 2026; a fourth round planned for September 2026 in Washington was postponed to October, date not announced as of 2026-10-05. No formal US-Canada joint-review negotiations announced</w:t>
            </w:r>
          </w:p>
        </w:tc>
        <w:tc>
          <w:tcPr>
            <w:tcW w:w="3107" w:type="dxa"/>
          </w:tcPr>
          <w:p>
            <w:pPr>
              <w:pStyle w:val="Compact"/>
              <w:jc w:val="left"/>
            </w:pPr>
            <w:r>
              <w:t xml:space="preserve">CRS R48787 (2026-09-29); Mexican press reports of the deputy secretary for foreign trade (2026-09-23) and of the CCE (2026-10-05)</w:t>
            </w:r>
          </w:p>
        </w:tc>
        <w:tc>
          <w:tcPr>
            <w:tcW w:w="1380" w:type="dxa"/>
          </w:tcPr>
          <w:p>
            <w:pPr>
              <w:pStyle w:val="Compact"/>
              <w:jc w:val="left"/>
            </w:pPr>
            <w:r>
              <w:t xml:space="preserve">Reported</w:t>
            </w:r>
          </w:p>
        </w:tc>
      </w:tr>
    </w:tbl>
    <w:p>
      <w:pPr>
        <w:pStyle w:val="BodyText"/>
      </w:pPr>
      <w:r>
        <w:t xml:space="preserve">What it means for us: annual reviews now apply. USMCA preference keeps working while the agreement is in force: to 2036-07-01 unless a later review extends it, or earlier if a party withdraws (Article 34.6, six months after written notice) or the agreement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35"/>
    <w:bookmarkStart w:id="136" w:name="X80c55df85cb67a76e06e554488a21ff9d5f3a02"/>
    <w:p>
      <w:pPr>
        <w:pStyle w:val="Heading3"/>
      </w:pPr>
      <w:r>
        <w:t xml:space="preserve">1.6 Dates to watch</w:t>
      </w:r>
    </w:p>
    <w:tbl>
      <w:tblPr>
        <w:tblStyle w:val="Table"/>
        <w:tblW w:type="dxa" w:w="9360"/>
        <w:tblLook w:firstRow="1" w:lastRow="0" w:firstColumn="0" w:lastColumn="0" w:noHBand="0" w:noVBand="0" w:val="0020"/>
        <w:jc w:val="start"/>
        <w:tblLayout w:type="fixed"/>
      </w:tblPr>
      <w:tblGrid>
        <w:gridCol w:w="1495"/>
        <w:gridCol w:w="2805"/>
        <w:gridCol w:w="2070"/>
        <w:gridCol w:w="1610"/>
        <w:gridCol w:w="1380"/>
      </w:tblGrid>
      <w:tr>
        <w:trPr>
          <w:tblHeader w:val="true"/>
        </w:trPr>
        <w:tc>
          <w:tcPr>
            <w:tcW w:w="1495" w:type="dxa"/>
          </w:tcPr>
          <w:p>
            <w:pPr>
              <w:pStyle w:val="Compact"/>
              <w:jc w:val="left"/>
            </w:pPr>
            <w:r>
              <w:t xml:space="preserve">Date</w:t>
            </w:r>
          </w:p>
        </w:tc>
        <w:tc>
          <w:tcPr>
            <w:tcW w:w="2805" w:type="dxa"/>
          </w:tcPr>
          <w:p>
            <w:pPr>
              <w:pStyle w:val="Compact"/>
              <w:jc w:val="left"/>
            </w:pPr>
            <w:r>
              <w:t xml:space="preserve">What</w:t>
            </w:r>
          </w:p>
        </w:tc>
        <w:tc>
          <w:tcPr>
            <w:tcW w:w="2070" w:type="dxa"/>
          </w:tcPr>
          <w:p>
            <w:pPr>
              <w:pStyle w:val="Compact"/>
              <w:jc w:val="left"/>
            </w:pPr>
            <w:r>
              <w:t xml:space="preserve">Why it matters for us</w:t>
            </w:r>
          </w:p>
        </w:tc>
        <w:tc>
          <w:tcPr>
            <w:tcW w:w="1610" w:type="dxa"/>
          </w:tcPr>
          <w:p>
            <w:pPr>
              <w:pStyle w:val="Compact"/>
              <w:jc w:val="left"/>
            </w:pPr>
            <w:r>
              <w:t xml:space="preserve">Source</w:t>
            </w:r>
          </w:p>
        </w:tc>
        <w:tc>
          <w:tcPr>
            <w:tcW w:w="1380" w:type="dxa"/>
          </w:tcPr>
          <w:p>
            <w:pPr>
              <w:pStyle w:val="Compact"/>
              <w:jc w:val="left"/>
            </w:pPr>
            <w:r>
              <w:t xml:space="preserve">Confidence</w:t>
            </w:r>
          </w:p>
        </w:tc>
      </w:tr>
      <w:tr>
        <w:tc>
          <w:tcPr>
            <w:tcW w:w="1495" w:type="dxa"/>
          </w:tcPr>
          <w:p>
            <w:pPr>
              <w:pStyle w:val="Compact"/>
              <w:jc w:val="left"/>
            </w:pPr>
            <w:r>
              <w:t xml:space="preserve">2026-10-20</w:t>
            </w:r>
          </w:p>
        </w:tc>
        <w:tc>
          <w:tcPr>
            <w:tcW w:w="2805" w:type="dxa"/>
          </w:tcPr>
          <w:p>
            <w:pPr>
              <w:pStyle w:val="Compact"/>
              <w:jc w:val="left"/>
            </w:pPr>
            <w:r>
              <w:t xml:space="preserve">Canada CARM: annual notices of the release-prior-to-payment security requirement; any increase due by 2027-01-15</w:t>
            </w:r>
          </w:p>
        </w:tc>
        <w:tc>
          <w:tcPr>
            <w:tcW w:w="2070" w:type="dxa"/>
          </w:tcPr>
          <w:p>
            <w:pPr>
              <w:pStyle w:val="Compact"/>
              <w:jc w:val="left"/>
            </w:pPr>
            <w:r>
              <w:t xml:space="preserve">Canadian financial security</w:t>
            </w:r>
          </w:p>
        </w:tc>
        <w:tc>
          <w:tcPr>
            <w:tcW w:w="1610" w:type="dxa"/>
          </w:tcPr>
          <w:p>
            <w:pPr>
              <w:pStyle w:val="Compact"/>
              <w:jc w:val="left"/>
            </w:pPr>
            <w:r>
              <w:t xml:space="preserve">CARM Client Portal bulletins</w:t>
            </w:r>
          </w:p>
        </w:tc>
        <w:tc>
          <w:tcPr>
            <w:tcW w:w="1380" w:type="dxa"/>
          </w:tcPr>
          <w:p>
            <w:pPr>
              <w:pStyle w:val="Compact"/>
              <w:jc w:val="left"/>
            </w:pPr>
            <w:r>
              <w:t xml:space="preserve">Reported</w:t>
            </w:r>
          </w:p>
        </w:tc>
      </w:tr>
      <w:tr>
        <w:tc>
          <w:tcPr>
            <w:tcW w:w="1495" w:type="dxa"/>
          </w:tcPr>
          <w:p>
            <w:pPr>
              <w:pStyle w:val="Compact"/>
              <w:jc w:val="left"/>
            </w:pPr>
            <w:r>
              <w:t xml:space="preserve">2026-10-22</w:t>
            </w:r>
          </w:p>
        </w:tc>
        <w:tc>
          <w:tcPr>
            <w:tcW w:w="2805" w:type="dxa"/>
          </w:tcPr>
          <w:p>
            <w:pPr>
              <w:pStyle w:val="Compact"/>
              <w:jc w:val="left"/>
            </w:pPr>
            <w:r>
              <w:t xml:space="preserve">US de minimis postal rule (CBP Dec. 26-13): delayed compliance requirements apply</w:t>
            </w:r>
          </w:p>
        </w:tc>
        <w:tc>
          <w:tcPr>
            <w:tcW w:w="2070" w:type="dxa"/>
          </w:tcPr>
          <w:p>
            <w:pPr>
              <w:pStyle w:val="Compact"/>
              <w:jc w:val="left"/>
            </w:pPr>
            <w:r>
              <w:t xml:space="preserve">Postal low-value flows, if any ([COMPANY: do we have postal flows?])</w:t>
            </w:r>
          </w:p>
        </w:tc>
        <w:tc>
          <w:tcPr>
            <w:tcW w:w="1610" w:type="dxa"/>
          </w:tcPr>
          <w:p>
            <w:pPr>
              <w:pStyle w:val="Compact"/>
              <w:jc w:val="left"/>
            </w:pPr>
            <w:r>
              <w:t xml:space="preserve">FR 2026-12669</w:t>
            </w:r>
          </w:p>
        </w:tc>
        <w:tc>
          <w:tcPr>
            <w:tcW w:w="1380" w:type="dxa"/>
          </w:tcPr>
          <w:p>
            <w:pPr>
              <w:pStyle w:val="Compact"/>
              <w:jc w:val="left"/>
            </w:pPr>
            <w:r>
              <w:t xml:space="preserve">Reported</w:t>
            </w:r>
          </w:p>
        </w:tc>
      </w:tr>
      <w:tr>
        <w:tc>
          <w:tcPr>
            <w:tcW w:w="1495" w:type="dxa"/>
          </w:tcPr>
          <w:p>
            <w:pPr>
              <w:pStyle w:val="Compact"/>
              <w:jc w:val="left"/>
            </w:pPr>
            <w:r>
              <w:t xml:space="preserve">2026-10-31</w:t>
            </w:r>
          </w:p>
        </w:tc>
        <w:tc>
          <w:tcPr>
            <w:tcW w:w="2805" w:type="dxa"/>
          </w:tcPr>
          <w:p>
            <w:pPr>
              <w:pStyle w:val="Compact"/>
              <w:jc w:val="left"/>
            </w:pPr>
            <w:r>
              <w:t xml:space="preserve">Mexico MVE: end of the extended filing period; mandatory transmission phases in from 2026-11-01</w:t>
            </w:r>
          </w:p>
        </w:tc>
        <w:tc>
          <w:tcPr>
            <w:tcW w:w="2070" w:type="dxa"/>
          </w:tcPr>
          <w:p>
            <w:pPr>
              <w:pStyle w:val="Compact"/>
              <w:jc w:val="left"/>
            </w:pPr>
            <w:r>
              <w:t xml:space="preserve">Pedimento data with the agente aduanal</w:t>
            </w:r>
          </w:p>
        </w:tc>
        <w:tc>
          <w:tcPr>
            <w:tcW w:w="1610" w:type="dxa"/>
          </w:tcPr>
          <w:p>
            <w:pPr>
              <w:pStyle w:val="Compact"/>
              <w:jc w:val="left"/>
            </w:pPr>
            <w:r>
              <w:t xml:space="preserve">SAT, ANAM and ATDT release (2026-10-02)</w:t>
            </w:r>
          </w:p>
        </w:tc>
        <w:tc>
          <w:tcPr>
            <w:tcW w:w="1380" w:type="dxa"/>
          </w:tcPr>
          <w:p>
            <w:pPr>
              <w:pStyle w:val="Compact"/>
              <w:jc w:val="left"/>
            </w:pPr>
            <w:r>
              <w:t xml:space="preserve">Confirmed (announced dates); Unclear (final DOF text)</w:t>
            </w:r>
          </w:p>
        </w:tc>
      </w:tr>
      <w:tr>
        <w:tc>
          <w:tcPr>
            <w:tcW w:w="1495" w:type="dxa"/>
          </w:tcPr>
          <w:p>
            <w:pPr>
              <w:pStyle w:val="Compact"/>
              <w:jc w:val="left"/>
            </w:pPr>
            <w:r>
              <w:t xml:space="preserve">2026-11-09, 11:59 p.m.</w:t>
            </w:r>
          </w:p>
        </w:tc>
        <w:tc>
          <w:tcPr>
            <w:tcW w:w="2805" w:type="dxa"/>
          </w:tcPr>
          <w:p>
            <w:pPr>
              <w:pStyle w:val="Compact"/>
              <w:jc w:val="left"/>
            </w:pPr>
            <w:r>
              <w:t xml:space="preserve">Section 301 China: 178 exclusions and the maritime-fee suspension end unless extended; entries from 2026-11-10 pay</w:t>
            </w:r>
          </w:p>
        </w:tc>
        <w:tc>
          <w:tcPr>
            <w:tcW w:w="2070" w:type="dxa"/>
          </w:tcPr>
          <w:p>
            <w:pPr>
              <w:pStyle w:val="Compact"/>
              <w:jc w:val="left"/>
            </w:pPr>
            <w:r>
              <w:t xml:space="preserve">Items using an exclusion</w:t>
            </w:r>
          </w:p>
        </w:tc>
        <w:tc>
          <w:tcPr>
            <w:tcW w:w="1610" w:type="dxa"/>
          </w:tcPr>
          <w:p>
            <w:pPr>
              <w:pStyle w:val="Compact"/>
              <w:jc w:val="left"/>
            </w:pPr>
            <w:r>
              <w:t xml:space="preserve">FR 2025-21671; FR 2025-19873</w:t>
            </w:r>
          </w:p>
        </w:tc>
        <w:tc>
          <w:tcPr>
            <w:tcW w:w="1380" w:type="dxa"/>
          </w:tcPr>
          <w:p>
            <w:pPr>
              <w:pStyle w:val="Compact"/>
              <w:jc w:val="left"/>
            </w:pPr>
            <w:r>
              <w:t xml:space="preserve">Confirmed</w:t>
            </w:r>
          </w:p>
        </w:tc>
      </w:tr>
      <w:tr>
        <w:tc>
          <w:tcPr>
            <w:tcW w:w="1495" w:type="dxa"/>
          </w:tcPr>
          <w:p>
            <w:pPr>
              <w:pStyle w:val="Compact"/>
              <w:jc w:val="left"/>
            </w:pPr>
            <w:r>
              <w:t xml:space="preserve">2026-12-04</w:t>
            </w:r>
          </w:p>
        </w:tc>
        <w:tc>
          <w:tcPr>
            <w:tcW w:w="2805" w:type="dxa"/>
          </w:tcPr>
          <w:p>
            <w:pPr>
              <w:pStyle w:val="Compact"/>
              <w:jc w:val="left"/>
            </w:pPr>
            <w:r>
              <w:t xml:space="preserve">Section 232 polysilicon: minimum import prices and 15% on listed derivatives start</w:t>
            </w:r>
          </w:p>
        </w:tc>
        <w:tc>
          <w:tcPr>
            <w:tcW w:w="2070" w:type="dxa"/>
          </w:tcPr>
          <w:p>
            <w:pPr>
              <w:pStyle w:val="Compact"/>
              <w:jc w:val="left"/>
            </w:pPr>
            <w:r>
              <w:t xml:space="preserve">Solar items, if any</w:t>
            </w:r>
          </w:p>
        </w:tc>
        <w:tc>
          <w:tcPr>
            <w:tcW w:w="1610" w:type="dxa"/>
          </w:tcPr>
          <w:p>
            <w:pPr>
              <w:pStyle w:val="Compact"/>
              <w:jc w:val="left"/>
            </w:pPr>
            <w:r>
              <w:t xml:space="preserve">Proclamation 11052, FR 2026-16400</w:t>
            </w:r>
          </w:p>
        </w:tc>
        <w:tc>
          <w:tcPr>
            <w:tcW w:w="1380" w:type="dxa"/>
          </w:tcPr>
          <w:p>
            <w:pPr>
              <w:pStyle w:val="Compact"/>
              <w:jc w:val="left"/>
            </w:pPr>
            <w:r>
              <w:t xml:space="preserve">Confirmed</w:t>
            </w:r>
          </w:p>
        </w:tc>
      </w:tr>
      <w:tr>
        <w:tc>
          <w:tcPr>
            <w:tcW w:w="1495" w:type="dxa"/>
          </w:tcPr>
          <w:p>
            <w:pPr>
              <w:pStyle w:val="Compact"/>
              <w:jc w:val="left"/>
            </w:pPr>
            <w:r>
              <w:t xml:space="preserve">2026-12 (late)</w:t>
            </w:r>
          </w:p>
        </w:tc>
        <w:tc>
          <w:tcPr>
            <w:tcW w:w="2805" w:type="dxa"/>
          </w:tcPr>
          <w:p>
            <w:pPr>
              <w:pStyle w:val="Compact"/>
              <w:jc w:val="left"/>
            </w:pPr>
            <w:r>
              <w:t xml:space="preserve">Mexico's RGCE for 2027 expected (the 2026 RGCE was published in the DOF on 2025-12-27)</w:t>
            </w:r>
          </w:p>
        </w:tc>
        <w:tc>
          <w:tcPr>
            <w:tcW w:w="2070" w:type="dxa"/>
          </w:tcPr>
          <w:p>
            <w:pPr>
              <w:pStyle w:val="Compact"/>
              <w:jc w:val="left"/>
            </w:pPr>
            <w:r>
              <w:t xml:space="preserve">Pedimento rules and annexes</w:t>
            </w:r>
          </w:p>
        </w:tc>
        <w:tc>
          <w:tcPr>
            <w:tcW w:w="1610" w:type="dxa"/>
          </w:tcPr>
          <w:p>
            <w:pPr>
              <w:pStyle w:val="Compact"/>
              <w:jc w:val="left"/>
            </w:pPr>
            <w:r>
              <w:t xml:space="preserve">DOF; SAT</w:t>
            </w:r>
          </w:p>
        </w:tc>
        <w:tc>
          <w:tcPr>
            <w:tcW w:w="1380" w:type="dxa"/>
          </w:tcPr>
          <w:p>
            <w:pPr>
              <w:pStyle w:val="Compact"/>
              <w:jc w:val="left"/>
            </w:pPr>
            <w:r>
              <w:t xml:space="preserve">Reported (annual pattern)</w:t>
            </w:r>
          </w:p>
        </w:tc>
      </w:tr>
      <w:tr>
        <w:tc>
          <w:tcPr>
            <w:tcW w:w="1495" w:type="dxa"/>
          </w:tcPr>
          <w:p>
            <w:pPr>
              <w:pStyle w:val="Compact"/>
              <w:jc w:val="left"/>
            </w:pPr>
            <w:r>
              <w:t xml:space="preserve">2027-01-01</w:t>
            </w:r>
          </w:p>
        </w:tc>
        <w:tc>
          <w:tcPr>
            <w:tcW w:w="2805" w:type="dxa"/>
          </w:tcPr>
          <w:p>
            <w:pPr>
              <w:pStyle w:val="Compact"/>
              <w:jc w:val="left"/>
            </w:pPr>
            <w:r>
              <w:t xml:space="preserve">Section 232: upholstered wooden furniture to 30% and kitchen cabinets and vanities to 50%, except for countries with an agreement</w:t>
            </w:r>
          </w:p>
        </w:tc>
        <w:tc>
          <w:tcPr>
            <w:tcW w:w="2070" w:type="dxa"/>
          </w:tcPr>
          <w:p>
            <w:pPr>
              <w:pStyle w:val="Compact"/>
              <w:jc w:val="left"/>
            </w:pPr>
            <w:r>
              <w:t xml:space="preserve">Rate change on those items</w:t>
            </w:r>
          </w:p>
        </w:tc>
        <w:tc>
          <w:tcPr>
            <w:tcW w:w="1610" w:type="dxa"/>
          </w:tcPr>
          <w:p>
            <w:pPr>
              <w:pStyle w:val="Compact"/>
              <w:jc w:val="left"/>
            </w:pPr>
            <w:r>
              <w:t xml:space="preserve">Proclamation 11000, FR 2026-00327</w:t>
            </w:r>
          </w:p>
        </w:tc>
        <w:tc>
          <w:tcPr>
            <w:tcW w:w="1380" w:type="dxa"/>
          </w:tcPr>
          <w:p>
            <w:pPr>
              <w:pStyle w:val="Compact"/>
              <w:jc w:val="left"/>
            </w:pPr>
            <w:r>
              <w:t xml:space="preserve">Confirmed</w:t>
            </w:r>
          </w:p>
        </w:tc>
      </w:tr>
      <w:tr>
        <w:tc>
          <w:tcPr>
            <w:tcW w:w="1495" w:type="dxa"/>
          </w:tcPr>
          <w:p>
            <w:pPr>
              <w:pStyle w:val="Compact"/>
              <w:jc w:val="left"/>
            </w:pPr>
            <w:r>
              <w:t xml:space="preserve">2027-01-01</w:t>
            </w:r>
          </w:p>
        </w:tc>
        <w:tc>
          <w:tcPr>
            <w:tcW w:w="2805" w:type="dxa"/>
          </w:tcPr>
          <w:p>
            <w:pPr>
              <w:pStyle w:val="Compact"/>
              <w:jc w:val="left"/>
            </w:pPr>
            <w:r>
              <w:t xml:space="preserve">Section 301 Nicaragua: 10% on goods not originating under CAFTA-DR</w:t>
            </w:r>
          </w:p>
        </w:tc>
        <w:tc>
          <w:tcPr>
            <w:tcW w:w="2070" w:type="dxa"/>
          </w:tcPr>
          <w:p>
            <w:pPr>
              <w:pStyle w:val="Compact"/>
              <w:jc w:val="left"/>
            </w:pPr>
            <w:r>
              <w:t xml:space="preserve">Nicaraguan goods, if any</w:t>
            </w:r>
          </w:p>
        </w:tc>
        <w:tc>
          <w:tcPr>
            <w:tcW w:w="1610" w:type="dxa"/>
          </w:tcPr>
          <w:p>
            <w:pPr>
              <w:pStyle w:val="Compact"/>
              <w:jc w:val="left"/>
            </w:pPr>
            <w:r>
              <w:t xml:space="preserve">FR 2025-23892</w:t>
            </w:r>
          </w:p>
        </w:tc>
        <w:tc>
          <w:tcPr>
            <w:tcW w:w="1380" w:type="dxa"/>
          </w:tcPr>
          <w:p>
            <w:pPr>
              <w:pStyle w:val="Compact"/>
              <w:jc w:val="left"/>
            </w:pPr>
            <w:r>
              <w:t xml:space="preserve">Confirmed</w:t>
            </w:r>
          </w:p>
        </w:tc>
      </w:tr>
      <w:tr>
        <w:tc>
          <w:tcPr>
            <w:tcW w:w="1495" w:type="dxa"/>
          </w:tcPr>
          <w:p>
            <w:pPr>
              <w:pStyle w:val="Compact"/>
              <w:jc w:val="left"/>
            </w:pPr>
            <w:r>
              <w:t xml:space="preserve">2027-01-05 (about)</w:t>
            </w:r>
          </w:p>
        </w:tc>
        <w:tc>
          <w:tcPr>
            <w:tcW w:w="2805" w:type="dxa"/>
          </w:tcPr>
          <w:p>
            <w:pPr>
              <w:pStyle w:val="Compact"/>
              <w:jc w:val="left"/>
            </w:pPr>
            <w:r>
              <w:t xml:space="preserve">Section 232 commercial aircraft: 180-day negotiation report; tariffs possible after</w:t>
            </w:r>
          </w:p>
        </w:tc>
        <w:tc>
          <w:tcPr>
            <w:tcW w:w="2070" w:type="dxa"/>
          </w:tcPr>
          <w:p>
            <w:pPr>
              <w:pStyle w:val="Compact"/>
              <w:jc w:val="left"/>
            </w:pPr>
            <w:r>
              <w:t xml:space="preserve">Aircraft parts, if any</w:t>
            </w:r>
          </w:p>
        </w:tc>
        <w:tc>
          <w:tcPr>
            <w:tcW w:w="1610" w:type="dxa"/>
          </w:tcPr>
          <w:p>
            <w:pPr>
              <w:pStyle w:val="Compact"/>
              <w:jc w:val="left"/>
            </w:pPr>
            <w:r>
              <w:t xml:space="preserve">Proclamation 11040</w:t>
            </w:r>
          </w:p>
        </w:tc>
        <w:tc>
          <w:tcPr>
            <w:tcW w:w="1380" w:type="dxa"/>
          </w:tcPr>
          <w:p>
            <w:pPr>
              <w:pStyle w:val="Compact"/>
              <w:jc w:val="left"/>
            </w:pPr>
            <w:r>
              <w:t xml:space="preserve">Reported</w:t>
            </w:r>
          </w:p>
        </w:tc>
      </w:tr>
      <w:tr>
        <w:tc>
          <w:tcPr>
            <w:tcW w:w="1495" w:type="dxa"/>
          </w:tcPr>
          <w:p>
            <w:pPr>
              <w:pStyle w:val="Compact"/>
              <w:jc w:val="left"/>
            </w:pPr>
            <w:r>
              <w:t xml:space="preserve">2027-01-12, 11:59 p.m. EST</w:t>
            </w:r>
          </w:p>
        </w:tc>
        <w:tc>
          <w:tcPr>
            <w:tcW w:w="2805" w:type="dxa"/>
          </w:tcPr>
          <w:p>
            <w:pPr>
              <w:pStyle w:val="Compact"/>
              <w:jc w:val="left"/>
            </w:pPr>
            <w:r>
              <w:t xml:space="preserve">USTR comment deadline for the 2027 USMCA annual joint review</w:t>
            </w:r>
          </w:p>
        </w:tc>
        <w:tc>
          <w:tcPr>
            <w:tcW w:w="2070" w:type="dxa"/>
          </w:tcPr>
          <w:p>
            <w:pPr>
              <w:pStyle w:val="Compact"/>
              <w:jc w:val="left"/>
            </w:pPr>
            <w:r>
              <w:t xml:space="preserve">Origin and certification risk</w:t>
            </w:r>
          </w:p>
        </w:tc>
        <w:tc>
          <w:tcPr>
            <w:tcW w:w="1610" w:type="dxa"/>
          </w:tcPr>
          <w:p>
            <w:pPr>
              <w:pStyle w:val="Compact"/>
              <w:jc w:val="left"/>
            </w:pPr>
            <w:r>
              <w:t xml:space="preserve">FR 2026-20341</w:t>
            </w:r>
          </w:p>
        </w:tc>
        <w:tc>
          <w:tcPr>
            <w:tcW w:w="1380" w:type="dxa"/>
          </w:tcPr>
          <w:p>
            <w:pPr>
              <w:pStyle w:val="Compact"/>
              <w:jc w:val="left"/>
            </w:pPr>
            <w:r>
              <w:t xml:space="preserve">Confirmed</w:t>
            </w:r>
          </w:p>
        </w:tc>
      </w:tr>
      <w:tr>
        <w:tc>
          <w:tcPr>
            <w:tcW w:w="1495" w:type="dxa"/>
          </w:tcPr>
          <w:p>
            <w:pPr>
              <w:pStyle w:val="Compact"/>
              <w:jc w:val="left"/>
            </w:pPr>
            <w:r>
              <w:t xml:space="preserve">2027-02-09</w:t>
            </w:r>
          </w:p>
        </w:tc>
        <w:tc>
          <w:tcPr>
            <w:tcW w:w="2805" w:type="dxa"/>
          </w:tcPr>
          <w:p>
            <w:pPr>
              <w:pStyle w:val="Compact"/>
              <w:jc w:val="left"/>
            </w:pPr>
            <w:r>
              <w:t xml:space="preserve">Section 232 drones: 25% on Annex III components</w:t>
            </w:r>
          </w:p>
        </w:tc>
        <w:tc>
          <w:tcPr>
            <w:tcW w:w="2070" w:type="dxa"/>
          </w:tcPr>
          <w:p>
            <w:pPr>
              <w:pStyle w:val="Compact"/>
              <w:jc w:val="left"/>
            </w:pPr>
            <w:r>
              <w:t xml:space="preserve">Drone parts, if any</w:t>
            </w:r>
          </w:p>
        </w:tc>
        <w:tc>
          <w:tcPr>
            <w:tcW w:w="1610" w:type="dxa"/>
          </w:tcPr>
          <w:p>
            <w:pPr>
              <w:pStyle w:val="Compact"/>
              <w:jc w:val="left"/>
            </w:pPr>
            <w:r>
              <w:t xml:space="preserve">Proclamation 11055, FR 2026-16979</w:t>
            </w:r>
          </w:p>
        </w:tc>
        <w:tc>
          <w:tcPr>
            <w:tcW w:w="1380" w:type="dxa"/>
          </w:tcPr>
          <w:p>
            <w:pPr>
              <w:pStyle w:val="Compact"/>
              <w:jc w:val="left"/>
            </w:pPr>
            <w:r>
              <w:t xml:space="preserve">Confirmed</w:t>
            </w:r>
          </w:p>
        </w:tc>
      </w:tr>
      <w:tr>
        <w:tc>
          <w:tcPr>
            <w:tcW w:w="1495" w:type="dxa"/>
          </w:tcPr>
          <w:p>
            <w:pPr>
              <w:pStyle w:val="Compact"/>
              <w:jc w:val="left"/>
            </w:pPr>
            <w:r>
              <w:t xml:space="preserve">2027-04-08</w:t>
            </w:r>
          </w:p>
        </w:tc>
        <w:tc>
          <w:tcPr>
            <w:tcW w:w="2805" w:type="dxa"/>
          </w:tcPr>
          <w:p>
            <w:pPr>
              <w:pStyle w:val="Compact"/>
              <w:jc w:val="left"/>
            </w:pPr>
            <w:r>
              <w:t xml:space="preserve">End of Canada's motor vehicles surtax remission order (2026)</w:t>
            </w:r>
          </w:p>
        </w:tc>
        <w:tc>
          <w:tcPr>
            <w:tcW w:w="2070" w:type="dxa"/>
          </w:tcPr>
          <w:p>
            <w:pPr>
              <w:pStyle w:val="Compact"/>
              <w:jc w:val="left"/>
            </w:pPr>
            <w:r>
              <w:t xml:space="preserve">Canadian surtax on US vehicles, if relevant</w:t>
            </w:r>
          </w:p>
        </w:tc>
        <w:tc>
          <w:tcPr>
            <w:tcW w:w="1610" w:type="dxa"/>
          </w:tcPr>
          <w:p>
            <w:pPr>
              <w:pStyle w:val="Compact"/>
              <w:jc w:val="left"/>
            </w:pPr>
            <w:r>
              <w:t xml:space="preserve">CBSA CN 26-10</w:t>
            </w:r>
          </w:p>
        </w:tc>
        <w:tc>
          <w:tcPr>
            <w:tcW w:w="1380" w:type="dxa"/>
          </w:tcPr>
          <w:p>
            <w:pPr>
              <w:pStyle w:val="Compact"/>
              <w:jc w:val="left"/>
            </w:pPr>
            <w:r>
              <w:t xml:space="preserve">Confirmed</w:t>
            </w:r>
          </w:p>
        </w:tc>
      </w:tr>
      <w:tr>
        <w:tc>
          <w:tcPr>
            <w:tcW w:w="1495" w:type="dxa"/>
          </w:tcPr>
          <w:p>
            <w:pPr>
              <w:pStyle w:val="Compact"/>
              <w:jc w:val="left"/>
            </w:pPr>
            <w:r>
              <w:t xml:space="preserve">2027-06-23</w:t>
            </w:r>
          </w:p>
        </w:tc>
        <w:tc>
          <w:tcPr>
            <w:tcW w:w="2805" w:type="dxa"/>
          </w:tcPr>
          <w:p>
            <w:pPr>
              <w:pStyle w:val="Compact"/>
              <w:jc w:val="left"/>
            </w:pPr>
            <w:r>
              <w:t xml:space="preserve">Section 301 China legacy semiconductors: rate increase (announced at least 30 days before)</w:t>
            </w:r>
          </w:p>
        </w:tc>
        <w:tc>
          <w:tcPr>
            <w:tcW w:w="2070" w:type="dxa"/>
          </w:tcPr>
          <w:p>
            <w:pPr>
              <w:pStyle w:val="Compact"/>
              <w:jc w:val="left"/>
            </w:pPr>
            <w:r>
              <w:t xml:space="preserve">Items with Chinese chips, if any</w:t>
            </w:r>
          </w:p>
        </w:tc>
        <w:tc>
          <w:tcPr>
            <w:tcW w:w="1610" w:type="dxa"/>
          </w:tcPr>
          <w:p>
            <w:pPr>
              <w:pStyle w:val="Compact"/>
              <w:jc w:val="left"/>
            </w:pPr>
            <w:r>
              <w:t xml:space="preserve">FR 2025-23912</w:t>
            </w:r>
          </w:p>
        </w:tc>
        <w:tc>
          <w:tcPr>
            <w:tcW w:w="1380" w:type="dxa"/>
          </w:tcPr>
          <w:p>
            <w:pPr>
              <w:pStyle w:val="Compact"/>
              <w:jc w:val="left"/>
            </w:pPr>
            <w:r>
              <w:t xml:space="preserve">Confirmed</w:t>
            </w:r>
          </w:p>
        </w:tc>
      </w:tr>
      <w:tr>
        <w:tc>
          <w:tcPr>
            <w:tcW w:w="1495" w:type="dxa"/>
          </w:tcPr>
          <w:p>
            <w:pPr>
              <w:pStyle w:val="Compact"/>
              <w:jc w:val="left"/>
            </w:pPr>
            <w:r>
              <w:t xml:space="preserve">2027-06-27</w:t>
            </w:r>
          </w:p>
        </w:tc>
        <w:tc>
          <w:tcPr>
            <w:tcW w:w="2805" w:type="dxa"/>
          </w:tcPr>
          <w:p>
            <w:pPr>
              <w:pStyle w:val="Compact"/>
              <w:jc w:val="left"/>
            </w:pPr>
            <w:r>
              <w:t xml:space="preserve">End of Canada's extended steel quota year</w:t>
            </w:r>
          </w:p>
        </w:tc>
        <w:tc>
          <w:tcPr>
            <w:tcW w:w="2070" w:type="dxa"/>
          </w:tcPr>
          <w:p>
            <w:pPr>
              <w:pStyle w:val="Compact"/>
              <w:jc w:val="left"/>
            </w:pPr>
            <w:r>
              <w:t xml:space="preserve">Steel surtax on non-CUSMA steel</w:t>
            </w:r>
          </w:p>
        </w:tc>
        <w:tc>
          <w:tcPr>
            <w:tcW w:w="1610" w:type="dxa"/>
          </w:tcPr>
          <w:p>
            <w:pPr>
              <w:pStyle w:val="Compact"/>
              <w:jc w:val="left"/>
            </w:pPr>
            <w:r>
              <w:t xml:space="preserve">SOR/2026-119</w:t>
            </w:r>
          </w:p>
        </w:tc>
        <w:tc>
          <w:tcPr>
            <w:tcW w:w="1380" w:type="dxa"/>
          </w:tcPr>
          <w:p>
            <w:pPr>
              <w:pStyle w:val="Compact"/>
              <w:jc w:val="left"/>
            </w:pPr>
            <w:r>
              <w:t xml:space="preserve">Confirmed</w:t>
            </w:r>
          </w:p>
        </w:tc>
      </w:tr>
      <w:tr>
        <w:tc>
          <w:tcPr>
            <w:tcW w:w="1495" w:type="dxa"/>
          </w:tcPr>
          <w:p>
            <w:pPr>
              <w:pStyle w:val="Compact"/>
              <w:jc w:val="left"/>
            </w:pPr>
            <w:r>
              <w:t xml:space="preserve">2027-06-30</w:t>
            </w:r>
          </w:p>
        </w:tc>
        <w:tc>
          <w:tcPr>
            <w:tcW w:w="2805" w:type="dxa"/>
          </w:tcPr>
          <w:p>
            <w:pPr>
              <w:pStyle w:val="Compact"/>
              <w:jc w:val="left"/>
            </w:pPr>
            <w:r>
              <w:t xml:space="preserve">End of Canada's extended surtax remission for listed steel and aluminum uses</w:t>
            </w:r>
          </w:p>
        </w:tc>
        <w:tc>
          <w:tcPr>
            <w:tcW w:w="2070" w:type="dxa"/>
          </w:tcPr>
          <w:p>
            <w:pPr>
              <w:pStyle w:val="Compact"/>
              <w:jc w:val="left"/>
            </w:pPr>
            <w:r>
              <w:t xml:space="preserve">Canadian surtax cost</w:t>
            </w:r>
          </w:p>
        </w:tc>
        <w:tc>
          <w:tcPr>
            <w:tcW w:w="1610" w:type="dxa"/>
          </w:tcPr>
          <w:p>
            <w:pPr>
              <w:pStyle w:val="Compact"/>
              <w:jc w:val="left"/>
            </w:pPr>
            <w:r>
              <w:t xml:space="preserve">SOR/2026-154</w:t>
            </w:r>
          </w:p>
        </w:tc>
        <w:tc>
          <w:tcPr>
            <w:tcW w:w="1380" w:type="dxa"/>
          </w:tcPr>
          <w:p>
            <w:pPr>
              <w:pStyle w:val="Compact"/>
              <w:jc w:val="left"/>
            </w:pPr>
            <w:r>
              <w:t xml:space="preserve">Confirmed</w:t>
            </w:r>
          </w:p>
        </w:tc>
      </w:tr>
      <w:tr>
        <w:tc>
          <w:tcPr>
            <w:tcW w:w="1495" w:type="dxa"/>
          </w:tcPr>
          <w:p>
            <w:pPr>
              <w:pStyle w:val="Compact"/>
              <w:jc w:val="left"/>
            </w:pPr>
            <w:r>
              <w:t xml:space="preserve">2027-07-01</w:t>
            </w:r>
          </w:p>
        </w:tc>
        <w:tc>
          <w:tcPr>
            <w:tcW w:w="2805" w:type="dxa"/>
          </w:tcPr>
          <w:p>
            <w:pPr>
              <w:pStyle w:val="Compact"/>
              <w:jc w:val="left"/>
            </w:pPr>
            <w:r>
              <w:t xml:space="preserve">Statutory end of de minimis for commercial shipments</w:t>
            </w:r>
          </w:p>
        </w:tc>
        <w:tc>
          <w:tcPr>
            <w:tcW w:w="2070" w:type="dxa"/>
          </w:tcPr>
          <w:p>
            <w:pPr>
              <w:pStyle w:val="Compact"/>
              <w:jc w:val="left"/>
            </w:pPr>
            <w:r>
              <w:t xml:space="preserve">Any low-value flows</w:t>
            </w:r>
          </w:p>
        </w:tc>
        <w:tc>
          <w:tcPr>
            <w:tcW w:w="1610" w:type="dxa"/>
          </w:tcPr>
          <w:p>
            <w:pPr>
              <w:pStyle w:val="Compact"/>
              <w:jc w:val="left"/>
            </w:pPr>
            <w:r>
              <w:t xml:space="preserve">Pub. L. 119-21</w:t>
            </w:r>
          </w:p>
        </w:tc>
        <w:tc>
          <w:tcPr>
            <w:tcW w:w="1380" w:type="dxa"/>
          </w:tcPr>
          <w:p>
            <w:pPr>
              <w:pStyle w:val="Compact"/>
              <w:jc w:val="left"/>
            </w:pPr>
            <w:r>
              <w:t xml:space="preserve">Confirmed</w:t>
            </w:r>
          </w:p>
        </w:tc>
      </w:tr>
      <w:tr>
        <w:tc>
          <w:tcPr>
            <w:tcW w:w="1495" w:type="dxa"/>
          </w:tcPr>
          <w:p>
            <w:pPr>
              <w:pStyle w:val="Compact"/>
              <w:jc w:val="left"/>
            </w:pPr>
            <w:r>
              <w:t xml:space="preserve">2027 (not announced)</w:t>
            </w:r>
          </w:p>
        </w:tc>
        <w:tc>
          <w:tcPr>
            <w:tcW w:w="2805" w:type="dxa"/>
          </w:tcPr>
          <w:p>
            <w:pPr>
              <w:pStyle w:val="Compact"/>
              <w:jc w:val="left"/>
            </w:pPr>
            <w:r>
              <w:t xml:space="preserve">2027 USMCA annual joint review meeting</w:t>
            </w:r>
          </w:p>
        </w:tc>
        <w:tc>
          <w:tcPr>
            <w:tcW w:w="2070" w:type="dxa"/>
          </w:tcPr>
          <w:p>
            <w:pPr>
              <w:pStyle w:val="Compact"/>
              <w:jc w:val="left"/>
            </w:pPr>
            <w:r>
              <w:t xml:space="preserve">Risk horizon</w:t>
            </w:r>
          </w:p>
        </w:tc>
        <w:tc>
          <w:tcPr>
            <w:tcW w:w="1610" w:type="dxa"/>
          </w:tcPr>
          <w:p>
            <w:pPr>
              <w:pStyle w:val="Compact"/>
              <w:jc w:val="left"/>
            </w:pPr>
            <w:r>
              <w:t xml:space="preserve">CRS R48787</w:t>
            </w:r>
          </w:p>
        </w:tc>
        <w:tc>
          <w:tcPr>
            <w:tcW w:w="1380" w:type="dxa"/>
          </w:tcPr>
          <w:p>
            <w:pPr>
              <w:pStyle w:val="Compact"/>
              <w:jc w:val="left"/>
            </w:pPr>
            <w:r>
              <w:t xml:space="preserve">Unclear</w:t>
            </w:r>
          </w:p>
        </w:tc>
      </w:tr>
      <w:tr>
        <w:tc>
          <w:tcPr>
            <w:tcW w:w="1495" w:type="dxa"/>
          </w:tcPr>
          <w:p>
            <w:pPr>
              <w:pStyle w:val="Compact"/>
              <w:jc w:val="left"/>
            </w:pPr>
            <w:r>
              <w:t xml:space="preserve">2027-12-31</w:t>
            </w:r>
          </w:p>
        </w:tc>
        <w:tc>
          <w:tcPr>
            <w:tcW w:w="2805" w:type="dxa"/>
          </w:tcPr>
          <w:p>
            <w:pPr>
              <w:pStyle w:val="Compact"/>
              <w:jc w:val="left"/>
            </w:pPr>
            <w:r>
              <w:t xml:space="preserve">End of the temporary Section 232 metals treatment for listed equipment: the Annex III 15% cap and Annex I-C, including its USMCA non-US-content track</w:t>
            </w:r>
          </w:p>
        </w:tc>
        <w:tc>
          <w:tcPr>
            <w:tcW w:w="2070" w:type="dxa"/>
          </w:tcPr>
          <w:p>
            <w:pPr>
              <w:pStyle w:val="Compact"/>
              <w:jc w:val="left"/>
            </w:pPr>
            <w:r>
              <w:t xml:space="preserve">Equipment items, including USMCA-qualifying mobile equipment from Canada or Mexico</w:t>
            </w:r>
          </w:p>
        </w:tc>
        <w:tc>
          <w:tcPr>
            <w:tcW w:w="1610" w:type="dxa"/>
          </w:tcPr>
          <w:p>
            <w:pPr>
              <w:pStyle w:val="Compact"/>
              <w:jc w:val="left"/>
            </w:pPr>
            <w:r>
              <w:t xml:space="preserve">Proclamation 11032, FR 2026-11314</w:t>
            </w:r>
          </w:p>
        </w:tc>
        <w:tc>
          <w:tcPr>
            <w:tcW w:w="1380" w:type="dxa"/>
          </w:tcPr>
          <w:p>
            <w:pPr>
              <w:pStyle w:val="Compact"/>
              <w:jc w:val="left"/>
            </w:pPr>
            <w:r>
              <w:t xml:space="preserve">Reported (Annex III cap and Annex I-C); Reported (Annex I-C)</w:t>
            </w:r>
          </w:p>
        </w:tc>
      </w:tr>
      <w:tr>
        <w:tc>
          <w:tcPr>
            <w:tcW w:w="1495" w:type="dxa"/>
          </w:tcPr>
          <w:p>
            <w:pPr>
              <w:pStyle w:val="Compact"/>
              <w:jc w:val="left"/>
            </w:pPr>
            <w:r>
              <w:t xml:space="preserve">2036-07-01</w:t>
            </w:r>
          </w:p>
        </w:tc>
        <w:tc>
          <w:tcPr>
            <w:tcW w:w="2805" w:type="dxa"/>
          </w:tcPr>
          <w:p>
            <w:pPr>
              <w:pStyle w:val="Compact"/>
              <w:jc w:val="left"/>
            </w:pPr>
            <w:r>
              <w:t xml:space="preserve">End of the USMCA term unless extended</w:t>
            </w:r>
          </w:p>
        </w:tc>
        <w:tc>
          <w:tcPr>
            <w:tcW w:w="2070" w:type="dxa"/>
          </w:tcPr>
          <w:p>
            <w:pPr>
              <w:pStyle w:val="Compact"/>
              <w:jc w:val="left"/>
            </w:pPr>
            <w:r>
              <w:t xml:space="preserve">Long-range</w:t>
            </w:r>
          </w:p>
        </w:tc>
        <w:tc>
          <w:tcPr>
            <w:tcW w:w="1610" w:type="dxa"/>
          </w:tcPr>
          <w:p>
            <w:pPr>
              <w:pStyle w:val="Compact"/>
              <w:jc w:val="left"/>
            </w:pPr>
            <w:r>
              <w:t xml:space="preserve">USMCA Article 34.7</w:t>
            </w:r>
          </w:p>
        </w:tc>
        <w:tc>
          <w:tcPr>
            <w:tcW w:w="1380" w:type="dxa"/>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and truck parts; follow-up on critical minerals.</w:t>
      </w:r>
    </w:p>
    <w:p>
      <w:pPr>
        <w:pStyle w:val="BodyText"/>
      </w:pPr>
      <w:r>
        <w:t xml:space="preserve">Add every new effective date, step change, expiry and comment deadline here as you find it, and delete a row once its date has passed and its row in Part 1 is updated.</w:t>
      </w:r>
    </w:p>
    <w:bookmarkEnd w:id="136"/>
    <w:bookmarkStart w:id="137"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or the last working day of the week when Friday is a holiday,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recent changes that matter most for us)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37"/>
    <w:bookmarkEnd w:id="138"/>
    <w:bookmarkStart w:id="169" w:name="X2f9204bc800011e40600312aa8bc69699ed7fe3"/>
    <w:p>
      <w:pPr>
        <w:pStyle w:val="Heading2"/>
      </w:pPr>
      <w:r>
        <w:t xml:space="preserve">Part 2: How to research a new tariff action</w:t>
      </w:r>
    </w:p>
    <w:bookmarkStart w:id="139"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39"/>
    <w:bookmarkStart w:id="156"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47" w:name="united-states"/>
    <w:p>
      <w:pPr>
        <w:pStyle w:val="Heading4"/>
      </w:pPr>
      <w:r>
        <w:t xml:space="preserve">United States</w:t>
      </w:r>
    </w:p>
    <w:tbl>
      <w:tblPr>
        <w:tblStyle w:val="Table"/>
        <w:tblW w:type="dxa" w:w="9360"/>
        <w:tblLook w:firstRow="1" w:lastRow="0" w:firstColumn="0" w:lastColumn="0" w:noHBand="0" w:noVBand="0" w:val="0020"/>
        <w:jc w:val="start"/>
        <w:tblLayout w:type="fixed"/>
      </w:tblPr>
      <w:tblGrid>
        <w:gridCol w:w="1380"/>
        <w:gridCol w:w="3062"/>
        <w:gridCol w:w="2201"/>
        <w:gridCol w:w="2715"/>
      </w:tblGrid>
      <w:tr>
        <w:trPr>
          <w:tblHeader w:val="true"/>
        </w:trPr>
        <w:tc>
          <w:tcPr>
            <w:tcW w:w="1380" w:type="dxa"/>
          </w:tcPr>
          <w:p>
            <w:pPr>
              <w:pStyle w:val="Compact"/>
              <w:jc w:val="left"/>
            </w:pPr>
            <w:r>
              <w:t xml:space="preserve">Order</w:t>
            </w:r>
          </w:p>
        </w:tc>
        <w:tc>
          <w:tcPr>
            <w:tcW w:w="3062" w:type="dxa"/>
          </w:tcPr>
          <w:p>
            <w:pPr>
              <w:pStyle w:val="Compact"/>
              <w:jc w:val="left"/>
            </w:pPr>
            <w:r>
              <w:t xml:space="preserve">Where it appears</w:t>
            </w:r>
          </w:p>
        </w:tc>
        <w:tc>
          <w:tcPr>
            <w:tcW w:w="2201" w:type="dxa"/>
          </w:tcPr>
          <w:p>
            <w:pPr>
              <w:pStyle w:val="Compact"/>
              <w:jc w:val="left"/>
            </w:pPr>
            <w:r>
              <w:t xml:space="preserve">What you get</w:t>
            </w:r>
          </w:p>
        </w:tc>
        <w:tc>
          <w:tcPr>
            <w:tcW w:w="2715" w:type="dxa"/>
          </w:tcPr>
          <w:p>
            <w:pPr>
              <w:pStyle w:val="Compact"/>
              <w:jc w:val="left"/>
            </w:pPr>
            <w:r>
              <w:t xml:space="preserve">Watch out</w:t>
            </w:r>
          </w:p>
        </w:tc>
      </w:tr>
      <w:tr>
        <w:tc>
          <w:tcPr>
            <w:tcW w:w="1380" w:type="dxa"/>
          </w:tcPr>
          <w:p>
            <w:pPr>
              <w:pStyle w:val="Compact"/>
              <w:jc w:val="left"/>
            </w:pPr>
            <w:r>
              <w:t xml:space="preserve">1 Signal</w:t>
            </w:r>
          </w:p>
        </w:tc>
        <w:tc>
          <w:tcPr>
            <w:tcW w:w="3062" w:type="dxa"/>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tcW w:w="2201" w:type="dxa"/>
          </w:tcPr>
          <w:p>
            <w:pPr>
              <w:pStyle w:val="Compact"/>
              <w:jc w:val="left"/>
            </w:pPr>
            <w:r>
              <w:t xml:space="preserve">Intent, sometimes rates and dates; no legal effect</w:t>
            </w:r>
          </w:p>
        </w:tc>
        <w:tc>
          <w:tcPr>
            <w:tcW w:w="2715" w:type="dxa"/>
          </w:tcPr>
          <w:p>
            <w:pPr>
              <w:pStyle w:val="Compact"/>
              <w:jc w:val="left"/>
            </w:pPr>
            <w:r>
              <w:t xml:space="preserve">Investigations give weeks or months of warning; announcements can come hours before effect. In 2026 USTR opened 60 Section 301 investigations at once</w:t>
            </w:r>
          </w:p>
        </w:tc>
      </w:tr>
      <w:tr>
        <w:tc>
          <w:tcPr>
            <w:tcW w:w="1380" w:type="dxa"/>
          </w:tcPr>
          <w:p>
            <w:pPr>
              <w:pStyle w:val="Compact"/>
              <w:jc w:val="left"/>
            </w:pPr>
            <w:r>
              <w:t xml:space="preserve">2 Legal instrument</w:t>
            </w:r>
          </w:p>
        </w:tc>
        <w:tc>
          <w:tcPr>
            <w:tcW w:w="3062" w:type="dxa"/>
          </w:tcPr>
          <w:p>
            <w:pPr>
              <w:pStyle w:val="Compact"/>
              <w:jc w:val="left"/>
            </w:pPr>
            <w:r>
              <w:t xml:space="preserve">Presidential actions on</w:t>
            </w:r>
            <w:r>
              <w:t xml:space="preserve"> </w:t>
            </w:r>
            <w:hyperlink r:id="rId140">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tcW w:w="2201" w:type="dxa"/>
          </w:tcPr>
          <w:p>
            <w:pPr>
              <w:pStyle w:val="Compact"/>
              <w:jc w:val="left"/>
            </w:pPr>
            <w:r>
              <w:t xml:space="preserve">The legal text: scope, rate, effective date and time, in-transit rule, exclusions, interaction with other duties, drawback</w:t>
            </w:r>
          </w:p>
        </w:tc>
        <w:tc>
          <w:tcPr>
            <w:tcW w:w="2715" w:type="dxa"/>
          </w:tcPr>
          <w:p>
            <w:pPr>
              <w:pStyle w:val="Compact"/>
              <w:jc w:val="left"/>
            </w:pPr>
            <w:r>
              <w:t xml:space="preserve">Annexes are sometimes posted later or corrected. One action can come as several proclamations on the same day (Section 338: three, one per product list)</w:t>
            </w:r>
          </w:p>
        </w:tc>
      </w:tr>
      <w:tr>
        <w:tc>
          <w:tcPr>
            <w:tcW w:w="1380" w:type="dxa"/>
          </w:tcPr>
          <w:p>
            <w:pPr>
              <w:pStyle w:val="Compact"/>
              <w:jc w:val="left"/>
            </w:pPr>
            <w:r>
              <w:t xml:space="preserve">3 Federal Register</w:t>
            </w:r>
          </w:p>
        </w:tc>
        <w:tc>
          <w:tcPr>
            <w:tcW w:w="3062" w:type="dxa"/>
          </w:tcPr>
          <w:p>
            <w:pPr>
              <w:pStyle w:val="Compact"/>
              <w:jc w:val="left"/>
            </w:pPr>
            <w:r>
              <w:t xml:space="preserve">Public inspection, usually the business day before publication,</w:t>
            </w:r>
            <w:r>
              <w:t xml:space="preserve"> </w:t>
            </w:r>
            <w:hyperlink r:id="rId141">
              <w:r>
                <w:rPr>
                  <w:rStyle w:val="Hyperlink"/>
                </w:rPr>
                <w:t xml:space="preserve">https://www.federalregister.gov/public-inspection/current</w:t>
              </w:r>
            </w:hyperlink>
            <w:r>
              <w:t xml:space="preserve"> </w:t>
            </w:r>
            <w:r>
              <w:t xml:space="preserve">; then the daily issue,</w:t>
            </w:r>
            <w:r>
              <w:t xml:space="preserve"> </w:t>
            </w:r>
            <w:hyperlink r:id="rId142">
              <w:r>
                <w:rPr>
                  <w:rStyle w:val="Hyperlink"/>
                </w:rPr>
                <w:t xml:space="preserve">https://www.federalregister.gov/</w:t>
              </w:r>
            </w:hyperlink>
          </w:p>
        </w:tc>
        <w:tc>
          <w:tcPr>
            <w:tcW w:w="2201" w:type="dxa"/>
          </w:tcPr>
          <w:p>
            <w:pPr>
              <w:pStyle w:val="Compact"/>
              <w:jc w:val="left"/>
            </w:pPr>
            <w:r>
              <w:t xml:space="preserve">The official citation (for example 91 FR page) and the published annexes</w:t>
            </w:r>
          </w:p>
        </w:tc>
        <w:tc>
          <w:tcPr>
            <w:tcW w:w="2715" w:type="dxa"/>
          </w:tcPr>
          <w:p>
            <w:pPr>
              <w:pStyle w:val="Compact"/>
              <w:jc w:val="left"/>
            </w:pPr>
            <w:r>
              <w:t xml:space="preserve">Publication can come after the effective date for fast actions; the instrument still governs</w:t>
            </w:r>
          </w:p>
        </w:tc>
      </w:tr>
      <w:tr>
        <w:tc>
          <w:tcPr>
            <w:tcW w:w="1380" w:type="dxa"/>
          </w:tcPr>
          <w:p>
            <w:pPr>
              <w:pStyle w:val="Compact"/>
              <w:jc w:val="left"/>
            </w:pPr>
            <w:r>
              <w:t xml:space="preserve">4 CBP CSMS message</w:t>
            </w:r>
          </w:p>
        </w:tc>
        <w:tc>
          <w:tcPr>
            <w:tcW w:w="3062" w:type="dxa"/>
          </w:tcPr>
          <w:p>
            <w:pPr>
              <w:pStyle w:val="Compact"/>
              <w:jc w:val="left"/>
            </w:pPr>
            <w:hyperlink r:id="rId143">
              <w:r>
                <w:rPr>
                  <w:rStyle w:val="Hyperlink"/>
                </w:rPr>
                <w:t xml:space="preserve">https://www.cbp.gov/trade/automated/cargo-systems-messaging-service</w:t>
              </w:r>
            </w:hyperlink>
            <w:r>
              <w:t xml:space="preserve"> </w:t>
            </w:r>
            <w:r>
              <w:t xml:space="preserve">(archive:</w:t>
            </w:r>
            <w:r>
              <w:t xml:space="preserve"> </w:t>
            </w:r>
            <w:hyperlink r:id="rId144">
              <w:r>
                <w:rPr>
                  <w:rStyle w:val="Hyperlink"/>
                </w:rPr>
                <w:t xml:space="preserve">https://www.cbp.gov/document/guidance/csms-archive</w:t>
              </w:r>
            </w:hyperlink>
            <w:r>
              <w:t xml:space="preserve">)</w:t>
            </w:r>
          </w:p>
        </w:tc>
        <w:tc>
          <w:tcPr>
            <w:tcW w:w="2201" w:type="dxa"/>
          </w:tcPr>
          <w:p>
            <w:pPr>
              <w:pStyle w:val="Compact"/>
              <w:jc w:val="left"/>
            </w:pPr>
            <w:r>
              <w:t xml:space="preserve">Chapter 99 numbers, reporting order, in-transit claim number, ACE effective time, drawback treatment, FAQs; corrections follow</w:t>
            </w:r>
          </w:p>
        </w:tc>
        <w:tc>
          <w:tcPr>
            <w:tcW w:w="2715" w:type="dxa"/>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tcW w:w="1380" w:type="dxa"/>
          </w:tcPr>
          <w:p>
            <w:pPr>
              <w:pStyle w:val="Compact"/>
              <w:jc w:val="left"/>
            </w:pPr>
            <w:r>
              <w:t xml:space="preserve">5 HTSUS revision</w:t>
            </w:r>
          </w:p>
        </w:tc>
        <w:tc>
          <w:tcPr>
            <w:tcW w:w="3062" w:type="dxa"/>
          </w:tcPr>
          <w:p>
            <w:pPr>
              <w:pStyle w:val="Compact"/>
              <w:jc w:val="left"/>
            </w:pPr>
            <w:hyperlink r:id="rId145">
              <w:r>
                <w:rPr>
                  <w:rStyle w:val="Hyperlink"/>
                </w:rPr>
                <w:t xml:space="preserve">https://hts.usitc.gov/</w:t>
              </w:r>
            </w:hyperlink>
            <w:r>
              <w:t xml:space="preserve"> </w:t>
            </w:r>
            <w:r>
              <w:t xml:space="preserve">(new revision with a change record)</w:t>
            </w:r>
          </w:p>
        </w:tc>
        <w:tc>
          <w:tcPr>
            <w:tcW w:w="2201" w:type="dxa"/>
          </w:tcPr>
          <w:p>
            <w:pPr>
              <w:pStyle w:val="Compact"/>
              <w:jc w:val="left"/>
            </w:pPr>
            <w:r>
              <w:t xml:space="preserve">Chapter 99 headings and U.S. notes in the official schedule</w:t>
            </w:r>
          </w:p>
        </w:tc>
        <w:tc>
          <w:tcPr>
            <w:tcW w:w="2715" w:type="dxa"/>
          </w:tcPr>
          <w:p>
            <w:pPr>
              <w:pStyle w:val="Compact"/>
              <w:jc w:val="left"/>
            </w:pPr>
            <w:r>
              <w:t xml:space="preserve">Can lag the effective date by days or weeks</w:t>
            </w:r>
          </w:p>
        </w:tc>
      </w:tr>
      <w:tr>
        <w:tc>
          <w:tcPr>
            <w:tcW w:w="1380" w:type="dxa"/>
          </w:tcPr>
          <w:p>
            <w:pPr>
              <w:pStyle w:val="Compact"/>
              <w:jc w:val="left"/>
            </w:pPr>
            <w:r>
              <w:t xml:space="preserve">6 Follow-up processes</w:t>
            </w:r>
          </w:p>
        </w:tc>
        <w:tc>
          <w:tcPr>
            <w:tcW w:w="3062" w:type="dxa"/>
          </w:tcPr>
          <w:p>
            <w:pPr>
              <w:pStyle w:val="Compact"/>
              <w:jc w:val="left"/>
            </w:pPr>
            <w:r>
              <w:t xml:space="preserve">CBP trade remedies pages,</w:t>
            </w:r>
            <w:r>
              <w:t xml:space="preserve"> </w:t>
            </w:r>
            <w:hyperlink r:id="rId146">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tcW w:w="2201" w:type="dxa"/>
          </w:tcPr>
          <w:p>
            <w:pPr>
              <w:pStyle w:val="Compact"/>
              <w:jc w:val="left"/>
            </w:pPr>
            <w:r>
              <w:t xml:space="preserve">FAQs, products added, exclusions extended or ended, company-specific rates</w:t>
            </w:r>
          </w:p>
        </w:tc>
        <w:tc>
          <w:tcPr>
            <w:tcW w:w="2715" w:type="dxa"/>
          </w:tcPr>
          <w:p>
            <w:pPr>
              <w:pStyle w:val="Compact"/>
              <w:jc w:val="left"/>
            </w:pPr>
            <w:r>
              <w:t xml:space="preserve">Inclusions add HTS codes to an action already in force. For metals, new derivatives have been added by proclamation since 2026-04-06</w:t>
            </w:r>
          </w:p>
        </w:tc>
      </w:tr>
      <w:tr>
        <w:tc>
          <w:tcPr>
            <w:tcW w:w="1380" w:type="dxa"/>
          </w:tcPr>
          <w:p>
            <w:pPr>
              <w:pStyle w:val="Compact"/>
              <w:jc w:val="left"/>
            </w:pPr>
            <w:r>
              <w:t xml:space="preserve">7 Litigation</w:t>
            </w:r>
          </w:p>
        </w:tc>
        <w:tc>
          <w:tcPr>
            <w:tcW w:w="3062" w:type="dxa"/>
          </w:tcPr>
          <w:p>
            <w:pPr>
              <w:pStyle w:val="Compact"/>
              <w:jc w:val="left"/>
            </w:pPr>
            <w:r>
              <w:t xml:space="preserve">Court of International Trade, Federal Circuit, Supreme Court</w:t>
            </w:r>
          </w:p>
        </w:tc>
        <w:tc>
          <w:tcPr>
            <w:tcW w:w="2201" w:type="dxa"/>
          </w:tcPr>
          <w:p>
            <w:pPr>
              <w:pStyle w:val="Compact"/>
              <w:jc w:val="left"/>
            </w:pPr>
            <w:r>
              <w:t xml:space="preserve">Rulings that can end or change an action and raise refund questions</w:t>
            </w:r>
          </w:p>
        </w:tc>
        <w:tc>
          <w:tcPr>
            <w:tcW w:w="2715" w:type="dxa"/>
          </w:tcPr>
          <w:p>
            <w:pPr>
              <w:pStyle w:val="Compact"/>
              <w:jc w:val="left"/>
            </w:pPr>
            <w:r>
              <w:t xml:space="preserve">Months to years; liquidation deadlines keep running meanwhile. A ruling can be stayed on appeal, so collection continues</w:t>
            </w:r>
          </w:p>
        </w:tc>
      </w:tr>
    </w:tbl>
    <w:bookmarkEnd w:id="147"/>
    <w:bookmarkStart w:id="152" w:name="canada"/>
    <w:p>
      <w:pPr>
        <w:pStyle w:val="Heading4"/>
      </w:pPr>
      <w:r>
        <w:t xml:space="preserve">Canada</w:t>
      </w:r>
    </w:p>
    <w:tbl>
      <w:tblPr>
        <w:tblStyle w:val="Table"/>
        <w:tblW w:type="dxa" w:w="9360"/>
        <w:tblLook w:firstRow="1" w:lastRow="0" w:firstColumn="0" w:lastColumn="0" w:noHBand="0" w:noVBand="0" w:val="0020"/>
        <w:jc w:val="start"/>
        <w:tblLayout w:type="fixed"/>
      </w:tblPr>
      <w:tblGrid>
        <w:gridCol w:w="1725"/>
        <w:gridCol w:w="2700"/>
        <w:gridCol w:w="2185"/>
        <w:gridCol w:w="2749"/>
      </w:tblGrid>
      <w:tr>
        <w:trPr>
          <w:tblHeader w:val="true"/>
        </w:trPr>
        <w:tc>
          <w:tcPr>
            <w:tcW w:w="1725" w:type="dxa"/>
          </w:tcPr>
          <w:p>
            <w:pPr>
              <w:pStyle w:val="Compact"/>
              <w:jc w:val="left"/>
            </w:pPr>
            <w:r>
              <w:t xml:space="preserve">Order</w:t>
            </w:r>
          </w:p>
        </w:tc>
        <w:tc>
          <w:tcPr>
            <w:tcW w:w="2700" w:type="dxa"/>
          </w:tcPr>
          <w:p>
            <w:pPr>
              <w:pStyle w:val="Compact"/>
              <w:jc w:val="left"/>
            </w:pPr>
            <w:r>
              <w:t xml:space="preserve">Where it appears</w:t>
            </w:r>
          </w:p>
        </w:tc>
        <w:tc>
          <w:tcPr>
            <w:tcW w:w="2185" w:type="dxa"/>
          </w:tcPr>
          <w:p>
            <w:pPr>
              <w:pStyle w:val="Compact"/>
              <w:jc w:val="left"/>
            </w:pPr>
            <w:r>
              <w:t xml:space="preserve">What you get</w:t>
            </w:r>
          </w:p>
        </w:tc>
        <w:tc>
          <w:tcPr>
            <w:tcW w:w="2749" w:type="dxa"/>
          </w:tcPr>
          <w:p>
            <w:pPr>
              <w:pStyle w:val="Compact"/>
              <w:jc w:val="left"/>
            </w:pPr>
            <w:r>
              <w:t xml:space="preserve">Watch out</w:t>
            </w:r>
          </w:p>
        </w:tc>
      </w:tr>
      <w:tr>
        <w:tc>
          <w:tcPr>
            <w:tcW w:w="1725" w:type="dxa"/>
          </w:tcPr>
          <w:p>
            <w:pPr>
              <w:pStyle w:val="Compact"/>
              <w:jc w:val="left"/>
            </w:pPr>
            <w:r>
              <w:t xml:space="preserve">1 Announcement</w:t>
            </w:r>
          </w:p>
        </w:tc>
        <w:tc>
          <w:tcPr>
            <w:tcW w:w="2700" w:type="dxa"/>
          </w:tcPr>
          <w:p>
            <w:pPr>
              <w:pStyle w:val="Compact"/>
              <w:jc w:val="left"/>
            </w:pPr>
            <w:r>
              <w:t xml:space="preserve">Department of Finance news release and backgrounder, often with the list of goods,</w:t>
            </w:r>
            <w:r>
              <w:t xml:space="preserve"> </w:t>
            </w:r>
            <w:hyperlink r:id="rId148">
              <w:r>
                <w:rPr>
                  <w:rStyle w:val="Hyperlink"/>
                </w:rPr>
                <w:t xml:space="preserve">https://www.canada.ca/en/department-finance.html</w:t>
              </w:r>
            </w:hyperlink>
          </w:p>
        </w:tc>
        <w:tc>
          <w:tcPr>
            <w:tcW w:w="2185" w:type="dxa"/>
          </w:tcPr>
          <w:p>
            <w:pPr>
              <w:pStyle w:val="Compact"/>
              <w:jc w:val="left"/>
            </w:pPr>
            <w:r>
              <w:t xml:space="preserve">Intent, list, dates</w:t>
            </w:r>
          </w:p>
        </w:tc>
        <w:tc>
          <w:tcPr>
            <w:tcW w:w="2749" w:type="dxa"/>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tcW w:w="1725" w:type="dxa"/>
          </w:tcPr>
          <w:p>
            <w:pPr>
              <w:pStyle w:val="Compact"/>
              <w:jc w:val="left"/>
            </w:pPr>
            <w:r>
              <w:t xml:space="preserve">2 Order made</w:t>
            </w:r>
          </w:p>
        </w:tc>
        <w:tc>
          <w:tcPr>
            <w:tcW w:w="2700" w:type="dxa"/>
          </w:tcPr>
          <w:p>
            <w:pPr>
              <w:pStyle w:val="Compact"/>
              <w:jc w:val="left"/>
            </w:pPr>
            <w:r>
              <w:t xml:space="preserve">Order in Council under the Customs Tariff (for surtaxes, section 53), registered as SOR/year-number</w:t>
            </w:r>
          </w:p>
        </w:tc>
        <w:tc>
          <w:tcPr>
            <w:tcW w:w="2185" w:type="dxa"/>
          </w:tcPr>
          <w:p>
            <w:pPr>
              <w:pStyle w:val="Compact"/>
              <w:jc w:val="left"/>
            </w:pPr>
            <w:r>
              <w:t xml:space="preserve">Legal effect from its coming-into-force provision</w:t>
            </w:r>
          </w:p>
        </w:tc>
        <w:tc>
          <w:tcPr>
            <w:tcW w:w="2749" w:type="dxa"/>
          </w:tcPr>
          <w:p>
            <w:pPr>
              <w:pStyle w:val="Compact"/>
              <w:jc w:val="left"/>
            </w:pPr>
            <w:r>
              <w:t xml:space="preserve">Can be in force before it is published in the Gazette (SOR/2026-186 was in force 2026-09-08 and published 2026-09-23)</w:t>
            </w:r>
          </w:p>
        </w:tc>
      </w:tr>
      <w:tr>
        <w:tc>
          <w:tcPr>
            <w:tcW w:w="1725" w:type="dxa"/>
          </w:tcPr>
          <w:p>
            <w:pPr>
              <w:pStyle w:val="Compact"/>
              <w:jc w:val="left"/>
            </w:pPr>
            <w:r>
              <w:t xml:space="preserve">3 Canada Gazette, Part II</w:t>
            </w:r>
          </w:p>
        </w:tc>
        <w:tc>
          <w:tcPr>
            <w:tcW w:w="2700" w:type="dxa"/>
          </w:tcPr>
          <w:p>
            <w:pPr>
              <w:pStyle w:val="Compact"/>
              <w:jc w:val="left"/>
            </w:pPr>
            <w:hyperlink r:id="rId149">
              <w:r>
                <w:rPr>
                  <w:rStyle w:val="Hyperlink"/>
                </w:rPr>
                <w:t xml:space="preserve">https://gazette.gc.ca/</w:t>
              </w:r>
            </w:hyperlink>
            <w:r>
              <w:t xml:space="preserve"> </w:t>
            </w:r>
            <w:r>
              <w:t xml:space="preserve">(regular issues every second Wednesday; special issues for urgent orders)</w:t>
            </w:r>
          </w:p>
        </w:tc>
        <w:tc>
          <w:tcPr>
            <w:tcW w:w="2185" w:type="dxa"/>
          </w:tcPr>
          <w:p>
            <w:pPr>
              <w:pStyle w:val="Compact"/>
              <w:jc w:val="left"/>
            </w:pPr>
            <w:r>
              <w:t xml:space="preserve">Official text and the Regulatory Impact Analysis Statement</w:t>
            </w:r>
          </w:p>
        </w:tc>
        <w:tc>
          <w:tcPr>
            <w:tcW w:w="2749" w:type="dxa"/>
          </w:tcPr>
          <w:p>
            <w:pPr>
              <w:pStyle w:val="Compact"/>
              <w:jc w:val="left"/>
            </w:pPr>
            <w:r>
              <w:t xml:space="preserve">Part I carries proposals and consultations. Check for errata</w:t>
            </w:r>
          </w:p>
        </w:tc>
      </w:tr>
      <w:tr>
        <w:tc>
          <w:tcPr>
            <w:tcW w:w="1725" w:type="dxa"/>
          </w:tcPr>
          <w:p>
            <w:pPr>
              <w:pStyle w:val="Compact"/>
              <w:jc w:val="left"/>
            </w:pPr>
            <w:r>
              <w:t xml:space="preserve">4 CBSA Customs Notice</w:t>
            </w:r>
          </w:p>
        </w:tc>
        <w:tc>
          <w:tcPr>
            <w:tcW w:w="2700" w:type="dxa"/>
          </w:tcPr>
          <w:p>
            <w:pPr>
              <w:pStyle w:val="Compact"/>
              <w:jc w:val="left"/>
            </w:pPr>
            <w:hyperlink r:id="rId150">
              <w:r>
                <w:rPr>
                  <w:rStyle w:val="Hyperlink"/>
                </w:rPr>
                <w:t xml:space="preserve">https://www.cbsa-asfc.gc.ca/publications/cn-ad/menu-eng.html</w:t>
              </w:r>
            </w:hyperlink>
          </w:p>
        </w:tc>
        <w:tc>
          <w:tcPr>
            <w:tcW w:w="2185" w:type="dxa"/>
          </w:tcPr>
          <w:p>
            <w:pPr>
              <w:pStyle w:val="Compact"/>
              <w:jc w:val="left"/>
            </w:pPr>
            <w:r>
              <w:t xml:space="preserve">How CBSA applies it: dates, goods in transit, the surtax code to declare in CARM (for example 25267A for the steel derivative surtax, CN 25-33), refunds</w:t>
            </w:r>
          </w:p>
        </w:tc>
        <w:tc>
          <w:tcPr>
            <w:tcW w:w="2749" w:type="dxa"/>
          </w:tcPr>
          <w:p>
            <w:pPr>
              <w:pStyle w:val="Compact"/>
              <w:jc w:val="left"/>
            </w:pPr>
            <w:r>
              <w:t xml:space="preserve">Updated versions replace earlier ones, and a notice can differ from the order on a date: the order governs</w:t>
            </w:r>
          </w:p>
        </w:tc>
      </w:tr>
      <w:tr>
        <w:tc>
          <w:tcPr>
            <w:tcW w:w="1725" w:type="dxa"/>
          </w:tcPr>
          <w:p>
            <w:pPr>
              <w:pStyle w:val="Compact"/>
              <w:jc w:val="left"/>
            </w:pPr>
            <w:r>
              <w:t xml:space="preserve">5 Remission order</w:t>
            </w:r>
          </w:p>
        </w:tc>
        <w:tc>
          <w:tcPr>
            <w:tcW w:w="2700" w:type="dxa"/>
          </w:tcPr>
          <w:p>
            <w:pPr>
              <w:pStyle w:val="Compact"/>
              <w:jc w:val="left"/>
            </w:pPr>
            <w:r>
              <w:t xml:space="preserve">Separate order under the Customs Tariff (section 115), Gazette Part II, plus a CBSA notice</w:t>
            </w:r>
          </w:p>
        </w:tc>
        <w:tc>
          <w:tcPr>
            <w:tcW w:w="2185" w:type="dxa"/>
          </w:tcPr>
          <w:p>
            <w:pPr>
              <w:pStyle w:val="Compact"/>
              <w:jc w:val="left"/>
            </w:pPr>
            <w:r>
              <w:t xml:space="preserve">Who gets relief, conditions, end date, how to claim</w:t>
            </w:r>
          </w:p>
        </w:tc>
        <w:tc>
          <w:tcPr>
            <w:tcW w:w="2749" w:type="dxa"/>
          </w:tcPr>
          <w:p>
            <w:pPr>
              <w:pStyle w:val="Compact"/>
              <w:jc w:val="left"/>
            </w:pPr>
            <w:r>
              <w:t xml:space="preserve">Remission is claimed, not automatic, and is often extended in pieces</w:t>
            </w:r>
          </w:p>
        </w:tc>
      </w:tr>
      <w:tr>
        <w:tc>
          <w:tcPr>
            <w:tcW w:w="1725" w:type="dxa"/>
          </w:tcPr>
          <w:p>
            <w:pPr>
              <w:pStyle w:val="Compact"/>
              <w:jc w:val="left"/>
            </w:pPr>
            <w:r>
              <w:t xml:space="preserve">6 Customs Tariff consolidation</w:t>
            </w:r>
          </w:p>
        </w:tc>
        <w:tc>
          <w:tcPr>
            <w:tcW w:w="2700" w:type="dxa"/>
          </w:tcPr>
          <w:p>
            <w:pPr>
              <w:pStyle w:val="Compact"/>
              <w:jc w:val="left"/>
            </w:pPr>
            <w:hyperlink r:id="rId151">
              <w:r>
                <w:rPr>
                  <w:rStyle w:val="Hyperlink"/>
                </w:rPr>
                <w:t xml:space="preserve">https://www.cbsa-asfc.gc.ca/trade-commerce/tariff-tarif/2026/menu-eng.html</w:t>
              </w:r>
            </w:hyperlink>
          </w:p>
        </w:tc>
        <w:tc>
          <w:tcPr>
            <w:tcW w:w="2185" w:type="dxa"/>
          </w:tcPr>
          <w:p>
            <w:pPr>
              <w:pStyle w:val="Compact"/>
              <w:jc w:val="left"/>
            </w:pPr>
            <w:r>
              <w:t xml:space="preserve">The updated schedule</w:t>
            </w:r>
          </w:p>
        </w:tc>
        <w:tc>
          <w:tcPr>
            <w:tcW w:w="2749" w:type="dxa"/>
          </w:tcPr>
          <w:p>
            <w:pPr>
              <w:pStyle w:val="Compact"/>
              <w:jc w:val="left"/>
            </w:pPr>
            <w:r>
              <w:t xml:space="preserve">Lags the order</w:t>
            </w:r>
          </w:p>
        </w:tc>
      </w:tr>
    </w:tbl>
    <w:bookmarkEnd w:id="152"/>
    <w:bookmarkStart w:id="155" w:name="mexico"/>
    <w:p>
      <w:pPr>
        <w:pStyle w:val="Heading4"/>
      </w:pPr>
      <w:r>
        <w:t xml:space="preserve">Mexico</w:t>
      </w:r>
    </w:p>
    <w:tbl>
      <w:tblPr>
        <w:tblStyle w:val="Table"/>
        <w:tblW w:type="dxa" w:w="9360"/>
        <w:tblLook w:firstRow="1" w:lastRow="0" w:firstColumn="0" w:lastColumn="0" w:noHBand="0" w:noVBand="0" w:val="0020"/>
        <w:jc w:val="start"/>
        <w:tblLayout w:type="fixed"/>
      </w:tblPr>
      <w:tblGrid>
        <w:gridCol w:w="1840"/>
        <w:gridCol w:w="3125"/>
        <w:gridCol w:w="1943"/>
        <w:gridCol w:w="2451"/>
      </w:tblGrid>
      <w:tr>
        <w:trPr>
          <w:tblHeader w:val="true"/>
        </w:trPr>
        <w:tc>
          <w:tcPr>
            <w:tcW w:w="1840" w:type="dxa"/>
          </w:tcPr>
          <w:p>
            <w:pPr>
              <w:pStyle w:val="Compact"/>
              <w:jc w:val="left"/>
            </w:pPr>
            <w:r>
              <w:t xml:space="preserve">Order</w:t>
            </w:r>
          </w:p>
        </w:tc>
        <w:tc>
          <w:tcPr>
            <w:tcW w:w="3125" w:type="dxa"/>
          </w:tcPr>
          <w:p>
            <w:pPr>
              <w:pStyle w:val="Compact"/>
              <w:jc w:val="left"/>
            </w:pPr>
            <w:r>
              <w:t xml:space="preserve">Where it appears</w:t>
            </w:r>
          </w:p>
        </w:tc>
        <w:tc>
          <w:tcPr>
            <w:tcW w:w="1943" w:type="dxa"/>
          </w:tcPr>
          <w:p>
            <w:pPr>
              <w:pStyle w:val="Compact"/>
              <w:jc w:val="left"/>
            </w:pPr>
            <w:r>
              <w:t xml:space="preserve">What you get</w:t>
            </w:r>
          </w:p>
        </w:tc>
        <w:tc>
          <w:tcPr>
            <w:tcW w:w="2451" w:type="dxa"/>
          </w:tcPr>
          <w:p>
            <w:pPr>
              <w:pStyle w:val="Compact"/>
              <w:jc w:val="left"/>
            </w:pPr>
            <w:r>
              <w:t xml:space="preserve">Watch out</w:t>
            </w:r>
          </w:p>
        </w:tc>
      </w:tr>
      <w:tr>
        <w:tc>
          <w:tcPr>
            <w:tcW w:w="1840" w:type="dxa"/>
          </w:tcPr>
          <w:p>
            <w:pPr>
              <w:pStyle w:val="Compact"/>
              <w:jc w:val="left"/>
            </w:pPr>
            <w:r>
              <w:t xml:space="preserve">1 Announcement</w:t>
            </w:r>
          </w:p>
        </w:tc>
        <w:tc>
          <w:tcPr>
            <w:tcW w:w="3125" w:type="dxa"/>
          </w:tcPr>
          <w:p>
            <w:pPr>
              <w:pStyle w:val="Compact"/>
              <w:jc w:val="left"/>
            </w:pPr>
            <w:r>
              <w:t xml:space="preserve">Secretaría de Economía press releases,</w:t>
            </w:r>
            <w:r>
              <w:t xml:space="preserve"> </w:t>
            </w:r>
            <w:hyperlink r:id="rId128">
              <w:r>
                <w:rPr>
                  <w:rStyle w:val="Hyperlink"/>
                </w:rPr>
                <w:t xml:space="preserve">https://www.gob.mx/se</w:t>
              </w:r>
            </w:hyperlink>
            <w:r>
              <w:t xml:space="preserve"> </w:t>
            </w:r>
            <w:r>
              <w:t xml:space="preserve">; the President's morning press conference</w:t>
            </w:r>
          </w:p>
        </w:tc>
        <w:tc>
          <w:tcPr>
            <w:tcW w:w="1943" w:type="dxa"/>
          </w:tcPr>
          <w:p>
            <w:pPr>
              <w:pStyle w:val="Compact"/>
              <w:jc w:val="left"/>
            </w:pPr>
            <w:r>
              <w:t xml:space="preserve">Intent</w:t>
            </w:r>
          </w:p>
        </w:tc>
        <w:tc>
          <w:tcPr>
            <w:tcW w:w="2451" w:type="dxa"/>
          </w:tcPr>
          <w:p>
            <w:pPr>
              <w:pStyle w:val="Compact"/>
              <w:jc w:val="left"/>
            </w:pPr>
            <w:r>
              <w:t xml:space="preserve">Rates and lists often change before publication</w:t>
            </w:r>
          </w:p>
        </w:tc>
      </w:tr>
      <w:tr>
        <w:tc>
          <w:tcPr>
            <w:tcW w:w="1840" w:type="dxa"/>
          </w:tcPr>
          <w:p>
            <w:pPr>
              <w:pStyle w:val="Compact"/>
              <w:jc w:val="left"/>
            </w:pPr>
            <w:r>
              <w:t xml:space="preserve">2 Legal instrument</w:t>
            </w:r>
          </w:p>
        </w:tc>
        <w:tc>
          <w:tcPr>
            <w:tcW w:w="3125" w:type="dxa"/>
          </w:tcPr>
          <w:p>
            <w:pPr>
              <w:pStyle w:val="Compact"/>
              <w:jc w:val="left"/>
            </w:pPr>
            <w:r>
              <w:t xml:space="preserve">DOF,</w:t>
            </w:r>
            <w:r>
              <w:t xml:space="preserve"> </w:t>
            </w:r>
            <w:hyperlink r:id="rId122">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tcW w:w="1943" w:type="dxa"/>
          </w:tcPr>
          <w:p>
            <w:pPr>
              <w:pStyle w:val="Compact"/>
              <w:jc w:val="left"/>
            </w:pPr>
            <w:r>
              <w:t xml:space="preserve">Legal text; entry into force in the transitory articles (often the day after publication)</w:t>
            </w:r>
          </w:p>
        </w:tc>
        <w:tc>
          <w:tcPr>
            <w:tcW w:w="2451" w:type="dxa"/>
          </w:tcPr>
          <w:p>
            <w:pPr>
              <w:pStyle w:val="Compact"/>
              <w:jc w:val="left"/>
            </w:pPr>
            <w:r>
              <w:t xml:space="preserve">The DOF has a morning edition and sometimes an evening (vespertina) or extraordinary edition: check both. The 2026-04-23 TIGIE and PROSEC decree came out in the evening edition</w:t>
            </w:r>
          </w:p>
        </w:tc>
      </w:tr>
      <w:tr>
        <w:tc>
          <w:tcPr>
            <w:tcW w:w="1840" w:type="dxa"/>
          </w:tcPr>
          <w:p>
            <w:pPr>
              <w:pStyle w:val="Compact"/>
              <w:jc w:val="left"/>
            </w:pPr>
            <w:r>
              <w:t xml:space="preserve">3 Implementation</w:t>
            </w:r>
          </w:p>
        </w:tc>
        <w:tc>
          <w:tcPr>
            <w:tcW w:w="3125" w:type="dxa"/>
          </w:tcPr>
          <w:p>
            <w:pPr>
              <w:pStyle w:val="Compact"/>
              <w:jc w:val="left"/>
            </w:pPr>
            <w:r>
              <w:t xml:space="preserve">SAT and ANAM communications,</w:t>
            </w:r>
            <w:r>
              <w:t xml:space="preserve"> </w:t>
            </w:r>
            <w:hyperlink r:id="rId153">
              <w:r>
                <w:rPr>
                  <w:rStyle w:val="Hyperlink"/>
                </w:rPr>
                <w:t xml:space="preserve">https://www.sat.gob.mx/</w:t>
              </w:r>
            </w:hyperlink>
            <w:r>
              <w:t xml:space="preserve"> </w:t>
            </w:r>
            <w:r>
              <w:t xml:space="preserve">and</w:t>
            </w:r>
            <w:r>
              <w:t xml:space="preserve"> </w:t>
            </w:r>
            <w:hyperlink r:id="rId154">
              <w:r>
                <w:rPr>
                  <w:rStyle w:val="Hyperlink"/>
                </w:rPr>
                <w:t xml:space="preserve">https://www.anam.gob.mx/</w:t>
              </w:r>
            </w:hyperlink>
            <w:r>
              <w:t xml:space="preserve"> </w:t>
            </w:r>
            <w:r>
              <w:t xml:space="preserve">; single-window updates</w:t>
            </w:r>
          </w:p>
        </w:tc>
        <w:tc>
          <w:tcPr>
            <w:tcW w:w="1943" w:type="dxa"/>
          </w:tcPr>
          <w:p>
            <w:pPr>
              <w:pStyle w:val="Compact"/>
              <w:jc w:val="left"/>
            </w:pPr>
            <w:r>
              <w:t xml:space="preserve">How the pedimento must be filed</w:t>
            </w:r>
          </w:p>
        </w:tc>
        <w:tc>
          <w:tcPr>
            <w:tcW w:w="2451" w:type="dxa"/>
          </w:tcPr>
          <w:p>
            <w:pPr>
              <w:pStyle w:val="Compact"/>
              <w:jc w:val="left"/>
            </w:pPr>
            <w:r>
              <w:t xml:space="preserve">Validation changes can lag the legal date. SAT often announces new dates in an advance version of an RGCE resolution before the DOF text</w:t>
            </w:r>
          </w:p>
        </w:tc>
      </w:tr>
      <w:tr>
        <w:tc>
          <w:tcPr>
            <w:tcW w:w="1840" w:type="dxa"/>
          </w:tcPr>
          <w:p>
            <w:pPr>
              <w:pStyle w:val="Compact"/>
              <w:jc w:val="left"/>
            </w:pPr>
            <w:r>
              <w:t xml:space="preserve">4 Agente aduanal circulars</w:t>
            </w:r>
          </w:p>
        </w:tc>
        <w:tc>
          <w:tcPr>
            <w:tcW w:w="3125" w:type="dxa"/>
          </w:tcPr>
          <w:p>
            <w:pPr>
              <w:pStyle w:val="Compact"/>
              <w:jc w:val="left"/>
            </w:pPr>
            <w:r>
              <w:t xml:space="preserve">[COMPANY: agente aduanal contact], received through the Senior</w:t>
            </w:r>
          </w:p>
        </w:tc>
        <w:tc>
          <w:tcPr>
            <w:tcW w:w="1943" w:type="dxa"/>
          </w:tcPr>
          <w:p>
            <w:pPr>
              <w:pStyle w:val="Compact"/>
              <w:jc w:val="left"/>
            </w:pPr>
            <w:r>
              <w:t xml:space="preserve">Practical application, often the fastest interpretation</w:t>
            </w:r>
          </w:p>
        </w:tc>
        <w:tc>
          <w:tcPr>
            <w:tcW w:w="2451" w:type="dxa"/>
          </w:tcPr>
          <w:p>
            <w:pPr>
              <w:pStyle w:val="Compact"/>
              <w:jc w:val="left"/>
            </w:pPr>
            <w:r>
              <w:t xml:space="preserve">A lead to confirm, not the source</w:t>
            </w:r>
          </w:p>
        </w:tc>
      </w:tr>
      <w:tr>
        <w:tc>
          <w:tcPr>
            <w:tcW w:w="1840" w:type="dxa"/>
          </w:tcPr>
          <w:p>
            <w:pPr>
              <w:pStyle w:val="Compact"/>
              <w:jc w:val="left"/>
            </w:pPr>
            <w:r>
              <w:t xml:space="preserve">5 RGCE</w:t>
            </w:r>
          </w:p>
        </w:tc>
        <w:tc>
          <w:tcPr>
            <w:tcW w:w="3125" w:type="dxa"/>
          </w:tcPr>
          <w:p>
            <w:pPr>
              <w:pStyle w:val="Compact"/>
              <w:jc w:val="left"/>
            </w:pPr>
            <w:r>
              <w:t xml:space="preserve">Published by SAT in the DOF each year (the 2026 RGCE on 2025-12-27), with resolutions of amendments during the year</w:t>
            </w:r>
          </w:p>
        </w:tc>
        <w:tc>
          <w:tcPr>
            <w:tcW w:w="1943" w:type="dxa"/>
          </w:tcPr>
          <w:p>
            <w:pPr>
              <w:pStyle w:val="Compact"/>
              <w:jc w:val="left"/>
            </w:pPr>
            <w:r>
              <w:t xml:space="preserve">Procedures and annexes (for example Anexo 22, pedimento instructions)</w:t>
            </w:r>
          </w:p>
        </w:tc>
        <w:tc>
          <w:tcPr>
            <w:tcW w:w="2451" w:type="dxa"/>
          </w:tcPr>
          <w:p>
            <w:pPr>
              <w:pStyle w:val="Compact"/>
              <w:jc w:val="left"/>
            </w:pPr>
            <w:r>
              <w:t xml:space="preserve">Annex numbering changes between years</w:t>
            </w:r>
          </w:p>
        </w:tc>
      </w:tr>
      <w:tr>
        <w:tc>
          <w:tcPr>
            <w:tcW w:w="1840" w:type="dxa"/>
          </w:tcPr>
          <w:p>
            <w:pPr>
              <w:pStyle w:val="Compact"/>
              <w:jc w:val="left"/>
            </w:pPr>
            <w:r>
              <w:t xml:space="preserve">6 Change lists</w:t>
            </w:r>
          </w:p>
        </w:tc>
        <w:tc>
          <w:tcPr>
            <w:tcW w:w="3125" w:type="dxa"/>
          </w:tcPr>
          <w:p>
            <w:pPr>
              <w:pStyle w:val="Compact"/>
              <w:jc w:val="left"/>
            </w:pPr>
            <w:r>
              <w:t xml:space="preserve">SNICE list of TIGIE changes by year,</w:t>
            </w:r>
            <w:r>
              <w:t xml:space="preserve"> </w:t>
            </w:r>
            <w:hyperlink r:id="rId119">
              <w:r>
                <w:rPr>
                  <w:rStyle w:val="Hyperlink"/>
                </w:rPr>
                <w:t xml:space="preserve">https://www.snice.gob.mx/cs/avi/snice/ligie.info22.mod26.html</w:t>
              </w:r>
            </w:hyperlink>
          </w:p>
        </w:tc>
        <w:tc>
          <w:tcPr>
            <w:tcW w:w="1943" w:type="dxa"/>
          </w:tcPr>
          <w:p>
            <w:pPr>
              <w:pStyle w:val="Compact"/>
              <w:jc w:val="left"/>
            </w:pPr>
            <w:r>
              <w:t xml:space="preserve">Each tariff decree in one place, with dates</w:t>
            </w:r>
          </w:p>
        </w:tc>
        <w:tc>
          <w:tcPr>
            <w:tcW w:w="2451" w:type="dxa"/>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55"/>
    <w:bookmarkEnd w:id="156"/>
    <w:bookmarkStart w:id="157"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57"/>
    <w:bookmarkStart w:id="163" w:name="Xc6c3db459662495da1929345246ee77d1f15048"/>
    <w:p>
      <w:pPr>
        <w:pStyle w:val="Heading3"/>
      </w:pPr>
      <w:r>
        <w:t xml:space="preserve">2.4 Monitoring routine</w:t>
      </w:r>
    </w:p>
    <w:bookmarkStart w:id="159"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43">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42">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41">
        <w:r>
          <w:rPr>
            <w:rStyle w:val="Hyperlink"/>
          </w:rPr>
          <w:t xml:space="preserve">https://www.federalregister.gov/public-inspection/current</w:t>
        </w:r>
      </w:hyperlink>
      <w:r>
        <w:t xml:space="preserve"> </w:t>
      </w:r>
      <w:r>
        <w:t xml:space="preserve">,</w:t>
      </w:r>
      <w:r>
        <w:t xml:space="preserve"> </w:t>
      </w:r>
      <w:hyperlink r:id="rId140">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58">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22">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59"/>
    <w:bookmarkStart w:id="160" w:name="X7b28babec6b87c73fb310b3286131d1599c0b35"/>
    <w:p>
      <w:pPr>
        <w:pStyle w:val="Heading4"/>
      </w:pPr>
      <w:r>
        <w:t xml:space="preserve">Daily, 15 minutes (fixed time, for example 08:30 after Anki)</w:t>
      </w:r>
    </w:p>
    <w:tbl>
      <w:tblPr>
        <w:tblStyle w:val="Table"/>
        <w:tblW w:type="dxa" w:w="9360"/>
        <w:tblLook w:firstRow="1" w:lastRow="0" w:firstColumn="0" w:lastColumn="0" w:noHBand="0" w:noVBand="0" w:val="0020"/>
        <w:jc w:val="start"/>
        <w:tblLayout w:type="fixed"/>
      </w:tblPr>
      <w:tblGrid>
        <w:gridCol w:w="1035"/>
        <w:gridCol w:w="3075"/>
        <w:gridCol w:w="3467"/>
        <w:gridCol w:w="1781"/>
      </w:tblGrid>
      <w:tr>
        <w:trPr>
          <w:tblHeader w:val="true"/>
        </w:trPr>
        <w:tc>
          <w:tcPr>
            <w:tcW w:w="1035" w:type="dxa"/>
          </w:tcPr>
          <w:p>
            <w:pPr>
              <w:pStyle w:val="Compact"/>
              <w:jc w:val="left"/>
            </w:pPr>
            <w:r>
              <w:t xml:space="preserve">Minutes</w:t>
            </w:r>
          </w:p>
        </w:tc>
        <w:tc>
          <w:tcPr>
            <w:tcW w:w="3075" w:type="dxa"/>
          </w:tcPr>
          <w:p>
            <w:pPr>
              <w:pStyle w:val="Compact"/>
              <w:jc w:val="left"/>
            </w:pPr>
            <w:r>
              <w:t xml:space="preserve">Check</w:t>
            </w:r>
          </w:p>
        </w:tc>
        <w:tc>
          <w:tcPr>
            <w:tcW w:w="3467" w:type="dxa"/>
          </w:tcPr>
          <w:p>
            <w:pPr>
              <w:pStyle w:val="Compact"/>
              <w:jc w:val="left"/>
            </w:pPr>
            <w:r>
              <w:t xml:space="preserve">Look for</w:t>
            </w:r>
          </w:p>
        </w:tc>
        <w:tc>
          <w:tcPr>
            <w:tcW w:w="1781" w:type="dxa"/>
          </w:tcPr>
          <w:p>
            <w:pPr>
              <w:pStyle w:val="Compact"/>
              <w:jc w:val="left"/>
            </w:pPr>
            <w:r>
              <w:t xml:space="preserve">If relevant</w:t>
            </w:r>
          </w:p>
        </w:tc>
      </w:tr>
      <w:tr>
        <w:tc>
          <w:tcPr>
            <w:tcW w:w="1035" w:type="dxa"/>
          </w:tcPr>
          <w:p>
            <w:pPr>
              <w:pStyle w:val="Compact"/>
              <w:jc w:val="left"/>
            </w:pPr>
            <w:r>
              <w:t xml:space="preserve">0 to 4</w:t>
            </w:r>
          </w:p>
        </w:tc>
        <w:tc>
          <w:tcPr>
            <w:tcW w:w="3075" w:type="dxa"/>
          </w:tcPr>
          <w:p>
            <w:pPr>
              <w:pStyle w:val="Compact"/>
              <w:jc w:val="left"/>
            </w:pPr>
            <w:r>
              <w:t xml:space="preserve">CSMS folder since yesterday</w:t>
            </w:r>
          </w:p>
        </w:tc>
        <w:tc>
          <w:tcPr>
            <w:tcW w:w="3467" w:type="dxa"/>
          </w:tcPr>
          <w:p>
            <w:pPr>
              <w:pStyle w:val="Compact"/>
              <w:jc w:val="left"/>
            </w:pPr>
            <w:r>
              <w:t xml:space="preserve">Guidance on Sections 232, 301, 338 and 201, Chapter 99, de minimis, AD/CVD, drawback validations, ACE filing changes, CAPE refunds</w:t>
            </w:r>
          </w:p>
        </w:tc>
        <w:tc>
          <w:tcPr>
            <w:tcW w:w="1781" w:type="dxa"/>
          </w:tcPr>
          <w:p>
            <w:pPr>
              <w:pStyle w:val="Compact"/>
              <w:jc w:val="left"/>
            </w:pPr>
            <w:r>
              <w:t xml:space="preserve">Log it; open the instrument it implements</w:t>
            </w:r>
          </w:p>
        </w:tc>
      </w:tr>
      <w:tr>
        <w:tc>
          <w:tcPr>
            <w:tcW w:w="1035" w:type="dxa"/>
          </w:tcPr>
          <w:p>
            <w:pPr>
              <w:pStyle w:val="Compact"/>
              <w:jc w:val="left"/>
            </w:pPr>
            <w:r>
              <w:t xml:space="preserve">4 to 8</w:t>
            </w:r>
          </w:p>
        </w:tc>
        <w:tc>
          <w:tcPr>
            <w:tcW w:w="3075" w:type="dxa"/>
          </w:tcPr>
          <w:p>
            <w:pPr>
              <w:pStyle w:val="Compact"/>
              <w:jc w:val="left"/>
            </w:pPr>
            <w:r>
              <w:t xml:space="preserve">Federal Register alerts and public inspection; White House presidential actions</w:t>
            </w:r>
          </w:p>
        </w:tc>
        <w:tc>
          <w:tcPr>
            <w:tcW w:w="3467" w:type="dxa"/>
          </w:tcPr>
          <w:p>
            <w:pPr>
              <w:pStyle w:val="Compact"/>
              <w:jc w:val="left"/>
            </w:pPr>
            <w:r>
              <w:t xml:space="preserve">Proclamations, executive orders, memoranda, USTR, CBP, Commerce notices</w:t>
            </w:r>
          </w:p>
        </w:tc>
        <w:tc>
          <w:tcPr>
            <w:tcW w:w="1781" w:type="dxa"/>
          </w:tcPr>
          <w:p>
            <w:pPr>
              <w:pStyle w:val="Compact"/>
              <w:jc w:val="left"/>
            </w:pPr>
            <w:r>
              <w:t xml:space="preserve">Log it; if it may touch our items, start the 60-minute first pass</w:t>
            </w:r>
          </w:p>
        </w:tc>
      </w:tr>
      <w:tr>
        <w:tc>
          <w:tcPr>
            <w:tcW w:w="1035" w:type="dxa"/>
          </w:tcPr>
          <w:p>
            <w:pPr>
              <w:pStyle w:val="Compact"/>
              <w:jc w:val="left"/>
            </w:pPr>
            <w:r>
              <w:t xml:space="preserve">8 to 10</w:t>
            </w:r>
          </w:p>
        </w:tc>
        <w:tc>
          <w:tcPr>
            <w:tcW w:w="3075" w:type="dxa"/>
          </w:tcPr>
          <w:p>
            <w:pPr>
              <w:pStyle w:val="Compact"/>
              <w:jc w:val="left"/>
            </w:pPr>
            <w:r>
              <w:t xml:space="preserve">USTR and Commerce press releases</w:t>
            </w:r>
          </w:p>
        </w:tc>
        <w:tc>
          <w:tcPr>
            <w:tcW w:w="3467" w:type="dxa"/>
          </w:tcPr>
          <w:p>
            <w:pPr>
              <w:pStyle w:val="Compact"/>
              <w:jc w:val="left"/>
            </w:pPr>
            <w:r>
              <w:t xml:space="preserve">Investigations, determinations, exclusion and inclusion decisions</w:t>
            </w:r>
          </w:p>
        </w:tc>
        <w:tc>
          <w:tcPr>
            <w:tcW w:w="1781" w:type="dxa"/>
          </w:tcPr>
          <w:p>
            <w:pPr>
              <w:pStyle w:val="Compact"/>
              <w:jc w:val="left"/>
            </w:pPr>
            <w:r>
              <w:t xml:space="preserve">Log it</w:t>
            </w:r>
          </w:p>
        </w:tc>
      </w:tr>
      <w:tr>
        <w:tc>
          <w:tcPr>
            <w:tcW w:w="1035" w:type="dxa"/>
          </w:tcPr>
          <w:p>
            <w:pPr>
              <w:pStyle w:val="Compact"/>
              <w:jc w:val="left"/>
            </w:pPr>
            <w:r>
              <w:t xml:space="preserve">10 to 12</w:t>
            </w:r>
          </w:p>
        </w:tc>
        <w:tc>
          <w:tcPr>
            <w:tcW w:w="3075" w:type="dxa"/>
          </w:tcPr>
          <w:p>
            <w:pPr>
              <w:pStyle w:val="Compact"/>
              <w:jc w:val="left"/>
            </w:pPr>
            <w:r>
              <w:t xml:space="preserve">Finance Canada news; CBSA Customs Notices</w:t>
            </w:r>
          </w:p>
        </w:tc>
        <w:tc>
          <w:tcPr>
            <w:tcW w:w="3467" w:type="dxa"/>
          </w:tcPr>
          <w:p>
            <w:pPr>
              <w:pStyle w:val="Compact"/>
              <w:jc w:val="left"/>
            </w:pPr>
            <w:r>
              <w:t xml:space="preserve">Surtaxes, remission, steel quotas, CARM changes</w:t>
            </w:r>
          </w:p>
        </w:tc>
        <w:tc>
          <w:tcPr>
            <w:tcW w:w="1781" w:type="dxa"/>
          </w:tcPr>
          <w:p>
            <w:pPr>
              <w:pStyle w:val="Compact"/>
              <w:jc w:val="left"/>
            </w:pPr>
            <w:r>
              <w:t xml:space="preserve">Log it</w:t>
            </w:r>
          </w:p>
        </w:tc>
      </w:tr>
      <w:tr>
        <w:tc>
          <w:tcPr>
            <w:tcW w:w="1035" w:type="dxa"/>
          </w:tcPr>
          <w:p>
            <w:pPr>
              <w:pStyle w:val="Compact"/>
              <w:jc w:val="left"/>
            </w:pPr>
            <w:r>
              <w:t xml:space="preserve">12 to 14</w:t>
            </w:r>
          </w:p>
        </w:tc>
        <w:tc>
          <w:tcPr>
            <w:tcW w:w="3075" w:type="dxa"/>
          </w:tcPr>
          <w:p>
            <w:pPr>
              <w:pStyle w:val="Compact"/>
              <w:jc w:val="left"/>
            </w:pPr>
            <w:r>
              <w:t xml:space="preserve">DOF (this morning's edition and yesterday's evening edition): Secretaría de Economía, SHCP, SAT entries; agente aduanal circulars</w:t>
            </w:r>
          </w:p>
        </w:tc>
        <w:tc>
          <w:tcPr>
            <w:tcW w:w="3467" w:type="dxa"/>
          </w:tcPr>
          <w:p>
            <w:pPr>
              <w:pStyle w:val="Compact"/>
              <w:jc w:val="left"/>
            </w:pPr>
            <w:r>
              <w:t xml:space="preserve">Decretos on the TIGIE, acuerdos and avisos on IMMEX or PROSEC, RGCE changes</w:t>
            </w:r>
          </w:p>
        </w:tc>
        <w:tc>
          <w:tcPr>
            <w:tcW w:w="1781" w:type="dxa"/>
          </w:tcPr>
          <w:p>
            <w:pPr>
              <w:pStyle w:val="Compact"/>
              <w:jc w:val="left"/>
            </w:pPr>
            <w:r>
              <w:t xml:space="preserve">Log it</w:t>
            </w:r>
          </w:p>
        </w:tc>
      </w:tr>
      <w:tr>
        <w:tc>
          <w:tcPr>
            <w:tcW w:w="1035" w:type="dxa"/>
          </w:tcPr>
          <w:p>
            <w:pPr>
              <w:pStyle w:val="Compact"/>
              <w:jc w:val="left"/>
            </w:pPr>
            <w:r>
              <w:t xml:space="preserve">14 to 15</w:t>
            </w:r>
          </w:p>
        </w:tc>
        <w:tc>
          <w:tcPr>
            <w:tcW w:w="3075" w:type="dxa"/>
          </w:tcPr>
          <w:p>
            <w:pPr>
              <w:pStyle w:val="Compact"/>
              <w:jc w:val="left"/>
            </w:pPr>
            <w:r>
              <w:t xml:space="preserve">Research log</w:t>
            </w:r>
          </w:p>
        </w:tc>
        <w:tc>
          <w:tcPr>
            <w:tcW w:w="3467" w:type="dxa"/>
          </w:tcPr>
          <w:p>
            <w:pPr>
              <w:pStyle w:val="Compact"/>
              <w:jc w:val="left"/>
            </w:pPr>
            <w:r>
              <w:t xml:space="preserve">One line per item</w:t>
            </w:r>
          </w:p>
        </w:tc>
        <w:tc>
          <w:tcPr>
            <w:tcW w:w="1781" w:type="dxa"/>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and the checker reviews your draft on the same business day you submit it (the time comes from the trainer's buffer or review time); more than 15, the normal process.</w:t>
      </w:r>
    </w:p>
    <w:bookmarkEnd w:id="160"/>
    <w:bookmarkStart w:id="161" w:name="X19ec63e09d79af457cf803a28b87494b2470c9e"/>
    <w:p>
      <w:pPr>
        <w:pStyle w:val="Heading4"/>
      </w:pPr>
      <w:r>
        <w:t xml:space="preserve">Weekly, Friday, 45 minutes (from W5; when Friday is not a working day, the last working day of that week)</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61"/>
    <w:bookmarkStart w:id="162" w:name="research-log-columns"/>
    <w:p>
      <w:pPr>
        <w:pStyle w:val="Heading4"/>
      </w:pPr>
      <w:r>
        <w:t xml:space="preserve">Research log columns</w:t>
      </w:r>
    </w:p>
    <w:tbl>
      <w:tblPr>
        <w:tblStyle w:val="Table"/>
        <w:tblW w:type="dxa" w:w="9360"/>
        <w:tblLook w:firstRow="1" w:lastRow="0" w:firstColumn="0" w:lastColumn="0" w:noHBand="0" w:noVBand="0" w:val="0020"/>
        <w:jc w:val="start"/>
        <w:tblLayout w:type="fixed"/>
      </w:tblPr>
      <w:tblGrid>
        <w:gridCol w:w="1610"/>
        <w:gridCol w:w="2564"/>
        <w:gridCol w:w="1253"/>
        <w:gridCol w:w="1518"/>
        <w:gridCol w:w="1379"/>
        <w:gridCol w:w="1035"/>
      </w:tblGrid>
      <w:tr>
        <w:trPr>
          <w:tblHeader w:val="true"/>
        </w:trPr>
        <w:tc>
          <w:tcPr>
            <w:tcW w:w="1610" w:type="dxa"/>
          </w:tcPr>
          <w:p>
            <w:pPr>
              <w:pStyle w:val="Compact"/>
              <w:jc w:val="left"/>
            </w:pPr>
            <w:r>
              <w:t xml:space="preserve">Date found</w:t>
            </w:r>
          </w:p>
        </w:tc>
        <w:tc>
          <w:tcPr>
            <w:tcW w:w="2564" w:type="dxa"/>
          </w:tcPr>
          <w:p>
            <w:pPr>
              <w:pStyle w:val="Compact"/>
              <w:jc w:val="left"/>
            </w:pPr>
            <w:r>
              <w:t xml:space="preserve">Source and link</w:t>
            </w:r>
          </w:p>
        </w:tc>
        <w:tc>
          <w:tcPr>
            <w:tcW w:w="1253" w:type="dxa"/>
          </w:tcPr>
          <w:p>
            <w:pPr>
              <w:pStyle w:val="Compact"/>
              <w:jc w:val="left"/>
            </w:pPr>
            <w:r>
              <w:t xml:space="preserve">What it is (one line)</w:t>
            </w:r>
          </w:p>
        </w:tc>
        <w:tc>
          <w:tcPr>
            <w:tcW w:w="1518" w:type="dxa"/>
          </w:tcPr>
          <w:p>
            <w:pPr>
              <w:pStyle w:val="Compact"/>
              <w:jc w:val="left"/>
            </w:pPr>
            <w:r>
              <w:t xml:space="preserve">Countries and HTS touched</w:t>
            </w:r>
          </w:p>
        </w:tc>
        <w:tc>
          <w:tcPr>
            <w:tcW w:w="1379" w:type="dxa"/>
          </w:tcPr>
          <w:p>
            <w:pPr>
              <w:pStyle w:val="Compact"/>
              <w:jc w:val="left"/>
            </w:pPr>
            <w:r>
              <w:t xml:space="preserve">May affect us? Next step</w:t>
            </w:r>
          </w:p>
        </w:tc>
        <w:tc>
          <w:tcPr>
            <w:tcW w:w="1035" w:type="dxa"/>
          </w:tcPr>
          <w:p>
            <w:pPr>
              <w:pStyle w:val="Compact"/>
              <w:jc w:val="left"/>
            </w:pPr>
            <w:r>
              <w:t xml:space="preserve">Jira key</w:t>
            </w:r>
          </w:p>
        </w:tc>
      </w:tr>
      <w:tr>
        <w:tc>
          <w:tcPr>
            <w:tcW w:w="1610" w:type="dxa"/>
          </w:tcPr>
          <w:p>
            <w:pPr>
              <w:pStyle w:val="Compact"/>
              <w:jc w:val="left"/>
            </w:pPr>
            <w:r>
              <w:t xml:space="preserve">[YYYY-MM-DD]</w:t>
            </w:r>
          </w:p>
        </w:tc>
        <w:tc>
          <w:tcPr>
            <w:tcW w:w="2564" w:type="dxa"/>
          </w:tcPr>
          <w:p>
            <w:pPr>
              <w:pStyle w:val="Compact"/>
              <w:jc w:val="left"/>
            </w:pPr>
            <w:r>
              <w:t xml:space="preserve">[CSMS number, FR citation, Gazette SOR, DOF date and link]</w:t>
            </w:r>
          </w:p>
        </w:tc>
        <w:tc>
          <w:tcPr>
            <w:tcW w:w="1253" w:type="dxa"/>
          </w:tcPr>
          <w:p>
            <w:pPr>
              <w:pStyle w:val="Compact"/>
              <w:jc w:val="left"/>
            </w:pPr>
            <w:r>
              <w:t xml:space="preserve">[Action in plain words]</w:t>
            </w:r>
          </w:p>
        </w:tc>
        <w:tc>
          <w:tcPr>
            <w:tcW w:w="1518" w:type="dxa"/>
          </w:tcPr>
          <w:p>
            <w:pPr>
              <w:pStyle w:val="Compact"/>
              <w:jc w:val="left"/>
            </w:pPr>
            <w:r>
              <w:t xml:space="preserve">[Countries; chapters or HTS]</w:t>
            </w:r>
          </w:p>
        </w:tc>
        <w:tc>
          <w:tcPr>
            <w:tcW w:w="1379" w:type="dxa"/>
          </w:tcPr>
          <w:p>
            <w:pPr>
              <w:pStyle w:val="Compact"/>
              <w:jc w:val="left"/>
            </w:pPr>
            <w:r>
              <w:t xml:space="preserve">[Yes, No or ?; next step]</w:t>
            </w:r>
          </w:p>
        </w:tc>
        <w:tc>
          <w:tcPr>
            <w:tcW w:w="1035" w:type="dxa"/>
          </w:tcPr>
          <w:p>
            <w:pPr>
              <w:pStyle w:val="Compact"/>
              <w:jc w:val="left"/>
            </w:pPr>
            <w:r>
              <w:t xml:space="preserve">[Key or "none"]</w:t>
            </w:r>
          </w:p>
        </w:tc>
      </w:tr>
    </w:tbl>
    <w:bookmarkEnd w:id="162"/>
    <w:bookmarkEnd w:id="163"/>
    <w:bookmarkStart w:id="164"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dxa" w:w="9360"/>
        <w:tblLook w:firstRow="1" w:lastRow="0" w:firstColumn="0" w:lastColumn="0" w:noHBand="0" w:noVBand="0" w:val="0020"/>
        <w:jc w:val="start"/>
        <w:tblLayout w:type="fixed"/>
      </w:tblPr>
      <w:tblGrid>
        <w:gridCol w:w="900"/>
        <w:gridCol w:w="1725"/>
        <w:gridCol w:w="2434"/>
        <w:gridCol w:w="1955"/>
        <w:gridCol w:w="2345"/>
      </w:tblGrid>
      <w:tr>
        <w:trPr>
          <w:tblHeader w:val="true"/>
        </w:trPr>
        <w:tc>
          <w:tcPr>
            <w:tcW w:w="900" w:type="dxa"/>
          </w:tcPr>
          <w:p>
            <w:pPr>
              <w:pStyle w:val="Compact"/>
              <w:jc w:val="left"/>
            </w:pPr>
            <w:r>
              <w:t xml:space="preserve">#</w:t>
            </w:r>
          </w:p>
        </w:tc>
        <w:tc>
          <w:tcPr>
            <w:tcW w:w="1725" w:type="dxa"/>
          </w:tcPr>
          <w:p>
            <w:pPr>
              <w:pStyle w:val="Compact"/>
              <w:jc w:val="left"/>
            </w:pPr>
            <w:r>
              <w:t xml:space="preserve">Check</w:t>
            </w:r>
          </w:p>
        </w:tc>
        <w:tc>
          <w:tcPr>
            <w:tcW w:w="2434" w:type="dxa"/>
          </w:tcPr>
          <w:p>
            <w:pPr>
              <w:pStyle w:val="Compact"/>
              <w:jc w:val="left"/>
            </w:pPr>
            <w:r>
              <w:t xml:space="preserve">What to record (brief part)</w:t>
            </w:r>
          </w:p>
        </w:tc>
        <w:tc>
          <w:tcPr>
            <w:tcW w:w="1955" w:type="dxa"/>
          </w:tcPr>
          <w:p>
            <w:pPr>
              <w:pStyle w:val="Compact"/>
              <w:jc w:val="left"/>
            </w:pPr>
            <w:r>
              <w:t xml:space="preserve">Where it usually is</w:t>
            </w:r>
          </w:p>
        </w:tc>
        <w:tc>
          <w:tcPr>
            <w:tcW w:w="2345" w:type="dxa"/>
          </w:tcPr>
          <w:p>
            <w:pPr>
              <w:pStyle w:val="Compact"/>
              <w:jc w:val="left"/>
            </w:pPr>
            <w:r>
              <w:t xml:space="preserve">Common trap</w:t>
            </w:r>
          </w:p>
        </w:tc>
      </w:tr>
      <w:tr>
        <w:tc>
          <w:tcPr>
            <w:tcW w:w="900" w:type="dxa"/>
          </w:tcPr>
          <w:p>
            <w:pPr>
              <w:pStyle w:val="Compact"/>
              <w:jc w:val="left"/>
            </w:pPr>
            <w:r>
              <w:t xml:space="preserve">1</w:t>
            </w:r>
          </w:p>
        </w:tc>
        <w:tc>
          <w:tcPr>
            <w:tcW w:w="1725" w:type="dxa"/>
          </w:tcPr>
          <w:p>
            <w:pPr>
              <w:pStyle w:val="Compact"/>
              <w:jc w:val="left"/>
            </w:pPr>
            <w:r>
              <w:t xml:space="preserve">Legal authority and instrument</w:t>
            </w:r>
          </w:p>
        </w:tc>
        <w:tc>
          <w:tcPr>
            <w:tcW w:w="2434" w:type="dxa"/>
          </w:tcPr>
          <w:p>
            <w:pPr>
              <w:pStyle w:val="Compact"/>
              <w:jc w:val="left"/>
            </w:pPr>
            <w:r>
              <w:t xml:space="preserve">Statute, instrument, number, date, issuer; new action, change or extension; any litigation (Part 3)</w:t>
            </w:r>
          </w:p>
        </w:tc>
        <w:tc>
          <w:tcPr>
            <w:tcW w:w="1955" w:type="dxa"/>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tcW w:w="2345" w:type="dxa"/>
          </w:tcPr>
          <w:p>
            <w:pPr>
              <w:pStyle w:val="Compact"/>
              <w:jc w:val="left"/>
            </w:pPr>
            <w:r>
              <w:t xml:space="preserve">Treating a press release or fact sheet as the action</w:t>
            </w:r>
          </w:p>
        </w:tc>
      </w:tr>
      <w:tr>
        <w:tc>
          <w:tcPr>
            <w:tcW w:w="900" w:type="dxa"/>
          </w:tcPr>
          <w:p>
            <w:pPr>
              <w:pStyle w:val="Compact"/>
              <w:jc w:val="left"/>
            </w:pPr>
            <w:r>
              <w:t xml:space="preserve">2</w:t>
            </w:r>
          </w:p>
        </w:tc>
        <w:tc>
          <w:tcPr>
            <w:tcW w:w="1725" w:type="dxa"/>
          </w:tcPr>
          <w:p>
            <w:pPr>
              <w:pStyle w:val="Compact"/>
              <w:jc w:val="left"/>
            </w:pPr>
            <w:r>
              <w:t xml:space="preserve">Effective date, time and basis</w:t>
            </w:r>
          </w:p>
        </w:tc>
        <w:tc>
          <w:tcPr>
            <w:tcW w:w="2434" w:type="dxa"/>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tcW w:w="1955" w:type="dxa"/>
          </w:tcPr>
          <w:p>
            <w:pPr>
              <w:pStyle w:val="Compact"/>
              <w:jc w:val="left"/>
            </w:pPr>
            <w:r>
              <w:t xml:space="preserve">The effective-date section or annex note; the CSMS message</w:t>
            </w:r>
          </w:p>
        </w:tc>
        <w:tc>
          <w:tcPr>
            <w:tcW w:w="2345" w:type="dxa"/>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tcW w:w="900" w:type="dxa"/>
          </w:tcPr>
          <w:p>
            <w:pPr>
              <w:pStyle w:val="Compact"/>
              <w:jc w:val="left"/>
            </w:pPr>
            <w:r>
              <w:t xml:space="preserve">3</w:t>
            </w:r>
          </w:p>
        </w:tc>
        <w:tc>
          <w:tcPr>
            <w:tcW w:w="1725" w:type="dxa"/>
          </w:tcPr>
          <w:p>
            <w:pPr>
              <w:pStyle w:val="Compact"/>
              <w:jc w:val="left"/>
            </w:pPr>
            <w:r>
              <w:t xml:space="preserve">End date, step changes, reviews</w:t>
            </w:r>
          </w:p>
        </w:tc>
        <w:tc>
          <w:tcPr>
            <w:tcW w:w="2434" w:type="dxa"/>
          </w:tcPr>
          <w:p>
            <w:pPr>
              <w:pStyle w:val="Compact"/>
              <w:jc w:val="left"/>
            </w:pPr>
            <w:r>
              <w:t xml:space="preserve">Sunset, statutory limit (for example 150 days for Section 122), scheduled increases, quotas, exclusion expiries, company-specific start dates (Part 5)</w:t>
            </w:r>
          </w:p>
        </w:tc>
        <w:tc>
          <w:tcPr>
            <w:tcW w:w="1955" w:type="dxa"/>
          </w:tcPr>
          <w:p>
            <w:pPr>
              <w:pStyle w:val="Compact"/>
              <w:jc w:val="left"/>
            </w:pPr>
            <w:r>
              <w:t xml:space="preserve">Same section; later notices</w:t>
            </w:r>
          </w:p>
        </w:tc>
        <w:tc>
          <w:tcPr>
            <w:tcW w:w="2345" w:type="dxa"/>
          </w:tcPr>
          <w:p>
            <w:pPr>
              <w:pStyle w:val="Compact"/>
              <w:jc w:val="left"/>
            </w:pPr>
            <w:r>
              <w:t xml:space="preserve">Missing a step change that falls inside the cost period</w:t>
            </w:r>
          </w:p>
        </w:tc>
      </w:tr>
      <w:tr>
        <w:tc>
          <w:tcPr>
            <w:tcW w:w="900" w:type="dxa"/>
          </w:tcPr>
          <w:p>
            <w:pPr>
              <w:pStyle w:val="Compact"/>
              <w:jc w:val="left"/>
            </w:pPr>
            <w:r>
              <w:t xml:space="preserve">4</w:t>
            </w:r>
          </w:p>
        </w:tc>
        <w:tc>
          <w:tcPr>
            <w:tcW w:w="1725" w:type="dxa"/>
          </w:tcPr>
          <w:p>
            <w:pPr>
              <w:pStyle w:val="Compact"/>
              <w:jc w:val="left"/>
            </w:pPr>
            <w:r>
              <w:t xml:space="preserve">Scope by HTS and Chapter 99</w:t>
            </w:r>
          </w:p>
        </w:tc>
        <w:tc>
          <w:tcPr>
            <w:tcW w:w="2434" w:type="dxa"/>
          </w:tcPr>
          <w:p>
            <w:pPr>
              <w:pStyle w:val="Compact"/>
              <w:jc w:val="left"/>
            </w:pPr>
            <w:r>
              <w:t xml:space="preserve">Annex lists as text, their digit level, the Chapter 99 headings and U.S. notes (Part 6.1)</w:t>
            </w:r>
          </w:p>
        </w:tc>
        <w:tc>
          <w:tcPr>
            <w:tcW w:w="1955" w:type="dxa"/>
          </w:tcPr>
          <w:p>
            <w:pPr>
              <w:pStyle w:val="Compact"/>
              <w:jc w:val="left"/>
            </w:pPr>
            <w:r>
              <w:t xml:space="preserve">Annexes; HTSUS Chapter 99; CSMS</w:t>
            </w:r>
          </w:p>
        </w:tc>
        <w:tc>
          <w:tcPr>
            <w:tcW w:w="2345" w:type="dxa"/>
          </w:tcPr>
          <w:p>
            <w:pPr>
              <w:pStyle w:val="Compact"/>
              <w:jc w:val="left"/>
            </w:pPr>
            <w:r>
              <w:t xml:space="preserve">Retyping lists; mixing 8-digit and 10-digit lists; missing a later annex change (Section 338 added 122 lines two weeks after it started)</w:t>
            </w:r>
          </w:p>
        </w:tc>
      </w:tr>
      <w:tr>
        <w:tc>
          <w:tcPr>
            <w:tcW w:w="900" w:type="dxa"/>
          </w:tcPr>
          <w:p>
            <w:pPr>
              <w:pStyle w:val="Compact"/>
              <w:jc w:val="left"/>
            </w:pPr>
            <w:r>
              <w:t xml:space="preserve">5</w:t>
            </w:r>
          </w:p>
        </w:tc>
        <w:tc>
          <w:tcPr>
            <w:tcW w:w="1725" w:type="dxa"/>
          </w:tcPr>
          <w:p>
            <w:pPr>
              <w:pStyle w:val="Compact"/>
              <w:jc w:val="left"/>
            </w:pPr>
            <w:r>
              <w:t xml:space="preserve">Product scope language</w:t>
            </w:r>
          </w:p>
        </w:tc>
        <w:tc>
          <w:tcPr>
            <w:tcW w:w="2434" w:type="dxa"/>
          </w:tcPr>
          <w:p>
            <w:pPr>
              <w:pStyle w:val="Compact"/>
              <w:jc w:val="left"/>
            </w:pPr>
            <w:r>
              <w:t xml:space="preserve">Narrative scope, "derivative" and "parts" definitions, what the text adds to or removes from the HTS list (Part 6.3)</w:t>
            </w:r>
          </w:p>
        </w:tc>
        <w:tc>
          <w:tcPr>
            <w:tcW w:w="1955" w:type="dxa"/>
          </w:tcPr>
          <w:p>
            <w:pPr>
              <w:pStyle w:val="Compact"/>
              <w:jc w:val="left"/>
            </w:pPr>
            <w:r>
              <w:t xml:space="preserve">Body of the instrument; definitions section</w:t>
            </w:r>
          </w:p>
        </w:tc>
        <w:tc>
          <w:tcPr>
            <w:tcW w:w="2345" w:type="dxa"/>
          </w:tcPr>
          <w:p>
            <w:pPr>
              <w:pStyle w:val="Compact"/>
              <w:jc w:val="left"/>
            </w:pPr>
            <w:r>
              <w:t xml:space="preserve">Assuming the HTS list is the whole scope, or that a list title ("motor vehicles") describes everything on it. For AD/CVD the written scope decides</w:t>
            </w:r>
          </w:p>
        </w:tc>
      </w:tr>
      <w:tr>
        <w:tc>
          <w:tcPr>
            <w:tcW w:w="900" w:type="dxa"/>
          </w:tcPr>
          <w:p>
            <w:pPr>
              <w:pStyle w:val="Compact"/>
              <w:jc w:val="left"/>
            </w:pPr>
            <w:r>
              <w:t xml:space="preserve">6</w:t>
            </w:r>
          </w:p>
        </w:tc>
        <w:tc>
          <w:tcPr>
            <w:tcW w:w="1725" w:type="dxa"/>
          </w:tcPr>
          <w:p>
            <w:pPr>
              <w:pStyle w:val="Compact"/>
              <w:jc w:val="left"/>
            </w:pPr>
            <w:r>
              <w:t xml:space="preserve">Country of origin</w:t>
            </w:r>
          </w:p>
        </w:tc>
        <w:tc>
          <w:tcPr>
            <w:tcW w:w="2434" w:type="dxa"/>
          </w:tcPr>
          <w:p>
            <w:pPr>
              <w:pStyle w:val="Compact"/>
              <w:jc w:val="left"/>
            </w:pPr>
            <w:r>
              <w:t xml:space="preserve">Which origin rule the action uses (Part 6.2)</w:t>
            </w:r>
          </w:p>
        </w:tc>
        <w:tc>
          <w:tcPr>
            <w:tcW w:w="1955" w:type="dxa"/>
          </w:tcPr>
          <w:p>
            <w:pPr>
              <w:pStyle w:val="Compact"/>
              <w:jc w:val="left"/>
            </w:pPr>
            <w:r>
              <w:t xml:space="preserve">Instrument; CBP guidance</w:t>
            </w:r>
          </w:p>
        </w:tc>
        <w:tc>
          <w:tcPr>
            <w:tcW w:w="2345" w:type="dxa"/>
          </w:tcPr>
          <w:p>
            <w:pPr>
              <w:pStyle w:val="Compact"/>
              <w:jc w:val="left"/>
            </w:pPr>
            <w:r>
              <w:t xml:space="preserve">Using the supplier's or ship-from country. Rules differ: substantial transformation, melt-and-pour (steel), smelt-and-cast (aluminum), marking rules</w:t>
            </w:r>
          </w:p>
        </w:tc>
      </w:tr>
      <w:tr>
        <w:tc>
          <w:tcPr>
            <w:tcW w:w="900" w:type="dxa"/>
          </w:tcPr>
          <w:p>
            <w:pPr>
              <w:pStyle w:val="Compact"/>
              <w:jc w:val="left"/>
            </w:pPr>
            <w:r>
              <w:t xml:space="preserve">7</w:t>
            </w:r>
          </w:p>
        </w:tc>
        <w:tc>
          <w:tcPr>
            <w:tcW w:w="1725" w:type="dxa"/>
          </w:tcPr>
          <w:p>
            <w:pPr>
              <w:pStyle w:val="Compact"/>
              <w:jc w:val="left"/>
            </w:pPr>
            <w:r>
              <w:t xml:space="preserve">Content and value base</w:t>
            </w:r>
          </w:p>
        </w:tc>
        <w:tc>
          <w:tcPr>
            <w:tcW w:w="2434" w:type="dxa"/>
          </w:tcPr>
          <w:p>
            <w:pPr>
              <w:pStyle w:val="Compact"/>
              <w:jc w:val="left"/>
            </w:pPr>
            <w:r>
              <w:t xml:space="preserve">Whether the duty applies to the full value or only part of it. The current partial-value examples are the non-US content of Commerce-approved USMCA vehicles and trucks under Section 232, and the non-US content (plus any US content above 40% of value) of USMCA-qualifying Annex I-C equipment under the Section 232 metals regime (Proclamation 11032, to 2027-12-31). The metal-content base for Section 232 derivatives applied only to entries before 2026-04-06; since then the metals duty is on full value, with a 15% weight test. What must be reported (content value, metal weight, country of melt or smelt) (Parts 6.3 and 7)</w:t>
            </w:r>
          </w:p>
        </w:tc>
        <w:tc>
          <w:tcPr>
            <w:tcW w:w="1955" w:type="dxa"/>
          </w:tcPr>
          <w:p>
            <w:pPr>
              <w:pStyle w:val="Compact"/>
              <w:jc w:val="left"/>
            </w:pPr>
            <w:r>
              <w:t xml:space="preserve">Instrument; CSMS; CBP FAQs</w:t>
            </w:r>
          </w:p>
        </w:tc>
        <w:tc>
          <w:tcPr>
            <w:tcW w:w="2345" w:type="dxa"/>
          </w:tcPr>
          <w:p>
            <w:pPr>
              <w:pStyle w:val="Compact"/>
              <w:jc w:val="left"/>
            </w:pPr>
            <w:r>
              <w:t xml:space="preserve">Applying an old content base after the rule changed, or the full value where a content base applies</w:t>
            </w:r>
          </w:p>
        </w:tc>
      </w:tr>
      <w:tr>
        <w:tc>
          <w:tcPr>
            <w:tcW w:w="900" w:type="dxa"/>
          </w:tcPr>
          <w:p>
            <w:pPr>
              <w:pStyle w:val="Compact"/>
              <w:jc w:val="left"/>
            </w:pPr>
            <w:r>
              <w:t xml:space="preserve">8</w:t>
            </w:r>
          </w:p>
        </w:tc>
        <w:tc>
          <w:tcPr>
            <w:tcW w:w="1725" w:type="dxa"/>
          </w:tcPr>
          <w:p>
            <w:pPr>
              <w:pStyle w:val="Compact"/>
              <w:jc w:val="left"/>
            </w:pPr>
            <w:r>
              <w:t xml:space="preserve">Exclusions and exemptions</w:t>
            </w:r>
          </w:p>
        </w:tc>
        <w:tc>
          <w:tcPr>
            <w:tcW w:w="2434" w:type="dxa"/>
          </w:tcPr>
          <w:p>
            <w:pPr>
              <w:pStyle w:val="Compact"/>
              <w:jc w:val="left"/>
            </w:pPr>
            <w:r>
              <w:t xml:space="preserve">Each one: type (HTS, description, end use, certificate, date-limited, company-specific), how we identify our items, evidence at entry, expiry (Part 6.4)</w:t>
            </w:r>
          </w:p>
        </w:tc>
        <w:tc>
          <w:tcPr>
            <w:tcW w:w="1955" w:type="dxa"/>
          </w:tcPr>
          <w:p>
            <w:pPr>
              <w:pStyle w:val="Compact"/>
              <w:jc w:val="left"/>
            </w:pPr>
            <w:r>
              <w:t xml:space="preserve">Annexes; exclusion notices; CSMS</w:t>
            </w:r>
          </w:p>
        </w:tc>
        <w:tc>
          <w:tcPr>
            <w:tcW w:w="2345" w:type="dxa"/>
          </w:tcPr>
          <w:p>
            <w:pPr>
              <w:pStyle w:val="Compact"/>
              <w:jc w:val="left"/>
            </w:pPr>
            <w:r>
              <w:t xml:space="preserve">An exclusion narrower than the HTS line; an expired exclusion still flagged in our data</w:t>
            </w:r>
          </w:p>
        </w:tc>
      </w:tr>
      <w:tr>
        <w:tc>
          <w:tcPr>
            <w:tcW w:w="900" w:type="dxa"/>
          </w:tcPr>
          <w:p>
            <w:pPr>
              <w:pStyle w:val="Compact"/>
              <w:jc w:val="left"/>
            </w:pPr>
            <w:r>
              <w:t xml:space="preserve">9</w:t>
            </w:r>
          </w:p>
        </w:tc>
        <w:tc>
          <w:tcPr>
            <w:tcW w:w="1725" w:type="dxa"/>
          </w:tcPr>
          <w:p>
            <w:pPr>
              <w:pStyle w:val="Compact"/>
              <w:jc w:val="left"/>
            </w:pPr>
            <w:r>
              <w:t xml:space="preserve">Stacking and interaction</w:t>
            </w:r>
          </w:p>
        </w:tc>
        <w:tc>
          <w:tcPr>
            <w:tcW w:w="2434" w:type="dxa"/>
          </w:tcPr>
          <w:p>
            <w:pPr>
              <w:pStyle w:val="Compact"/>
              <w:jc w:val="left"/>
            </w:pPr>
            <w:r>
              <w:t xml:space="preserve">With the base rate, other Chapter 99 duties, AD/CVD and surtaxes; filing order (Part 6.6)</w:t>
            </w:r>
          </w:p>
        </w:tc>
        <w:tc>
          <w:tcPr>
            <w:tcW w:w="1955" w:type="dxa"/>
          </w:tcPr>
          <w:p>
            <w:pPr>
              <w:pStyle w:val="Compact"/>
              <w:jc w:val="left"/>
            </w:pPr>
            <w:r>
              <w:t xml:space="preserve">"Does not apply to" paragraphs; CSMS reporting-order guidance</w:t>
            </w:r>
          </w:p>
        </w:tc>
        <w:tc>
          <w:tcPr>
            <w:tcW w:w="2345" w:type="dxa"/>
          </w:tcPr>
          <w:p>
            <w:pPr>
              <w:pStyle w:val="Compact"/>
              <w:jc w:val="left"/>
            </w:pPr>
            <w:r>
              <w:t xml:space="preserve">Double-counting; assuming non-stacking without a text</w:t>
            </w:r>
          </w:p>
        </w:tc>
      </w:tr>
      <w:tr>
        <w:tc>
          <w:tcPr>
            <w:tcW w:w="900" w:type="dxa"/>
          </w:tcPr>
          <w:p>
            <w:pPr>
              <w:pStyle w:val="Compact"/>
              <w:jc w:val="left"/>
            </w:pPr>
            <w:r>
              <w:t xml:space="preserve">10</w:t>
            </w:r>
          </w:p>
        </w:tc>
        <w:tc>
          <w:tcPr>
            <w:tcW w:w="1725" w:type="dxa"/>
          </w:tcPr>
          <w:p>
            <w:pPr>
              <w:pStyle w:val="Compact"/>
              <w:jc w:val="left"/>
            </w:pPr>
            <w:r>
              <w:t xml:space="preserve">USMCA treatment</w:t>
            </w:r>
          </w:p>
        </w:tc>
        <w:tc>
          <w:tcPr>
            <w:tcW w:w="2434" w:type="dxa"/>
          </w:tcPr>
          <w:p>
            <w:pPr>
              <w:pStyle w:val="Compact"/>
              <w:jc w:val="left"/>
            </w:pPr>
            <w:r>
              <w:t xml:space="preserve">Exempt, partly exempt (non-US content) or no exemption; evidence needed (Part 6.5)</w:t>
            </w:r>
          </w:p>
        </w:tc>
        <w:tc>
          <w:tcPr>
            <w:tcW w:w="1955" w:type="dxa"/>
          </w:tcPr>
          <w:p>
            <w:pPr>
              <w:pStyle w:val="Compact"/>
              <w:jc w:val="left"/>
            </w:pPr>
            <w:r>
              <w:t xml:space="preserve">Instrument; CSMS</w:t>
            </w:r>
          </w:p>
        </w:tc>
        <w:tc>
          <w:tcPr>
            <w:tcW w:w="2345" w:type="dxa"/>
          </w:tcPr>
          <w:p>
            <w:pPr>
              <w:pStyle w:val="Compact"/>
              <w:jc w:val="left"/>
            </w:pPr>
            <w:r>
              <w:t xml:space="preserve">"Made in Mexico" is not "USMCA-qualifying". Several 2026 carve-outs cover only goods "entered free of duty under USMCA", so the claim must be on the entry line and the certification current. Section 338 gives no USMCA relief; the Section 232 metals regime gives it only for Annex I-C equipment (non-US content, to 2027-12-31)</w:t>
            </w:r>
          </w:p>
        </w:tc>
      </w:tr>
      <w:tr>
        <w:tc>
          <w:tcPr>
            <w:tcW w:w="900" w:type="dxa"/>
          </w:tcPr>
          <w:p>
            <w:pPr>
              <w:pStyle w:val="Compact"/>
              <w:jc w:val="left"/>
            </w:pPr>
            <w:r>
              <w:t xml:space="preserve">11</w:t>
            </w:r>
          </w:p>
        </w:tc>
        <w:tc>
          <w:tcPr>
            <w:tcW w:w="1725" w:type="dxa"/>
          </w:tcPr>
          <w:p>
            <w:pPr>
              <w:pStyle w:val="Compact"/>
              <w:jc w:val="left"/>
            </w:pPr>
            <w:r>
              <w:t xml:space="preserve">De minimis and low-value</w:t>
            </w:r>
          </w:p>
        </w:tc>
        <w:tc>
          <w:tcPr>
            <w:tcW w:w="2434" w:type="dxa"/>
          </w:tcPr>
          <w:p>
            <w:pPr>
              <w:pStyle w:val="Compact"/>
              <w:jc w:val="left"/>
            </w:pPr>
            <w:r>
              <w:t xml:space="preserve">Does it apply regardless of value; postal shipments; current Section 321 status (Part 6.7)</w:t>
            </w:r>
          </w:p>
        </w:tc>
        <w:tc>
          <w:tcPr>
            <w:tcW w:w="1955" w:type="dxa"/>
          </w:tcPr>
          <w:p>
            <w:pPr>
              <w:pStyle w:val="Compact"/>
              <w:jc w:val="left"/>
            </w:pPr>
            <w:r>
              <w:t xml:space="preserve">Instrument; CSMS; Part 1 of this document</w:t>
            </w:r>
          </w:p>
        </w:tc>
        <w:tc>
          <w:tcPr>
            <w:tcW w:w="2345" w:type="dxa"/>
          </w:tcPr>
          <w:p>
            <w:pPr>
              <w:pStyle w:val="Compact"/>
              <w:jc w:val="left"/>
            </w:pPr>
            <w:r>
              <w:t xml:space="preserve">Assuming low-value shipments are outside scope</w:t>
            </w:r>
          </w:p>
        </w:tc>
      </w:tr>
      <w:tr>
        <w:tc>
          <w:tcPr>
            <w:tcW w:w="900" w:type="dxa"/>
          </w:tcPr>
          <w:p>
            <w:pPr>
              <w:pStyle w:val="Compact"/>
              <w:jc w:val="left"/>
            </w:pPr>
            <w:r>
              <w:t xml:space="preserve">12</w:t>
            </w:r>
          </w:p>
        </w:tc>
        <w:tc>
          <w:tcPr>
            <w:tcW w:w="1725" w:type="dxa"/>
          </w:tcPr>
          <w:p>
            <w:pPr>
              <w:pStyle w:val="Compact"/>
              <w:jc w:val="left"/>
            </w:pPr>
            <w:r>
              <w:t xml:space="preserve">In-transit provision</w:t>
            </w:r>
          </w:p>
        </w:tc>
        <w:tc>
          <w:tcPr>
            <w:tcW w:w="2434" w:type="dxa"/>
          </w:tcPr>
          <w:p>
            <w:pPr>
              <w:pStyle w:val="Compact"/>
              <w:jc w:val="left"/>
            </w:pPr>
            <w:r>
              <w:t xml:space="preserve">Both dates and conditions; the Chapter 99 number or method used to claim it (Part 5)</w:t>
            </w:r>
          </w:p>
        </w:tc>
        <w:tc>
          <w:tcPr>
            <w:tcW w:w="1955" w:type="dxa"/>
          </w:tcPr>
          <w:p>
            <w:pPr>
              <w:pStyle w:val="Compact"/>
              <w:jc w:val="left"/>
            </w:pPr>
            <w:r>
              <w:t xml:space="preserve">Instrument; CSMS</w:t>
            </w:r>
          </w:p>
        </w:tc>
        <w:tc>
          <w:tcPr>
            <w:tcW w:w="2345" w:type="dxa"/>
          </w:tcPr>
          <w:p>
            <w:pPr>
              <w:pStyle w:val="Compact"/>
              <w:jc w:val="left"/>
            </w:pPr>
            <w:r>
              <w:t xml:space="preserve">Missing the second date (entered before...); no proof of loading date</w:t>
            </w:r>
          </w:p>
        </w:tc>
      </w:tr>
      <w:tr>
        <w:tc>
          <w:tcPr>
            <w:tcW w:w="900" w:type="dxa"/>
          </w:tcPr>
          <w:p>
            <w:pPr>
              <w:pStyle w:val="Compact"/>
              <w:jc w:val="left"/>
            </w:pPr>
            <w:r>
              <w:t xml:space="preserve">13</w:t>
            </w:r>
          </w:p>
        </w:tc>
        <w:tc>
          <w:tcPr>
            <w:tcW w:w="1725" w:type="dxa"/>
          </w:tcPr>
          <w:p>
            <w:pPr>
              <w:pStyle w:val="Compact"/>
              <w:jc w:val="left"/>
            </w:pPr>
            <w:r>
              <w:t xml:space="preserve">Drawback</w:t>
            </w:r>
          </w:p>
        </w:tc>
        <w:tc>
          <w:tcPr>
            <w:tcW w:w="2434" w:type="dxa"/>
          </w:tcPr>
          <w:p>
            <w:pPr>
              <w:pStyle w:val="Compact"/>
              <w:jc w:val="left"/>
            </w:pPr>
            <w:r>
              <w:t xml:space="preserve">Quote what the instrument says, or "silent"; send to the Senior (Part 6.8)</w:t>
            </w:r>
          </w:p>
        </w:tc>
        <w:tc>
          <w:tcPr>
            <w:tcW w:w="1955" w:type="dxa"/>
          </w:tcPr>
          <w:p>
            <w:pPr>
              <w:pStyle w:val="Compact"/>
              <w:jc w:val="left"/>
            </w:pPr>
            <w:r>
              <w:t xml:space="preserve">Instrument; CBP guidance; drawback CSMS messages</w:t>
            </w:r>
          </w:p>
        </w:tc>
        <w:tc>
          <w:tcPr>
            <w:tcW w:w="2345" w:type="dxa"/>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tcW w:w="900" w:type="dxa"/>
          </w:tcPr>
          <w:p>
            <w:pPr>
              <w:pStyle w:val="Compact"/>
              <w:jc w:val="left"/>
            </w:pPr>
            <w:r>
              <w:t xml:space="preserve">14</w:t>
            </w:r>
          </w:p>
        </w:tc>
        <w:tc>
          <w:tcPr>
            <w:tcW w:w="1725" w:type="dxa"/>
          </w:tcPr>
          <w:p>
            <w:pPr>
              <w:pStyle w:val="Compact"/>
              <w:jc w:val="left"/>
            </w:pPr>
            <w:r>
              <w:t xml:space="preserve">Refund, protest and retroactivity</w:t>
            </w:r>
          </w:p>
        </w:tc>
        <w:tc>
          <w:tcPr>
            <w:tcW w:w="2434" w:type="dxa"/>
          </w:tcPr>
          <w:p>
            <w:pPr>
              <w:pStyle w:val="Compact"/>
              <w:jc w:val="left"/>
            </w:pPr>
            <w:r>
              <w:t xml:space="preserve">Retroactive dates; how corrections or refunds would work; deadlines (Part 5)</w:t>
            </w:r>
          </w:p>
        </w:tc>
        <w:tc>
          <w:tcPr>
            <w:tcW w:w="1955" w:type="dxa"/>
          </w:tcPr>
          <w:p>
            <w:pPr>
              <w:pStyle w:val="Compact"/>
              <w:jc w:val="left"/>
            </w:pPr>
            <w:r>
              <w:t xml:space="preserve">Instrument; CSMS; counsel</w:t>
            </w:r>
          </w:p>
        </w:tc>
        <w:tc>
          <w:tcPr>
            <w:tcW w:w="2345" w:type="dxa"/>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tcW w:w="900" w:type="dxa"/>
          </w:tcPr>
          <w:p>
            <w:pPr>
              <w:pStyle w:val="Compact"/>
              <w:jc w:val="left"/>
            </w:pPr>
            <w:r>
              <w:t xml:space="preserve">15</w:t>
            </w:r>
          </w:p>
        </w:tc>
        <w:tc>
          <w:tcPr>
            <w:tcW w:w="1725" w:type="dxa"/>
          </w:tcPr>
          <w:p>
            <w:pPr>
              <w:pStyle w:val="Compact"/>
              <w:jc w:val="left"/>
            </w:pPr>
            <w:r>
              <w:t xml:space="preserve">Special regimes</w:t>
            </w:r>
          </w:p>
        </w:tc>
        <w:tc>
          <w:tcPr>
            <w:tcW w:w="2434" w:type="dxa"/>
          </w:tcPr>
          <w:p>
            <w:pPr>
              <w:pStyle w:val="Compact"/>
              <w:jc w:val="left"/>
            </w:pPr>
            <w:r>
              <w:t xml:space="preserve">Bonded warehouse, Chapter 98 provisions, FTZ (not used: [COMPANY: confirm]), Mexico IMMEX and PROSEC, Canada duty relief and remission (Part 6.9)</w:t>
            </w:r>
          </w:p>
        </w:tc>
        <w:tc>
          <w:tcPr>
            <w:tcW w:w="1955" w:type="dxa"/>
          </w:tcPr>
          <w:p>
            <w:pPr>
              <w:pStyle w:val="Compact"/>
              <w:jc w:val="left"/>
            </w:pPr>
            <w:r>
              <w:t xml:space="preserve">Instrument; CSMS; agente aduanal (through the Senior)</w:t>
            </w:r>
          </w:p>
        </w:tc>
        <w:tc>
          <w:tcPr>
            <w:tcW w:w="2345" w:type="dxa"/>
          </w:tcPr>
          <w:p>
            <w:pPr>
              <w:pStyle w:val="Compact"/>
              <w:jc w:val="left"/>
            </w:pPr>
            <w:r>
              <w:t xml:space="preserve">Forgetting IMMEX duty-deferral limits on exports to USMCA partners</w:t>
            </w:r>
          </w:p>
        </w:tc>
      </w:tr>
      <w:tr>
        <w:tc>
          <w:tcPr>
            <w:tcW w:w="900" w:type="dxa"/>
          </w:tcPr>
          <w:p>
            <w:pPr>
              <w:pStyle w:val="Compact"/>
              <w:jc w:val="left"/>
            </w:pPr>
            <w:r>
              <w:t xml:space="preserve">16</w:t>
            </w:r>
          </w:p>
        </w:tc>
        <w:tc>
          <w:tcPr>
            <w:tcW w:w="1725" w:type="dxa"/>
          </w:tcPr>
          <w:p>
            <w:pPr>
              <w:pStyle w:val="Compact"/>
              <w:jc w:val="left"/>
            </w:pPr>
            <w:r>
              <w:t xml:space="preserve">Our data</w:t>
            </w:r>
          </w:p>
        </w:tc>
        <w:tc>
          <w:tcPr>
            <w:tcW w:w="2434" w:type="dxa"/>
          </w:tcPr>
          <w:p>
            <w:pPr>
              <w:pStyle w:val="Compact"/>
              <w:jc w:val="left"/>
            </w:pPr>
            <w:r>
              <w:t xml:space="preserve">Which item fields decide scope (HTS, origin, USMCA flag, content values, metal weight); what we do not hold and who can supply it (Part 9)</w:t>
            </w:r>
          </w:p>
        </w:tc>
        <w:tc>
          <w:tcPr>
            <w:tcW w:w="1955" w:type="dxa"/>
          </w:tcPr>
          <w:p>
            <w:pPr>
              <w:pStyle w:val="Compact"/>
              <w:jc w:val="left"/>
            </w:pPr>
            <w:r>
              <w:t xml:space="preserve">[COMPANY: classification master]; Purchasing; suppliers</w:t>
            </w:r>
          </w:p>
        </w:tc>
        <w:tc>
          <w:tcPr>
            <w:tcW w:w="2345" w:type="dxa"/>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64"/>
    <w:bookmarkStart w:id="165"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65"/>
    <w:bookmarkStart w:id="166" w:name="X1e61c0cb5c73ce8ff492d0e22728fc75b56e963"/>
    <w:p>
      <w:pPr>
        <w:pStyle w:val="Heading3"/>
      </w:pPr>
      <w:r>
        <w:t xml:space="preserve">2.7 From findings to the Tariff-Impact Brief and the handoff</w:t>
      </w:r>
    </w:p>
    <w:tbl>
      <w:tblPr>
        <w:tblStyle w:val="Table"/>
        <w:tblW w:type="dxa" w:w="9360"/>
        <w:tblLook w:firstRow="1" w:lastRow="0" w:firstColumn="0" w:lastColumn="0" w:noHBand="0" w:noVBand="0" w:val="0020"/>
        <w:jc w:val="start"/>
        <w:tblLayout w:type="fixed"/>
      </w:tblPr>
      <w:tblGrid>
        <w:gridCol w:w="2375"/>
        <w:gridCol w:w="1725"/>
        <w:gridCol w:w="5259"/>
      </w:tblGrid>
      <w:tr>
        <w:trPr>
          <w:tblHeader w:val="true"/>
        </w:trPr>
        <w:tc>
          <w:tcPr>
            <w:tcW w:w="2375" w:type="dxa"/>
          </w:tcPr>
          <w:p>
            <w:pPr>
              <w:pStyle w:val="Compact"/>
              <w:jc w:val="left"/>
            </w:pPr>
            <w:r>
              <w:t xml:space="preserve">Research checklist step</w:t>
            </w:r>
          </w:p>
        </w:tc>
        <w:tc>
          <w:tcPr>
            <w:tcW w:w="1725" w:type="dxa"/>
          </w:tcPr>
          <w:p>
            <w:pPr>
              <w:pStyle w:val="Compact"/>
              <w:jc w:val="left"/>
            </w:pPr>
            <w:r>
              <w:t xml:space="preserve">Tariff-Impact Brief part</w:t>
            </w:r>
          </w:p>
        </w:tc>
        <w:tc>
          <w:tcPr>
            <w:tcW w:w="5259" w:type="dxa"/>
          </w:tcPr>
          <w:p>
            <w:pPr>
              <w:pStyle w:val="Compact"/>
              <w:jc w:val="left"/>
            </w:pPr>
            <w:r>
              <w:t xml:space="preserve">Model Action tab</w:t>
            </w:r>
          </w:p>
        </w:tc>
      </w:tr>
      <w:tr>
        <w:tc>
          <w:tcPr>
            <w:tcW w:w="2375" w:type="dxa"/>
          </w:tcPr>
          <w:p>
            <w:pPr>
              <w:pStyle w:val="Compact"/>
              <w:jc w:val="left"/>
            </w:pPr>
            <w:r>
              <w:t xml:space="preserve">1 Legal authority</w:t>
            </w:r>
          </w:p>
        </w:tc>
        <w:tc>
          <w:tcPr>
            <w:tcW w:w="1725" w:type="dxa"/>
          </w:tcPr>
          <w:p>
            <w:pPr>
              <w:pStyle w:val="Compact"/>
              <w:jc w:val="left"/>
            </w:pPr>
            <w:r>
              <w:t xml:space="preserve">Part 3; sources in Part 4</w:t>
            </w:r>
          </w:p>
        </w:tc>
        <w:tc>
          <w:tcPr>
            <w:tcW w:w="5259" w:type="dxa"/>
          </w:tcPr>
          <w:p>
            <w:pPr>
              <w:pStyle w:val="Compact"/>
              <w:jc w:val="left"/>
            </w:pPr>
            <w:r>
              <w:t xml:space="preserve">B8 (category), B10 (primary source)</w:t>
            </w:r>
          </w:p>
        </w:tc>
      </w:tr>
      <w:tr>
        <w:tc>
          <w:tcPr>
            <w:tcW w:w="2375" w:type="dxa"/>
          </w:tcPr>
          <w:p>
            <w:pPr>
              <w:pStyle w:val="Compact"/>
              <w:jc w:val="left"/>
            </w:pPr>
            <w:r>
              <w:t xml:space="preserve">2 and 3 Timing, end and steps</w:t>
            </w:r>
          </w:p>
        </w:tc>
        <w:tc>
          <w:tcPr>
            <w:tcW w:w="1725" w:type="dxa"/>
          </w:tcPr>
          <w:p>
            <w:pPr>
              <w:pStyle w:val="Compact"/>
              <w:jc w:val="left"/>
            </w:pPr>
            <w:r>
              <w:t xml:space="preserve">Part 5</w:t>
            </w:r>
          </w:p>
        </w:tc>
        <w:tc>
          <w:tcPr>
            <w:tcW w:w="5259" w:type="dxa"/>
          </w:tcPr>
          <w:p>
            <w:pPr>
              <w:pStyle w:val="Compact"/>
              <w:jc w:val="left"/>
            </w:pPr>
            <w:r>
              <w:t xml:space="preserve">B11 (effective date), B12 (basis), B14 (end date)</w:t>
            </w:r>
          </w:p>
        </w:tc>
      </w:tr>
      <w:tr>
        <w:tc>
          <w:tcPr>
            <w:tcW w:w="2375" w:type="dxa"/>
          </w:tcPr>
          <w:p>
            <w:pPr>
              <w:pStyle w:val="Compact"/>
              <w:jc w:val="left"/>
            </w:pPr>
            <w:r>
              <w:t xml:space="preserve">12 In-transit</w:t>
            </w:r>
          </w:p>
        </w:tc>
        <w:tc>
          <w:tcPr>
            <w:tcW w:w="1725" w:type="dxa"/>
          </w:tcPr>
          <w:p>
            <w:pPr>
              <w:pStyle w:val="Compact"/>
              <w:jc w:val="left"/>
            </w:pPr>
            <w:r>
              <w:t xml:space="preserve">Part 5</w:t>
            </w:r>
          </w:p>
        </w:tc>
        <w:tc>
          <w:tcPr>
            <w:tcW w:w="5259" w:type="dxa"/>
          </w:tcPr>
          <w:p>
            <w:pPr>
              <w:pStyle w:val="Compact"/>
              <w:jc w:val="left"/>
            </w:pPr>
            <w:r>
              <w:t xml:space="preserve">B13</w:t>
            </w:r>
          </w:p>
        </w:tc>
      </w:tr>
      <w:tr>
        <w:tc>
          <w:tcPr>
            <w:tcW w:w="2375" w:type="dxa"/>
          </w:tcPr>
          <w:p>
            <w:pPr>
              <w:pStyle w:val="Compact"/>
              <w:jc w:val="left"/>
            </w:pPr>
            <w:r>
              <w:t xml:space="preserve">4 HTS scope</w:t>
            </w:r>
          </w:p>
        </w:tc>
        <w:tc>
          <w:tcPr>
            <w:tcW w:w="1725" w:type="dxa"/>
          </w:tcPr>
          <w:p>
            <w:pPr>
              <w:pStyle w:val="Compact"/>
              <w:jc w:val="left"/>
            </w:pPr>
            <w:r>
              <w:t xml:space="preserve">Part 6.1</w:t>
            </w:r>
          </w:p>
        </w:tc>
        <w:tc>
          <w:tcPr>
            <w:tcW w:w="5259" w:type="dxa"/>
          </w:tcPr>
          <w:p>
            <w:pPr>
              <w:pStyle w:val="Compact"/>
              <w:jc w:val="left"/>
            </w:pPr>
            <w:r>
              <w:t xml:space="preserve">Scope list (columns E to H; H is the rate group when rate lines differ by product list)</w:t>
            </w:r>
          </w:p>
        </w:tc>
      </w:tr>
      <w:tr>
        <w:tc>
          <w:tcPr>
            <w:tcW w:w="2375" w:type="dxa"/>
          </w:tcPr>
          <w:p>
            <w:pPr>
              <w:pStyle w:val="Compact"/>
              <w:jc w:val="left"/>
            </w:pPr>
            <w:r>
              <w:t xml:space="preserve">6 Origins</w:t>
            </w:r>
          </w:p>
        </w:tc>
        <w:tc>
          <w:tcPr>
            <w:tcW w:w="1725" w:type="dxa"/>
          </w:tcPr>
          <w:p>
            <w:pPr>
              <w:pStyle w:val="Compact"/>
              <w:jc w:val="left"/>
            </w:pPr>
            <w:r>
              <w:t xml:space="preserve">Part 6.2</w:t>
            </w:r>
          </w:p>
        </w:tc>
        <w:tc>
          <w:tcPr>
            <w:tcW w:w="5259" w:type="dxa"/>
          </w:tcPr>
          <w:p>
            <w:pPr>
              <w:pStyle w:val="Compact"/>
              <w:jc w:val="left"/>
            </w:pPr>
            <w:r>
              <w:t xml:space="preserve">Origin list (columns M to N)</w:t>
            </w:r>
          </w:p>
        </w:tc>
      </w:tr>
      <w:tr>
        <w:tc>
          <w:tcPr>
            <w:tcW w:w="2375" w:type="dxa"/>
          </w:tcPr>
          <w:p>
            <w:pPr>
              <w:pStyle w:val="Compact"/>
              <w:jc w:val="left"/>
            </w:pPr>
            <w:r>
              <w:t xml:space="preserve">8 Exclusions defined by HTS</w:t>
            </w:r>
          </w:p>
        </w:tc>
        <w:tc>
          <w:tcPr>
            <w:tcW w:w="1725" w:type="dxa"/>
          </w:tcPr>
          <w:p>
            <w:pPr>
              <w:pStyle w:val="Compact"/>
              <w:jc w:val="left"/>
            </w:pPr>
            <w:r>
              <w:t xml:space="preserve">Part 6.4</w:t>
            </w:r>
          </w:p>
        </w:tc>
        <w:tc>
          <w:tcPr>
            <w:tcW w:w="5259" w:type="dxa"/>
          </w:tcPr>
          <w:p>
            <w:pPr>
              <w:pStyle w:val="Compact"/>
              <w:jc w:val="left"/>
            </w:pPr>
            <w:r>
              <w:t xml:space="preserve">Exclusion list (columns I to K)</w:t>
            </w:r>
          </w:p>
        </w:tc>
      </w:tr>
      <w:tr>
        <w:tc>
          <w:tcPr>
            <w:tcW w:w="2375" w:type="dxa"/>
          </w:tcPr>
          <w:p>
            <w:pPr>
              <w:pStyle w:val="Compact"/>
              <w:jc w:val="left"/>
            </w:pPr>
            <w:r>
              <w:t xml:space="preserve">5 and 8 Exclusions by description, borderline items</w:t>
            </w:r>
          </w:p>
        </w:tc>
        <w:tc>
          <w:tcPr>
            <w:tcW w:w="1725" w:type="dxa"/>
          </w:tcPr>
          <w:p>
            <w:pPr>
              <w:pStyle w:val="Compact"/>
              <w:jc w:val="left"/>
            </w:pPr>
            <w:r>
              <w:t xml:space="preserve">Parts 6.3, 6.4 and 8</w:t>
            </w:r>
          </w:p>
        </w:tc>
        <w:tc>
          <w:tcPr>
            <w:tcW w:w="5259" w:type="dxa"/>
          </w:tcPr>
          <w:p>
            <w:pPr>
              <w:pStyle w:val="Compact"/>
              <w:jc w:val="left"/>
            </w:pPr>
            <w:r>
              <w:t xml:space="preserve">Item-level determinations by item and import country (columns P to U)</w:t>
            </w:r>
          </w:p>
        </w:tc>
      </w:tr>
      <w:tr>
        <w:tc>
          <w:tcPr>
            <w:tcW w:w="2375" w:type="dxa"/>
          </w:tcPr>
          <w:p>
            <w:pPr>
              <w:pStyle w:val="Compact"/>
              <w:jc w:val="left"/>
            </w:pPr>
            <w:r>
              <w:t xml:space="preserve">10 USMCA treatment</w:t>
            </w:r>
          </w:p>
        </w:tc>
        <w:tc>
          <w:tcPr>
            <w:tcW w:w="1725" w:type="dxa"/>
          </w:tcPr>
          <w:p>
            <w:pPr>
              <w:pStyle w:val="Compact"/>
              <w:jc w:val="left"/>
            </w:pPr>
            <w:r>
              <w:t xml:space="preserve">Part 6.5</w:t>
            </w:r>
          </w:p>
        </w:tc>
        <w:tc>
          <w:tcPr>
            <w:tcW w:w="5259" w:type="dxa"/>
          </w:tcPr>
          <w:p>
            <w:pPr>
              <w:pStyle w:val="Compact"/>
              <w:jc w:val="left"/>
            </w:pPr>
            <w:r>
              <w:t xml:space="preserve">B18</w:t>
            </w:r>
          </w:p>
        </w:tc>
      </w:tr>
      <w:tr>
        <w:tc>
          <w:tcPr>
            <w:tcW w:w="2375" w:type="dxa"/>
          </w:tcPr>
          <w:p>
            <w:pPr>
              <w:pStyle w:val="Compact"/>
              <w:jc w:val="left"/>
            </w:pPr>
            <w:r>
              <w:t xml:space="preserve">9 Stacking</w:t>
            </w:r>
          </w:p>
        </w:tc>
        <w:tc>
          <w:tcPr>
            <w:tcW w:w="1725" w:type="dxa"/>
          </w:tcPr>
          <w:p>
            <w:pPr>
              <w:pStyle w:val="Compact"/>
              <w:jc w:val="left"/>
            </w:pPr>
            <w:r>
              <w:t xml:space="preserve">Part 6.6</w:t>
            </w:r>
          </w:p>
        </w:tc>
        <w:tc>
          <w:tcPr>
            <w:tcW w:w="5259" w:type="dxa"/>
          </w:tcPr>
          <w:p>
            <w:pPr>
              <w:pStyle w:val="Compact"/>
              <w:jc w:val="left"/>
            </w:pPr>
            <w:r>
              <w:t xml:space="preserve">B19 (interpretation); B16 and B17 when the action replaces an earlier rate; column S (item) or AF (rate line) when it switches off another duty</w:t>
            </w:r>
          </w:p>
        </w:tc>
      </w:tr>
      <w:tr>
        <w:tc>
          <w:tcPr>
            <w:tcW w:w="2375" w:type="dxa"/>
          </w:tcPr>
          <w:p>
            <w:pPr>
              <w:pStyle w:val="Compact"/>
              <w:jc w:val="left"/>
            </w:pPr>
            <w:r>
              <w:t xml:space="preserve">Rate</w:t>
            </w:r>
          </w:p>
        </w:tc>
        <w:tc>
          <w:tcPr>
            <w:tcW w:w="1725" w:type="dxa"/>
          </w:tcPr>
          <w:p>
            <w:pPr>
              <w:pStyle w:val="Compact"/>
              <w:jc w:val="left"/>
            </w:pPr>
            <w:r>
              <w:t xml:space="preserve">Part 7</w:t>
            </w:r>
          </w:p>
        </w:tc>
        <w:tc>
          <w:tcPr>
            <w:tcW w:w="5259" w:type="dxa"/>
          </w:tcPr>
          <w:p>
            <w:pPr>
              <w:pStyle w:val="Compact"/>
              <w:jc w:val="left"/>
            </w:pPr>
            <w:r>
              <w:t xml:space="preserve">B15 (default rate), B16, B17; one rate line per extra Part 7 line (columns Y to AI)</w:t>
            </w:r>
          </w:p>
        </w:tc>
      </w:tr>
      <w:tr>
        <w:tc>
          <w:tcPr>
            <w:tcW w:w="2375" w:type="dxa"/>
          </w:tcPr>
          <w:p>
            <w:pPr>
              <w:pStyle w:val="Compact"/>
              <w:jc w:val="left"/>
            </w:pPr>
            <w:r>
              <w:t xml:space="preserve">7 Content and value base</w:t>
            </w:r>
          </w:p>
        </w:tc>
        <w:tc>
          <w:tcPr>
            <w:tcW w:w="1725" w:type="dxa"/>
          </w:tcPr>
          <w:p>
            <w:pPr>
              <w:pStyle w:val="Compact"/>
              <w:jc w:val="left"/>
            </w:pPr>
            <w:r>
              <w:t xml:space="preserve">Parts 6.3 and 7</w:t>
            </w:r>
          </w:p>
        </w:tc>
        <w:tc>
          <w:tcPr>
            <w:tcW w:w="5259" w:type="dxa"/>
          </w:tcPr>
          <w:p>
            <w:pPr>
              <w:pStyle w:val="Compact"/>
              <w:jc w:val="left"/>
            </w:pPr>
            <w:r>
              <w:t xml:space="preserve">B20 (FULL or PART) or rate-line column AE; Standard Cost enters each item's dutiable share on Items</w:t>
            </w:r>
          </w:p>
        </w:tc>
      </w:tr>
      <w:tr>
        <w:tc>
          <w:tcPr>
            <w:tcW w:w="2375" w:type="dxa"/>
          </w:tcPr>
          <w:p>
            <w:pPr>
              <w:pStyle w:val="Compact"/>
              <w:jc w:val="left"/>
            </w:pPr>
            <w:r>
              <w:t xml:space="preserve">16 Our data</w:t>
            </w:r>
          </w:p>
        </w:tc>
        <w:tc>
          <w:tcPr>
            <w:tcW w:w="1725" w:type="dxa"/>
          </w:tcPr>
          <w:p>
            <w:pPr>
              <w:pStyle w:val="Compact"/>
              <w:jc w:val="left"/>
            </w:pPr>
            <w:r>
              <w:t xml:space="preserve">Part 9</w:t>
            </w:r>
          </w:p>
        </w:tc>
        <w:tc>
          <w:tcPr>
            <w:tcW w:w="5259" w:type="dxa"/>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the non-US content of a Commerce-approved USMCA vehicle or truck, or of USMCA-qualifying Annex I-C equipment under the Section 232 metals regime; metal-content bases apply only to entries before 2026-04-06),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66"/>
    <w:bookmarkStart w:id="167"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dxa" w:w="9360"/>
        <w:tblLook w:firstRow="1" w:lastRow="0" w:firstColumn="0" w:lastColumn="0" w:noHBand="0" w:noVBand="0" w:val="0020"/>
        <w:jc w:val="start"/>
        <w:tblLayout w:type="fixed"/>
      </w:tblPr>
      <w:tblGrid>
        <w:gridCol w:w="1725"/>
        <w:gridCol w:w="2154"/>
        <w:gridCol w:w="4215"/>
        <w:gridCol w:w="1265"/>
      </w:tblGrid>
      <w:tr>
        <w:trPr>
          <w:tblHeader w:val="true"/>
        </w:trPr>
        <w:tc>
          <w:tcPr>
            <w:tcW w:w="1725" w:type="dxa"/>
          </w:tcPr>
          <w:p>
            <w:pPr>
              <w:pStyle w:val="Compact"/>
              <w:jc w:val="left"/>
            </w:pPr>
            <w:r>
              <w:t xml:space="preserve">Option</w:t>
            </w:r>
          </w:p>
        </w:tc>
        <w:tc>
          <w:tcPr>
            <w:tcW w:w="2154" w:type="dxa"/>
          </w:tcPr>
          <w:p>
            <w:pPr>
              <w:pStyle w:val="Compact"/>
              <w:jc w:val="left"/>
            </w:pPr>
            <w:r>
              <w:t xml:space="preserve">Action from Part 1</w:t>
            </w:r>
          </w:p>
        </w:tc>
        <w:tc>
          <w:tcPr>
            <w:tcW w:w="4215" w:type="dxa"/>
          </w:tcPr>
          <w:p>
            <w:pPr>
              <w:pStyle w:val="Compact"/>
              <w:jc w:val="left"/>
            </w:pPr>
            <w:r>
              <w:t xml:space="preserve">What it teaches</w:t>
            </w:r>
          </w:p>
        </w:tc>
        <w:tc>
          <w:tcPr>
            <w:tcW w:w="1265" w:type="dxa"/>
          </w:tcPr>
          <w:p>
            <w:pPr>
              <w:pStyle w:val="Compact"/>
              <w:jc w:val="left"/>
            </w:pPr>
            <w:r>
              <w:t xml:space="preserve">Importing country</w:t>
            </w:r>
          </w:p>
        </w:tc>
      </w:tr>
      <w:tr>
        <w:tc>
          <w:tcPr>
            <w:tcW w:w="1725" w:type="dxa"/>
          </w:tcPr>
          <w:p>
            <w:pPr>
              <w:pStyle w:val="Compact"/>
              <w:jc w:val="left"/>
            </w:pPr>
            <w:r>
              <w:t xml:space="preserve">A (recommended)</w:t>
            </w:r>
          </w:p>
        </w:tc>
        <w:tc>
          <w:tcPr>
            <w:tcW w:w="2154" w:type="dxa"/>
          </w:tcPr>
          <w:p>
            <w:pPr>
              <w:pStyle w:val="Compact"/>
              <w:jc w:val="left"/>
            </w:pPr>
            <w:r>
              <w:t xml:space="preserve">Section 301 forced-labor duties (US-2)</w:t>
            </w:r>
          </w:p>
        </w:tc>
        <w:tc>
          <w:tcPr>
            <w:tcW w:w="4215" w:type="dxa"/>
          </w:tcPr>
          <w:p>
            <w:pPr>
              <w:pStyle w:val="Compact"/>
              <w:jc w:val="left"/>
            </w:pPr>
            <w:r>
              <w:t xml:space="preserve">A live action on our Mexican and Canadian imports: country tiers, the USMCA duty-free carve-out lines (9903.05.93, 9903.05.94), the Section 232 exclusion, in-transit relief, a drawback validation that CBP reversed (CSMS 69535943, then 69567203)</w:t>
            </w:r>
          </w:p>
        </w:tc>
        <w:tc>
          <w:tcPr>
            <w:tcW w:w="1265" w:type="dxa"/>
          </w:tcPr>
          <w:p>
            <w:pPr>
              <w:pStyle w:val="Compact"/>
              <w:jc w:val="left"/>
            </w:pPr>
            <w:r>
              <w:t xml:space="preserve">US</w:t>
            </w:r>
          </w:p>
        </w:tc>
      </w:tr>
      <w:tr>
        <w:tc>
          <w:tcPr>
            <w:tcW w:w="1725" w:type="dxa"/>
          </w:tcPr>
          <w:p>
            <w:pPr>
              <w:pStyle w:val="Compact"/>
              <w:jc w:val="left"/>
            </w:pPr>
            <w:r>
              <w:t xml:space="preserve">B</w:t>
            </w:r>
          </w:p>
        </w:tc>
        <w:tc>
          <w:tcPr>
            <w:tcW w:w="2154" w:type="dxa"/>
          </w:tcPr>
          <w:p>
            <w:pPr>
              <w:pStyle w:val="Compact"/>
              <w:jc w:val="left"/>
            </w:pPr>
            <w:r>
              <w:t xml:space="preserve">Mexico's IGI increase on non-FTA goods from 2026-01-01 (1.4)</w:t>
            </w:r>
          </w:p>
        </w:tc>
        <w:tc>
          <w:tcPr>
            <w:tcW w:w="4215" w:type="dxa"/>
          </w:tcPr>
          <w:p>
            <w:pPr>
              <w:pStyle w:val="Compact"/>
              <w:jc w:val="left"/>
            </w:pPr>
            <w:r>
              <w:t xml:space="preserve">DOF decrees, fracciones and NICO, preference claims, IMMEX and PROSEC questions for the agente aduanal</w:t>
            </w:r>
          </w:p>
        </w:tc>
        <w:tc>
          <w:tcPr>
            <w:tcW w:w="1265" w:type="dxa"/>
          </w:tcPr>
          <w:p>
            <w:pPr>
              <w:pStyle w:val="Compact"/>
              <w:jc w:val="left"/>
            </w:pPr>
            <w:r>
              <w:t xml:space="preserve">MX</w:t>
            </w:r>
          </w:p>
        </w:tc>
      </w:tr>
      <w:tr>
        <w:tc>
          <w:tcPr>
            <w:tcW w:w="1725" w:type="dxa"/>
          </w:tcPr>
          <w:p>
            <w:pPr>
              <w:pStyle w:val="Compact"/>
              <w:jc w:val="left"/>
            </w:pPr>
            <w:r>
              <w:t xml:space="preserve">C (live, W3 to W4 only)</w:t>
            </w:r>
          </w:p>
        </w:tc>
        <w:tc>
          <w:tcPr>
            <w:tcW w:w="2154" w:type="dxa"/>
          </w:tcPr>
          <w:p>
            <w:pPr>
              <w:pStyle w:val="Compact"/>
              <w:jc w:val="left"/>
            </w:pPr>
            <w:r>
              <w:t xml:space="preserve">Section 301 China exclusions ending 2026-11-09 (US-4)</w:t>
            </w:r>
          </w:p>
        </w:tc>
        <w:tc>
          <w:tcPr>
            <w:tcW w:w="4215" w:type="dxa"/>
          </w:tcPr>
          <w:p>
            <w:pPr>
              <w:pStyle w:val="Compact"/>
              <w:jc w:val="left"/>
            </w:pPr>
            <w:r>
              <w:t xml:space="preserve">Monitoring an expiry, exclusion descriptions narrower than the HTS line, item-level determinations</w:t>
            </w:r>
          </w:p>
        </w:tc>
        <w:tc>
          <w:tcPr>
            <w:tcW w:w="1265" w:type="dxa"/>
          </w:tcPr>
          <w:p>
            <w:pPr>
              <w:pStyle w:val="Compact"/>
              <w:jc w:val="left"/>
            </w:pPr>
            <w:r>
              <w:t xml:space="preserve">US</w:t>
            </w:r>
          </w:p>
        </w:tc>
      </w:tr>
      <w:tr>
        <w:tc>
          <w:tcPr>
            <w:tcW w:w="1725" w:type="dxa"/>
          </w:tcPr>
          <w:p>
            <w:pPr>
              <w:pStyle w:val="Compact"/>
              <w:jc w:val="left"/>
            </w:pPr>
            <w:r>
              <w:t xml:space="preserve">D</w:t>
            </w:r>
          </w:p>
        </w:tc>
        <w:tc>
          <w:tcPr>
            <w:tcW w:w="2154" w:type="dxa"/>
          </w:tcPr>
          <w:p>
            <w:pPr>
              <w:pStyle w:val="Compact"/>
              <w:jc w:val="left"/>
            </w:pPr>
            <w:r>
              <w:t xml:space="preserve">Canada's United States Surtax Order (2026) and its remission (1.3)</w:t>
            </w:r>
          </w:p>
        </w:tc>
        <w:tc>
          <w:tcPr>
            <w:tcW w:w="4215" w:type="dxa"/>
          </w:tcPr>
          <w:p>
            <w:pPr>
              <w:pStyle w:val="Compact"/>
              <w:jc w:val="left"/>
            </w:pPr>
            <w:r>
              <w:t xml:space="preserve">Gazette orders, CBSA notices, the marking-based origin rule, schedules by rate, remission claims</w:t>
            </w:r>
          </w:p>
        </w:tc>
        <w:tc>
          <w:tcPr>
            <w:tcW w:w="1265" w:type="dxa"/>
          </w:tcPr>
          <w:p>
            <w:pPr>
              <w:pStyle w:val="Compact"/>
              <w:jc w:val="left"/>
            </w:pPr>
            <w:r>
              <w:t xml:space="preserve">CA</w:t>
            </w:r>
          </w:p>
        </w:tc>
      </w:tr>
      <w:tr>
        <w:tc>
          <w:tcPr>
            <w:tcW w:w="1725" w:type="dxa"/>
          </w:tcPr>
          <w:p>
            <w:pPr>
              <w:pStyle w:val="Compact"/>
              <w:jc w:val="left"/>
            </w:pPr>
            <w:r>
              <w:t xml:space="preserve">E</w:t>
            </w:r>
          </w:p>
        </w:tc>
        <w:tc>
          <w:tcPr>
            <w:tcW w:w="2154" w:type="dxa"/>
          </w:tcPr>
          <w:p>
            <w:pPr>
              <w:pStyle w:val="Compact"/>
              <w:jc w:val="left"/>
            </w:pPr>
            <w:r>
              <w:t xml:space="preserve">Section 232 metals after Proclamation 11021 (US-3)</w:t>
            </w:r>
          </w:p>
        </w:tc>
        <w:tc>
          <w:tcPr>
            <w:tcW w:w="4215" w:type="dxa"/>
          </w:tcPr>
          <w:p>
            <w:pPr>
              <w:pStyle w:val="Compact"/>
              <w:jc w:val="left"/>
            </w:pPr>
            <w:r>
              <w:t xml:space="preserve">Reading a restructured action: annex tiers, the 15% weight test, the full-value base replacing the content base, a narrow USMCA non-US-content track (Annex I-C)</w:t>
            </w:r>
          </w:p>
        </w:tc>
        <w:tc>
          <w:tcPr>
            <w:tcW w:w="1265" w:type="dxa"/>
          </w:tcPr>
          <w:p>
            <w:pPr>
              <w:pStyle w:val="Compact"/>
              <w:jc w:val="left"/>
            </w:pPr>
            <w:r>
              <w:t xml:space="preserve">US</w:t>
            </w:r>
          </w:p>
        </w:tc>
      </w:tr>
      <w:tr>
        <w:tc>
          <w:tcPr>
            <w:tcW w:w="1725" w:type="dxa"/>
          </w:tcPr>
          <w:p>
            <w:pPr>
              <w:pStyle w:val="Compact"/>
              <w:jc w:val="left"/>
            </w:pPr>
            <w:r>
              <w:t xml:space="preserve">F (advanced)</w:t>
            </w:r>
          </w:p>
        </w:tc>
        <w:tc>
          <w:tcPr>
            <w:tcW w:w="2154" w:type="dxa"/>
          </w:tcPr>
          <w:p>
            <w:pPr>
              <w:pStyle w:val="Compact"/>
              <w:jc w:val="left"/>
            </w:pPr>
            <w:r>
              <w:t xml:space="preserve">Section 338 on goods of Canada (US-5)</w:t>
            </w:r>
          </w:p>
        </w:tc>
        <w:tc>
          <w:tcPr>
            <w:tcW w:w="4215" w:type="dxa"/>
          </w:tcPr>
          <w:p>
            <w:pPr>
              <w:pStyle w:val="Compact"/>
              <w:jc w:val="left"/>
            </w:pPr>
            <w:r>
              <w:t xml:space="preserve">Several proclamations for one action, a suspension, a mid-course list change, import bans, a mid-course change to Section 232 stacking (9903.03.15 limited to the dairy list from 2026-09-15)</w:t>
            </w:r>
          </w:p>
        </w:tc>
        <w:tc>
          <w:tcPr>
            <w:tcW w:w="1265" w:type="dxa"/>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the checker reviewing your draft on the same business day you submit it,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67"/>
    <w:bookmarkStart w:id="168"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dxa" w:w="9360"/>
        <w:tblLook w:firstRow="1" w:lastRow="0" w:firstColumn="0" w:lastColumn="0" w:noHBand="0" w:noVBand="0" w:val="0020"/>
        <w:jc w:val="start"/>
        <w:tblLayout w:type="fixed"/>
      </w:tblPr>
      <w:tblGrid>
        <w:gridCol w:w="900"/>
        <w:gridCol w:w="1840"/>
        <w:gridCol w:w="2607"/>
        <w:gridCol w:w="1840"/>
        <w:gridCol w:w="2172"/>
      </w:tblGrid>
      <w:tr>
        <w:trPr>
          <w:tblHeader w:val="true"/>
        </w:trPr>
        <w:tc>
          <w:tcPr>
            <w:tcW w:w="900" w:type="dxa"/>
          </w:tcPr>
          <w:p>
            <w:pPr>
              <w:pStyle w:val="Compact"/>
              <w:jc w:val="left"/>
            </w:pPr>
            <w:r>
              <w:t xml:space="preserve">#</w:t>
            </w:r>
          </w:p>
        </w:tc>
        <w:tc>
          <w:tcPr>
            <w:tcW w:w="1840" w:type="dxa"/>
          </w:tcPr>
          <w:p>
            <w:pPr>
              <w:pStyle w:val="Compact"/>
              <w:jc w:val="left"/>
            </w:pPr>
            <w:r>
              <w:t xml:space="preserve">Criterion</w:t>
            </w:r>
          </w:p>
        </w:tc>
        <w:tc>
          <w:tcPr>
            <w:tcW w:w="2607" w:type="dxa"/>
          </w:tcPr>
          <w:p>
            <w:pPr>
              <w:pStyle w:val="Compact"/>
              <w:jc w:val="left"/>
            </w:pPr>
            <w:r>
              <w:t xml:space="preserve">2 = Meets</w:t>
            </w:r>
          </w:p>
        </w:tc>
        <w:tc>
          <w:tcPr>
            <w:tcW w:w="1840" w:type="dxa"/>
          </w:tcPr>
          <w:p>
            <w:pPr>
              <w:pStyle w:val="Compact"/>
              <w:jc w:val="left"/>
            </w:pPr>
            <w:r>
              <w:t xml:space="preserve">1 = Partly</w:t>
            </w:r>
          </w:p>
        </w:tc>
        <w:tc>
          <w:tcPr>
            <w:tcW w:w="2172" w:type="dxa"/>
          </w:tcPr>
          <w:p>
            <w:pPr>
              <w:pStyle w:val="Compact"/>
              <w:jc w:val="left"/>
            </w:pPr>
            <w:r>
              <w:t xml:space="preserve">0 = Material error</w:t>
            </w:r>
          </w:p>
        </w:tc>
      </w:tr>
      <w:tr>
        <w:tc>
          <w:tcPr>
            <w:tcW w:w="900" w:type="dxa"/>
          </w:tcPr>
          <w:p>
            <w:pPr>
              <w:pStyle w:val="Compact"/>
              <w:jc w:val="left"/>
            </w:pPr>
            <w:r>
              <w:t xml:space="preserve">1</w:t>
            </w:r>
          </w:p>
        </w:tc>
        <w:tc>
          <w:tcPr>
            <w:tcW w:w="1840" w:type="dxa"/>
          </w:tcPr>
          <w:p>
            <w:pPr>
              <w:pStyle w:val="Compact"/>
              <w:jc w:val="left"/>
            </w:pPr>
            <w:r>
              <w:t xml:space="preserve">Primary sources</w:t>
            </w:r>
          </w:p>
        </w:tc>
        <w:tc>
          <w:tcPr>
            <w:tcW w:w="2607" w:type="dxa"/>
          </w:tcPr>
          <w:p>
            <w:pPr>
              <w:pStyle w:val="Compact"/>
              <w:jc w:val="left"/>
            </w:pPr>
            <w:r>
              <w:t xml:space="preserve">Every fact has a primary source with its date; news, fact sheets and alerts used only as leads</w:t>
            </w:r>
          </w:p>
        </w:tc>
        <w:tc>
          <w:tcPr>
            <w:tcW w:w="1840" w:type="dxa"/>
          </w:tcPr>
          <w:p>
            <w:pPr>
              <w:pStyle w:val="Compact"/>
              <w:jc w:val="left"/>
            </w:pPr>
            <w:r>
              <w:t xml:space="preserve">One or two facts cite a secondary source but are correct</w:t>
            </w:r>
          </w:p>
        </w:tc>
        <w:tc>
          <w:tcPr>
            <w:tcW w:w="2172" w:type="dxa"/>
          </w:tcPr>
          <w:p>
            <w:pPr>
              <w:pStyle w:val="Compact"/>
              <w:jc w:val="left"/>
            </w:pPr>
            <w:r>
              <w:t xml:space="preserve">A fact rests on a secondary source and is wrong, or a key source is missing</w:t>
            </w:r>
          </w:p>
        </w:tc>
      </w:tr>
      <w:tr>
        <w:tc>
          <w:tcPr>
            <w:tcW w:w="900" w:type="dxa"/>
          </w:tcPr>
          <w:p>
            <w:pPr>
              <w:pStyle w:val="Compact"/>
              <w:jc w:val="left"/>
            </w:pPr>
            <w:r>
              <w:t xml:space="preserve">2</w:t>
            </w:r>
          </w:p>
        </w:tc>
        <w:tc>
          <w:tcPr>
            <w:tcW w:w="1840" w:type="dxa"/>
          </w:tcPr>
          <w:p>
            <w:pPr>
              <w:pStyle w:val="Compact"/>
              <w:jc w:val="left"/>
            </w:pPr>
            <w:r>
              <w:t xml:space="preserve">Authority and instrument</w:t>
            </w:r>
          </w:p>
        </w:tc>
        <w:tc>
          <w:tcPr>
            <w:tcW w:w="2607" w:type="dxa"/>
          </w:tcPr>
          <w:p>
            <w:pPr>
              <w:pStyle w:val="Compact"/>
              <w:jc w:val="left"/>
            </w:pPr>
            <w:r>
              <w:t xml:space="preserve">Statute, instrument, number, date and issuer correct</w:t>
            </w:r>
          </w:p>
        </w:tc>
        <w:tc>
          <w:tcPr>
            <w:tcW w:w="1840" w:type="dxa"/>
          </w:tcPr>
          <w:p>
            <w:pPr>
              <w:pStyle w:val="Compact"/>
              <w:jc w:val="left"/>
            </w:pPr>
            <w:r>
              <w:t xml:space="preserve">Minor citation error</w:t>
            </w:r>
          </w:p>
        </w:tc>
        <w:tc>
          <w:tcPr>
            <w:tcW w:w="2172" w:type="dxa"/>
          </w:tcPr>
          <w:p>
            <w:pPr>
              <w:pStyle w:val="Compact"/>
              <w:jc w:val="left"/>
            </w:pPr>
            <w:r>
              <w:t xml:space="preserve">Wrong authority or wrong instrument</w:t>
            </w:r>
          </w:p>
        </w:tc>
      </w:tr>
      <w:tr>
        <w:tc>
          <w:tcPr>
            <w:tcW w:w="900" w:type="dxa"/>
          </w:tcPr>
          <w:p>
            <w:pPr>
              <w:pStyle w:val="Compact"/>
              <w:jc w:val="left"/>
            </w:pPr>
            <w:r>
              <w:t xml:space="preserve">3</w:t>
            </w:r>
          </w:p>
        </w:tc>
        <w:tc>
          <w:tcPr>
            <w:tcW w:w="1840" w:type="dxa"/>
          </w:tcPr>
          <w:p>
            <w:pPr>
              <w:pStyle w:val="Compact"/>
              <w:jc w:val="left"/>
            </w:pPr>
            <w:r>
              <w:t xml:space="preserve">Timing</w:t>
            </w:r>
          </w:p>
        </w:tc>
        <w:tc>
          <w:tcPr>
            <w:tcW w:w="2607" w:type="dxa"/>
          </w:tcPr>
          <w:p>
            <w:pPr>
              <w:pStyle w:val="Compact"/>
              <w:jc w:val="left"/>
            </w:pPr>
            <w:r>
              <w:t xml:space="preserve">Effective date, time, time zone and basis quoted exactly; in-transit and end or step dates stated</w:t>
            </w:r>
          </w:p>
        </w:tc>
        <w:tc>
          <w:tcPr>
            <w:tcW w:w="1840" w:type="dxa"/>
          </w:tcPr>
          <w:p>
            <w:pPr>
              <w:pStyle w:val="Compact"/>
              <w:jc w:val="left"/>
            </w:pPr>
            <w:r>
              <w:t xml:space="preserve">Quoted but one secondary date missing</w:t>
            </w:r>
          </w:p>
        </w:tc>
        <w:tc>
          <w:tcPr>
            <w:tcW w:w="2172" w:type="dxa"/>
          </w:tcPr>
          <w:p>
            <w:pPr>
              <w:pStyle w:val="Compact"/>
              <w:jc w:val="left"/>
            </w:pPr>
            <w:r>
              <w:t xml:space="preserve">Wrong effective date or time, or basis misread</w:t>
            </w:r>
          </w:p>
        </w:tc>
      </w:tr>
      <w:tr>
        <w:tc>
          <w:tcPr>
            <w:tcW w:w="900" w:type="dxa"/>
          </w:tcPr>
          <w:p>
            <w:pPr>
              <w:pStyle w:val="Compact"/>
              <w:jc w:val="left"/>
            </w:pPr>
            <w:r>
              <w:t xml:space="preserve">4</w:t>
            </w:r>
          </w:p>
        </w:tc>
        <w:tc>
          <w:tcPr>
            <w:tcW w:w="1840" w:type="dxa"/>
          </w:tcPr>
          <w:p>
            <w:pPr>
              <w:pStyle w:val="Compact"/>
              <w:jc w:val="left"/>
            </w:pPr>
            <w:r>
              <w:t xml:space="preserve">HTS scope</w:t>
            </w:r>
          </w:p>
        </w:tc>
        <w:tc>
          <w:tcPr>
            <w:tcW w:w="2607" w:type="dxa"/>
          </w:tcPr>
          <w:p>
            <w:pPr>
              <w:pStyle w:val="Compact"/>
              <w:jc w:val="left"/>
            </w:pPr>
            <w:r>
              <w:t xml:space="preserve">List taken from the source as text; digit level and Chapter 99 headings correct</w:t>
            </w:r>
          </w:p>
        </w:tc>
        <w:tc>
          <w:tcPr>
            <w:tcW w:w="1840" w:type="dxa"/>
          </w:tcPr>
          <w:p>
            <w:pPr>
              <w:pStyle w:val="Compact"/>
              <w:jc w:val="left"/>
            </w:pPr>
            <w:r>
              <w:t xml:space="preserve">Small format slip with no effect on matching</w:t>
            </w:r>
          </w:p>
        </w:tc>
        <w:tc>
          <w:tcPr>
            <w:tcW w:w="2172" w:type="dxa"/>
          </w:tcPr>
          <w:p>
            <w:pPr>
              <w:pStyle w:val="Compact"/>
              <w:jc w:val="left"/>
            </w:pPr>
            <w:r>
              <w:t xml:space="preserve">Codes missing or added; wrong heading</w:t>
            </w:r>
          </w:p>
        </w:tc>
      </w:tr>
      <w:tr>
        <w:tc>
          <w:tcPr>
            <w:tcW w:w="900" w:type="dxa"/>
          </w:tcPr>
          <w:p>
            <w:pPr>
              <w:pStyle w:val="Compact"/>
              <w:jc w:val="left"/>
            </w:pPr>
            <w:r>
              <w:t xml:space="preserve">5</w:t>
            </w:r>
          </w:p>
        </w:tc>
        <w:tc>
          <w:tcPr>
            <w:tcW w:w="1840" w:type="dxa"/>
          </w:tcPr>
          <w:p>
            <w:pPr>
              <w:pStyle w:val="Compact"/>
              <w:jc w:val="left"/>
            </w:pPr>
            <w:r>
              <w:t xml:space="preserve">Origin and value base</w:t>
            </w:r>
          </w:p>
        </w:tc>
        <w:tc>
          <w:tcPr>
            <w:tcW w:w="2607" w:type="dxa"/>
          </w:tcPr>
          <w:p>
            <w:pPr>
              <w:pStyle w:val="Compact"/>
              <w:jc w:val="left"/>
            </w:pPr>
            <w:r>
              <w:t xml:space="preserve">Correct origin rule; full value or partial-value base stated correctly</w:t>
            </w:r>
          </w:p>
        </w:tc>
        <w:tc>
          <w:tcPr>
            <w:tcW w:w="1840" w:type="dxa"/>
          </w:tcPr>
          <w:p>
            <w:pPr>
              <w:pStyle w:val="Compact"/>
              <w:jc w:val="left"/>
            </w:pPr>
            <w:r>
              <w:t xml:space="preserve">Rule correct but not explained</w:t>
            </w:r>
          </w:p>
        </w:tc>
        <w:tc>
          <w:tcPr>
            <w:tcW w:w="2172" w:type="dxa"/>
          </w:tcPr>
          <w:p>
            <w:pPr>
              <w:pStyle w:val="Compact"/>
              <w:jc w:val="left"/>
            </w:pPr>
            <w:r>
              <w:t xml:space="preserve">Wrong origin rule; full value used where a content base applies, or an old content base used where the full value applies</w:t>
            </w:r>
          </w:p>
        </w:tc>
      </w:tr>
      <w:tr>
        <w:tc>
          <w:tcPr>
            <w:tcW w:w="900" w:type="dxa"/>
          </w:tcPr>
          <w:p>
            <w:pPr>
              <w:pStyle w:val="Compact"/>
              <w:jc w:val="left"/>
            </w:pPr>
            <w:r>
              <w:t xml:space="preserve">6</w:t>
            </w:r>
          </w:p>
        </w:tc>
        <w:tc>
          <w:tcPr>
            <w:tcW w:w="1840" w:type="dxa"/>
          </w:tcPr>
          <w:p>
            <w:pPr>
              <w:pStyle w:val="Compact"/>
              <w:jc w:val="left"/>
            </w:pPr>
            <w:r>
              <w:t xml:space="preserve">Exclusions and exemptions</w:t>
            </w:r>
          </w:p>
        </w:tc>
        <w:tc>
          <w:tcPr>
            <w:tcW w:w="2607" w:type="dxa"/>
          </w:tcPr>
          <w:p>
            <w:pPr>
              <w:pStyle w:val="Compact"/>
              <w:jc w:val="left"/>
            </w:pPr>
            <w:r>
              <w:t xml:space="preserve">Each has an identification method and the evidence needed</w:t>
            </w:r>
          </w:p>
        </w:tc>
        <w:tc>
          <w:tcPr>
            <w:tcW w:w="1840" w:type="dxa"/>
          </w:tcPr>
          <w:p>
            <w:pPr>
              <w:pStyle w:val="Compact"/>
              <w:jc w:val="left"/>
            </w:pPr>
            <w:r>
              <w:t xml:space="preserve">Identification method vague</w:t>
            </w:r>
          </w:p>
        </w:tc>
        <w:tc>
          <w:tcPr>
            <w:tcW w:w="2172" w:type="dxa"/>
          </w:tcPr>
          <w:p>
            <w:pPr>
              <w:pStyle w:val="Compact"/>
              <w:jc w:val="left"/>
            </w:pPr>
            <w:r>
              <w:t xml:space="preserve">Exclusion missed or misapplied</w:t>
            </w:r>
          </w:p>
        </w:tc>
      </w:tr>
      <w:tr>
        <w:tc>
          <w:tcPr>
            <w:tcW w:w="900" w:type="dxa"/>
          </w:tcPr>
          <w:p>
            <w:pPr>
              <w:pStyle w:val="Compact"/>
              <w:jc w:val="left"/>
            </w:pPr>
            <w:r>
              <w:t xml:space="preserve">7</w:t>
            </w:r>
          </w:p>
        </w:tc>
        <w:tc>
          <w:tcPr>
            <w:tcW w:w="1840" w:type="dxa"/>
          </w:tcPr>
          <w:p>
            <w:pPr>
              <w:pStyle w:val="Compact"/>
              <w:jc w:val="left"/>
            </w:pPr>
            <w:r>
              <w:t xml:space="preserve">USMCA, stacking, de minimis, drawback</w:t>
            </w:r>
          </w:p>
        </w:tc>
        <w:tc>
          <w:tcPr>
            <w:tcW w:w="2607" w:type="dxa"/>
          </w:tcPr>
          <w:p>
            <w:pPr>
              <w:pStyle w:val="Compact"/>
              <w:jc w:val="left"/>
            </w:pPr>
            <w:r>
              <w:t xml:space="preserve">Each answered with a source, or "not applicable"</w:t>
            </w:r>
          </w:p>
        </w:tc>
        <w:tc>
          <w:tcPr>
            <w:tcW w:w="1840" w:type="dxa"/>
          </w:tcPr>
          <w:p>
            <w:pPr>
              <w:pStyle w:val="Compact"/>
              <w:jc w:val="left"/>
            </w:pPr>
            <w:r>
              <w:t xml:space="preserve">One answered without a source</w:t>
            </w:r>
          </w:p>
        </w:tc>
        <w:tc>
          <w:tcPr>
            <w:tcW w:w="2172" w:type="dxa"/>
          </w:tcPr>
          <w:p>
            <w:pPr>
              <w:pStyle w:val="Compact"/>
              <w:jc w:val="left"/>
            </w:pPr>
            <w:r>
              <w:t xml:space="preserve">Wrong USMCA or stacking answer</w:t>
            </w:r>
          </w:p>
        </w:tc>
      </w:tr>
      <w:tr>
        <w:tc>
          <w:tcPr>
            <w:tcW w:w="900" w:type="dxa"/>
          </w:tcPr>
          <w:p>
            <w:pPr>
              <w:pStyle w:val="Compact"/>
              <w:jc w:val="left"/>
            </w:pPr>
            <w:r>
              <w:t xml:space="preserve">8</w:t>
            </w:r>
          </w:p>
        </w:tc>
        <w:tc>
          <w:tcPr>
            <w:tcW w:w="1840" w:type="dxa"/>
          </w:tcPr>
          <w:p>
            <w:pPr>
              <w:pStyle w:val="Compact"/>
              <w:jc w:val="left"/>
            </w:pPr>
            <w:r>
              <w:t xml:space="preserve">Interpretation and confidence</w:t>
            </w:r>
          </w:p>
        </w:tc>
        <w:tc>
          <w:tcPr>
            <w:tcW w:w="2607" w:type="dxa"/>
          </w:tcPr>
          <w:p>
            <w:pPr>
              <w:pStyle w:val="Compact"/>
              <w:jc w:val="left"/>
            </w:pPr>
            <w:r>
              <w:t xml:space="preserve">Quote then interpret; honest confidence; Medium or Low items that change scope sent to the broker or counsel through the Senior</w:t>
            </w:r>
          </w:p>
        </w:tc>
        <w:tc>
          <w:tcPr>
            <w:tcW w:w="1840" w:type="dxa"/>
          </w:tcPr>
          <w:p>
            <w:pPr>
              <w:pStyle w:val="Compact"/>
              <w:jc w:val="left"/>
            </w:pPr>
            <w:r>
              <w:t xml:space="preserve">Confidence missing on one item</w:t>
            </w:r>
          </w:p>
        </w:tc>
        <w:tc>
          <w:tcPr>
            <w:tcW w:w="2172" w:type="dxa"/>
          </w:tcPr>
          <w:p>
            <w:pPr>
              <w:pStyle w:val="Compact"/>
              <w:jc w:val="left"/>
            </w:pPr>
            <w:r>
              <w:t xml:space="preserve">A guess presented as fact</w:t>
            </w:r>
          </w:p>
        </w:tc>
      </w:tr>
      <w:tr>
        <w:tc>
          <w:tcPr>
            <w:tcW w:w="900" w:type="dxa"/>
          </w:tcPr>
          <w:p>
            <w:pPr>
              <w:pStyle w:val="Compact"/>
              <w:jc w:val="left"/>
            </w:pPr>
            <w:r>
              <w:t xml:space="preserve">9</w:t>
            </w:r>
          </w:p>
        </w:tc>
        <w:tc>
          <w:tcPr>
            <w:tcW w:w="1840" w:type="dxa"/>
          </w:tcPr>
          <w:p>
            <w:pPr>
              <w:pStyle w:val="Compact"/>
              <w:jc w:val="left"/>
            </w:pPr>
            <w:r>
              <w:t xml:space="preserve">Item scoping</w:t>
            </w:r>
          </w:p>
        </w:tc>
        <w:tc>
          <w:tcPr>
            <w:tcW w:w="2607" w:type="dxa"/>
          </w:tcPr>
          <w:p>
            <w:pPr>
              <w:pStyle w:val="Compact"/>
              <w:jc w:val="left"/>
            </w:pPr>
            <w:r>
              <w:t xml:space="preserve">Query saved; counts add up; borderline items listed</w:t>
            </w:r>
          </w:p>
        </w:tc>
        <w:tc>
          <w:tcPr>
            <w:tcW w:w="1840" w:type="dxa"/>
          </w:tcPr>
          <w:p>
            <w:pPr>
              <w:pStyle w:val="Compact"/>
              <w:jc w:val="left"/>
            </w:pPr>
            <w:r>
              <w:t xml:space="preserve">Counts add up but the query is not saved</w:t>
            </w:r>
          </w:p>
        </w:tc>
        <w:tc>
          <w:tcPr>
            <w:tcW w:w="2172" w:type="dxa"/>
          </w:tcPr>
          <w:p>
            <w:pPr>
              <w:pStyle w:val="Compact"/>
              <w:jc w:val="left"/>
            </w:pPr>
            <w:r>
              <w:t xml:space="preserve">Counts do not reconcile, or origin taken from the supplier address</w:t>
            </w:r>
          </w:p>
        </w:tc>
      </w:tr>
      <w:tr>
        <w:tc>
          <w:tcPr>
            <w:tcW w:w="900" w:type="dxa"/>
          </w:tcPr>
          <w:p>
            <w:pPr>
              <w:pStyle w:val="Compact"/>
              <w:jc w:val="left"/>
            </w:pPr>
            <w:r>
              <w:t xml:space="preserve">10</w:t>
            </w:r>
          </w:p>
        </w:tc>
        <w:tc>
          <w:tcPr>
            <w:tcW w:w="1840" w:type="dxa"/>
          </w:tcPr>
          <w:p>
            <w:pPr>
              <w:pStyle w:val="Compact"/>
              <w:jc w:val="left"/>
            </w:pPr>
            <w:r>
              <w:t xml:space="preserve">Boundary and control</w:t>
            </w:r>
          </w:p>
        </w:tc>
        <w:tc>
          <w:tcPr>
            <w:tcW w:w="2607" w:type="dxa"/>
          </w:tcPr>
          <w:p>
            <w:pPr>
              <w:pStyle w:val="Compact"/>
              <w:jc w:val="left"/>
            </w:pPr>
            <w:r>
              <w:t xml:space="preserve">No $; version, change log and Jira link complete; maker checklist done</w:t>
            </w:r>
          </w:p>
        </w:tc>
        <w:tc>
          <w:tcPr>
            <w:tcW w:w="1840" w:type="dxa"/>
          </w:tcPr>
          <w:p>
            <w:pPr>
              <w:pStyle w:val="Compact"/>
              <w:jc w:val="left"/>
            </w:pPr>
            <w:r>
              <w:t xml:space="preserve">One control item missing</w:t>
            </w:r>
          </w:p>
        </w:tc>
        <w:tc>
          <w:tcPr>
            <w:tcW w:w="2172" w:type="dxa"/>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68"/>
    <w:bookmarkEnd w:id="169"/>
    <w:bookmarkStart w:id="170" w:name="maintenance-log"/>
    <w:p>
      <w:pPr>
        <w:pStyle w:val="Heading2"/>
      </w:pPr>
      <w:r>
        <w:t xml:space="preserve">Maintenance log</w:t>
      </w:r>
    </w:p>
    <w:tbl>
      <w:tblPr>
        <w:tblStyle w:val="Table"/>
        <w:tblW w:type="dxa" w:w="9360"/>
        <w:tblLook w:firstRow="1" w:lastRow="0" w:firstColumn="0" w:lastColumn="0" w:noHBand="0" w:noVBand="0" w:val="0020"/>
        <w:jc w:val="start"/>
        <w:tblLayout w:type="fixed"/>
      </w:tblPr>
      <w:tblGrid>
        <w:gridCol w:w="1610"/>
        <w:gridCol w:w="3816"/>
        <w:gridCol w:w="2208"/>
        <w:gridCol w:w="1725"/>
      </w:tblGrid>
      <w:tr>
        <w:trPr>
          <w:tblHeader w:val="true"/>
        </w:trPr>
        <w:tc>
          <w:tcPr>
            <w:tcW w:w="1610" w:type="dxa"/>
          </w:tcPr>
          <w:p>
            <w:pPr>
              <w:pStyle w:val="Compact"/>
              <w:jc w:val="left"/>
            </w:pPr>
            <w:r>
              <w:t xml:space="preserve">Date</w:t>
            </w:r>
          </w:p>
        </w:tc>
        <w:tc>
          <w:tcPr>
            <w:tcW w:w="3816" w:type="dxa"/>
          </w:tcPr>
          <w:p>
            <w:pPr>
              <w:pStyle w:val="Compact"/>
              <w:jc w:val="left"/>
            </w:pPr>
            <w:r>
              <w:t xml:space="preserve">Change</w:t>
            </w:r>
          </w:p>
        </w:tc>
        <w:tc>
          <w:tcPr>
            <w:tcW w:w="2208" w:type="dxa"/>
          </w:tcPr>
          <w:p>
            <w:pPr>
              <w:pStyle w:val="Compact"/>
              <w:jc w:val="left"/>
            </w:pPr>
            <w:r>
              <w:t xml:space="preserve">Source</w:t>
            </w:r>
          </w:p>
        </w:tc>
        <w:tc>
          <w:tcPr>
            <w:tcW w:w="1725" w:type="dxa"/>
          </w:tcPr>
          <w:p>
            <w:pPr>
              <w:pStyle w:val="Compact"/>
              <w:jc w:val="left"/>
            </w:pPr>
            <w:r>
              <w:t xml:space="preserve">Updated by</w:t>
            </w:r>
          </w:p>
        </w:tc>
      </w:tr>
      <w:tr>
        <w:tc>
          <w:tcPr>
            <w:tcW w:w="1610" w:type="dxa"/>
          </w:tcPr>
          <w:p>
            <w:pPr>
              <w:pStyle w:val="Compact"/>
              <w:jc w:val="left"/>
            </w:pPr>
            <w:r>
              <w:t xml:space="preserve">2026-10-08</w:t>
            </w:r>
          </w:p>
        </w:tc>
        <w:tc>
          <w:tcPr>
            <w:tcW w:w="3816" w:type="dxa"/>
          </w:tcPr>
          <w:p>
            <w:pPr>
              <w:pStyle w:val="Compact"/>
              <w:jc w:val="left"/>
            </w:pPr>
            <w:r>
              <w:t xml:space="preserve">Edition v0.9 first draft compiled without opening any primary source</w:t>
            </w:r>
          </w:p>
        </w:tc>
        <w:tc>
          <w:tcPr>
            <w:tcW w:w="2208" w:type="dxa"/>
          </w:tcPr>
          <w:p>
            <w:pPr>
              <w:pStyle w:val="Compact"/>
              <w:jc w:val="left"/>
            </w:pPr>
            <w:r>
              <w:t xml:space="preserve">None opened</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tcW w:w="2208" w:type="dxa"/>
          </w:tcPr>
          <w:p>
            <w:pPr>
              <w:pStyle w:val="Compact"/>
              <w:jc w:val="left"/>
            </w:pPr>
            <w:r>
              <w:t xml:space="preserve">Official texts named in each row (Federal Register, White House, CBP CSMS and pages, USTR, USITC, CIT), read in search excerpts on 2026-10-08; secondary sources where labelled Reported</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tcW w:w="2208" w:type="dxa"/>
          </w:tcPr>
          <w:p>
            <w:pPr>
              <w:pStyle w:val="Compact"/>
              <w:jc w:val="left"/>
            </w:pPr>
            <w:r>
              <w:t xml:space="preserve">Gazette, CBSA, Finance Canada, DOF, Secretaría de Economía, SAT, USTR and FR texts named in each row,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tcW w:w="2208" w:type="dxa"/>
          </w:tcPr>
          <w:p>
            <w:pPr>
              <w:pStyle w:val="Compact"/>
              <w:jc w:val="left"/>
            </w:pPr>
            <w:r>
              <w:rPr>
                <w:rStyle w:val="VerbatimChar"/>
              </w:rPr>
              <w:t xml:space="preserve">docs/02-weeks-1-2-schedule.md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Second review corrections. US-3, US-7, US-8, 1.6 and Part 2: Section 232 metals no longer shown as giving USMCA goods no relief; Annex I-C mobile equipment and its USMCA non-US-content track (9903.82.20 and 9903.82.21, to 2027-12-31) and the Annex III 15% cap added (Reported). US-10: forced-labor and Brazil drawback changed from Unclear to Eligible (FD07 block of 2026-08-12 reversed). US-8: Section 338 stacking with Section 232 settled (only dairy-list goods keep 9903.03.15 from 2026-09-15); 9903.03.16 corrected to the civil aircraft exclusion; ban guidance CSMS added. US-3 and US-5: pharmaceutical 0% condition, drone partner caps, truck parts exemption, aircraft proclamation number and 180-day date, auto content timelines, solar safeguard sources. US-6: postal rule effective 2026-07-24. Canada: China-melt surtax exemption is US origin under the CUSMA marking rules (not country of export), C$5,000 threshold; quota schedules revised; remission coverage of the 2026 surtax and Schedule 6; SOR/2026-33 cited. Mexico: 2024 temporary IGI decrees and their 2026-04-23 renewal on about 185 fracciones; IMMEX cancellation list of 2026-09-29. USMCA: withdrawal clause and postponed fourth US-Mexico round. "What changed most recently" and C1, C3, C7, C10, E6 updated</w:t>
            </w:r>
          </w:p>
        </w:tc>
        <w:tc>
          <w:tcPr>
            <w:tcW w:w="2208" w:type="dxa"/>
          </w:tcPr>
          <w:p>
            <w:pPr>
              <w:pStyle w:val="Compact"/>
              <w:jc w:val="left"/>
            </w:pPr>
            <w:r>
              <w:t xml:space="preserve">Proclamation 11032 (FR 2026-11314) as summarised by law firms and brokers; CBP CSMS 69535943, 69567203, 69851916 and 70050970; FR 2026-09489, 2026-12669, 2026-16859; Proclamations 10984, 11040, 11055, 10339; USITC Pub. 5773; CBSA CN 25-24, 25-28, 26-23, 24-32; SOR/2025-154, SOR/2026-33, SOR/2025-122 consolidation; DOF decrees of 2024-04-22, 2024-12-19 and 2026-04-23 and avisos of 2026-06-30 and 2026-09-29 (law-firm and press summaries); SAT release of 2026-10-02; USMCA Article 34.6. All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urgency rule for 5 to 15 business days now says the checker reviews the draft on the same business day it is submitted; the weekly Friday routine moves to the last working day of the week when Friday is a holiday</w:t>
            </w:r>
          </w:p>
        </w:tc>
        <w:tc>
          <w:tcPr>
            <w:tcW w:w="2208" w:type="dxa"/>
          </w:tcPr>
          <w:p>
            <w:pPr>
              <w:pStyle w:val="Compact"/>
              <w:jc w:val="left"/>
            </w:pPr>
            <w:r>
              <w:rPr>
                <w:rStyle w:val="VerbatimChar"/>
              </w:rPr>
              <w:t xml:space="preserve">docs/01-30-60-90-plan.md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[YYYY-MM-DD]</w:t>
            </w:r>
          </w:p>
        </w:tc>
        <w:tc>
          <w:tcPr>
            <w:tcW w:w="3816" w:type="dxa"/>
          </w:tcPr>
          <w:p>
            <w:pPr>
              <w:pStyle w:val="Compact"/>
              <w:jc w:val="left"/>
            </w:pPr>
            <w:r>
              <w:t xml:space="preserve">[Row changed, old status, new status]</w:t>
            </w:r>
          </w:p>
        </w:tc>
        <w:tc>
          <w:tcPr>
            <w:tcW w:w="2208" w:type="dxa"/>
          </w:tcPr>
          <w:p>
            <w:pPr>
              <w:pStyle w:val="Compact"/>
              <w:jc w:val="left"/>
            </w:pPr>
            <w:r>
              <w:t xml:space="preserve">[Primary source and its date]</w:t>
            </w:r>
          </w:p>
        </w:tc>
        <w:tc>
          <w:tcPr>
            <w:tcW w:w="1725" w:type="dxa"/>
          </w:tcPr>
          <w:p>
            <w:pPr>
              <w:pStyle w:val="Compact"/>
              <w:jc w:val="left"/>
            </w:pPr>
            <w:r>
              <w:t xml:space="preserve">[Name; Senior initials if spot-checked]</w:t>
            </w:r>
          </w:p>
        </w:tc>
      </w:tr>
    </w:tbl>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2026-10-17T11:55:46Z</dcterms:created>
  <dcterms:modified xsi:type="dcterms:W3CDTF">2026-10-17T11:55:46Z</dcterms:modified>
</cp:coreProperties>
</file>

<file path=docProps/custom.xml><?xml version="1.0" encoding="utf-8"?>
<Properties xmlns="http://schemas.openxmlformats.org/officeDocument/2006/custom-properties" xmlns:vt="http://schemas.openxmlformats.org/officeDocument/2006/docPropsVTypes"/>
</file>