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uat-test-plan-template"/>
    <w:p>
      <w:pPr>
        <w:pStyle w:val="Heading1"/>
      </w:pPr>
      <w:r>
        <w:t xml:space="preserve">UAT Test Plan Template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plan, run and record user acceptance testing (UAT) so the business can decide on evidence whether a change is fit to go live. It covers custom tool changes, reports, interfaces and the e2open UAT cycles.</w:t>
      </w:r>
    </w:p>
    <w:p>
      <w:pPr>
        <w:numPr>
          <w:ilvl w:val="0"/>
          <w:numId w:val="1001"/>
        </w:numPr>
        <w:pStyle w:val="Compact"/>
      </w:pPr>
      <w:r>
        <w:rPr>
          <w:bCs/>
          <w:b/>
        </w:rPr>
        <w:t xml:space="preserve">Who uses it:</w:t>
      </w:r>
      <w:r>
        <w:t xml:space="preserve"> </w:t>
      </w:r>
      <w:r>
        <w:t xml:space="preserve">the BSA as UAT lead or tester; business testers; the checker (Senior or Manager), who reviews test cases and evidence; the developer, tool owner or vendor, who fixes defects; the business owner, who signs.</w:t>
      </w:r>
    </w:p>
    <w:p>
      <w:pPr>
        <w:numPr>
          <w:ilvl w:val="0"/>
          <w:numId w:val="1001"/>
        </w:numPr>
        <w:pStyle w:val="Compact"/>
      </w:pPr>
      <w:r>
        <w:rPr>
          <w:bCs/>
          <w:b/>
        </w:rPr>
        <w:t xml:space="preserve">When:</w:t>
      </w:r>
      <w:r>
        <w:t xml:space="preserve"> </w:t>
      </w:r>
      <w:r>
        <w:t xml:space="preserve">write the test cases as soon as the requirements are signed, not after the build. Taught in M4 in W7. Used for the first tool change in W8 (with</w:t>
      </w:r>
      <w:r>
        <w:t xml:space="preserve"> </w:t>
      </w:r>
      <w:r>
        <w:rPr>
          <w:rStyle w:val="VerbatimChar"/>
        </w:rPr>
        <w:t xml:space="preserve">docs/templates/bsa/06-change-request.md</w:t>
      </w:r>
      <w:r>
        <w:t xml:space="preserve">) and for e2open UAT once the build is ready (M10; [COMPANY: e2open UAT dates from the project plan]).</w:t>
      </w:r>
    </w:p>
    <w:bookmarkStart w:id="20"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t xml:space="preserve">Start from the acceptance criteria in the requirements (</w:t>
      </w:r>
      <w:r>
        <w:rPr>
          <w:rStyle w:val="VerbatimChar"/>
        </w:rPr>
        <w:t xml:space="preserve">docs/templates/bsa/02-requirements.md</w:t>
      </w:r>
      <w:r>
        <w:t xml:space="preserve">) or the Jira stories (</w:t>
      </w:r>
      <w:r>
        <w:rPr>
          <w:rStyle w:val="VerbatimChar"/>
        </w:rPr>
        <w:t xml:space="preserve">docs/templates/bsa/07-jira-epic-story.md</w:t>
      </w:r>
      <w:r>
        <w:t xml:space="preserve">). Each Must needs at least one test case. Add negative and boundary cases.</w:t>
      </w:r>
    </w:p>
    <w:p>
      <w:pPr>
        <w:numPr>
          <w:ilvl w:val="0"/>
          <w:numId w:val="1002"/>
        </w:numPr>
        <w:pStyle w:val="Compact"/>
      </w:pPr>
      <w:r>
        <w:t xml:space="preserve">Write the expected result before you run the test, with exact values. Work out duty by hand or with the shared Tariff-Impact Model, which computes duty only. Work out fees, freight and full landed cost by hand, using the rules in [COMPANY: name of std-cost tool]. "Works correctly" is not an expected result.</w:t>
      </w:r>
    </w:p>
    <w:p>
      <w:pPr>
        <w:numPr>
          <w:ilvl w:val="0"/>
          <w:numId w:val="1002"/>
        </w:numPr>
        <w:pStyle w:val="Compact"/>
      </w:pPr>
      <w:r>
        <w:t xml:space="preserve">List the test data each case needs (items, countries, dates, entries) and prepare it in the test environment. Never test in production. Supplier cost and margin data stays in access-controlled test locations.</w:t>
      </w:r>
    </w:p>
    <w:p>
      <w:pPr>
        <w:numPr>
          <w:ilvl w:val="0"/>
          <w:numId w:val="1002"/>
        </w:numPr>
        <w:pStyle w:val="Compact"/>
      </w:pPr>
      <w:r>
        <w:t xml:space="preserve">Have the checker review the test cases before execution. This is an entry criterion.</w:t>
      </w:r>
    </w:p>
    <w:p>
      <w:pPr>
        <w:numPr>
          <w:ilvl w:val="0"/>
          <w:numId w:val="1002"/>
        </w:numPr>
        <w:pStyle w:val="Compact"/>
      </w:pPr>
      <w:r>
        <w:t xml:space="preserve">Run the cases. Record what actually happened, in words and values, and save evidence named [Test case ID]</w:t>
      </w:r>
      <w:r>
        <w:rPr>
          <w:iCs/>
          <w:i/>
        </w:rPr>
        <w:t xml:space="preserve">[YYYY-MM-DD]</w:t>
      </w:r>
      <w:r>
        <w:t xml:space="preserve">[initials].</w:t>
      </w:r>
    </w:p>
    <w:p>
      <w:pPr>
        <w:numPr>
          <w:ilvl w:val="0"/>
          <w:numId w:val="1002"/>
        </w:numPr>
        <w:pStyle w:val="Compact"/>
      </w:pPr>
      <w:r>
        <w:t xml:space="preserve">When a case fails, log a defect the same day and link it to the case. After the fix, retest the case and re-run related cases (regression).</w:t>
      </w:r>
    </w:p>
    <w:p>
      <w:pPr>
        <w:numPr>
          <w:ilvl w:val="0"/>
          <w:numId w:val="1002"/>
        </w:numPr>
        <w:pStyle w:val="Compact"/>
      </w:pPr>
      <w:r>
        <w:t xml:space="preserve">When the exit criteria are met, write the summary and get sign-off.</w:t>
      </w:r>
    </w:p>
    <w:bookmarkEnd w:id="20"/>
    <w:bookmarkStart w:id="32" w:name="template"/>
    <w:p>
      <w:pPr>
        <w:pStyle w:val="Heading2"/>
      </w:pPr>
      <w:r>
        <w:t xml:space="preserve">Template</w:t>
      </w:r>
    </w:p>
    <w:bookmarkStart w:id="21" w:name="X8bfd369b3a8677e9ae957d474aecb686c7262f3"/>
    <w:p>
      <w:pPr>
        <w:pStyle w:val="Heading3"/>
      </w:pPr>
      <w:r>
        <w:t xml:space="preserve">1. Document control</w:t>
      </w:r>
    </w:p>
    <w:tbl>
      <w:tblPr>
        <w:tblStyle w:val="Table"/>
        <w:tblW w:type="dxa" w:w="9360"/>
        <w:tblLook w:firstRow="1" w:lastRow="0" w:firstColumn="0" w:lastColumn="0" w:noHBand="0" w:noVBand="0" w:val="0020"/>
        <w:jc w:val="start"/>
        <w:tblLayout w:type="fixed"/>
      </w:tblPr>
      <w:tblGrid>
        <w:gridCol w:w="3674"/>
        <w:gridCol w:w="5685"/>
      </w:tblGrid>
      <w:tr>
        <w:trPr>
          <w:tblHeader w:val="true"/>
        </w:trPr>
        <w:tc>
          <w:tcPr>
            <w:tcW w:w="3674" w:type="dxa"/>
          </w:tcPr>
          <w:p>
            <w:pPr>
              <w:pStyle w:val="Compact"/>
              <w:jc w:val="left"/>
            </w:pPr>
            <w:r>
              <w:t xml:space="preserve">Field</w:t>
            </w:r>
          </w:p>
        </w:tc>
        <w:tc>
          <w:tcPr>
            <w:tcW w:w="5685" w:type="dxa"/>
          </w:tcPr>
          <w:p>
            <w:pPr>
              <w:pStyle w:val="Compact"/>
              <w:jc w:val="left"/>
            </w:pPr>
            <w:r>
              <w:t xml:space="preserve">Entry</w:t>
            </w:r>
          </w:p>
        </w:tc>
      </w:tr>
      <w:tr>
        <w:tc>
          <w:tcPr>
            <w:tcW w:w="3674" w:type="dxa"/>
          </w:tcPr>
          <w:p>
            <w:pPr>
              <w:pStyle w:val="Compact"/>
              <w:jc w:val="left"/>
            </w:pPr>
            <w:r>
              <w:t xml:space="preserve">Test plan title and version</w:t>
            </w:r>
          </w:p>
        </w:tc>
        <w:tc>
          <w:tcPr>
            <w:tcW w:w="5685" w:type="dxa"/>
          </w:tcPr>
          <w:p>
            <w:pPr>
              <w:pStyle w:val="Compact"/>
              <w:jc w:val="left"/>
            </w:pPr>
            <w:r>
              <w:t xml:space="preserve">[Name, v0.1]</w:t>
            </w:r>
          </w:p>
        </w:tc>
      </w:tr>
      <w:tr>
        <w:tc>
          <w:tcPr>
            <w:tcW w:w="3674" w:type="dxa"/>
          </w:tcPr>
          <w:p>
            <w:pPr>
              <w:pStyle w:val="Compact"/>
              <w:jc w:val="left"/>
            </w:pPr>
            <w:r>
              <w:t xml:space="preserve">Change under test</w:t>
            </w:r>
          </w:p>
        </w:tc>
        <w:tc>
          <w:tcPr>
            <w:tcW w:w="5685" w:type="dxa"/>
          </w:tcPr>
          <w:p>
            <w:pPr>
              <w:pStyle w:val="Compact"/>
              <w:jc w:val="left"/>
            </w:pPr>
            <w:r>
              <w:t xml:space="preserve">[Jira epic or story; change request ID]</w:t>
            </w:r>
          </w:p>
        </w:tc>
      </w:tr>
      <w:tr>
        <w:tc>
          <w:tcPr>
            <w:tcW w:w="3674" w:type="dxa"/>
          </w:tcPr>
          <w:p>
            <w:pPr>
              <w:pStyle w:val="Compact"/>
              <w:jc w:val="left"/>
            </w:pPr>
            <w:r>
              <w:t xml:space="preserve">Build or version under test</w:t>
            </w:r>
          </w:p>
        </w:tc>
        <w:tc>
          <w:tcPr>
            <w:tcW w:w="5685" w:type="dxa"/>
          </w:tcPr>
          <w:p>
            <w:pPr>
              <w:pStyle w:val="Compact"/>
              <w:jc w:val="left"/>
            </w:pPr>
            <w:r>
              <w:t xml:space="preserve">[Build ID, file version, e2open release]</w:t>
            </w:r>
          </w:p>
        </w:tc>
      </w:tr>
      <w:tr>
        <w:tc>
          <w:tcPr>
            <w:tcW w:w="3674" w:type="dxa"/>
          </w:tcPr>
          <w:p>
            <w:pPr>
              <w:pStyle w:val="Compact"/>
              <w:jc w:val="left"/>
            </w:pPr>
            <w:r>
              <w:t xml:space="preserve">Test environment</w:t>
            </w:r>
          </w:p>
        </w:tc>
        <w:tc>
          <w:tcPr>
            <w:tcW w:w="5685" w:type="dxa"/>
          </w:tcPr>
          <w:p>
            <w:pPr>
              <w:pStyle w:val="Compact"/>
              <w:jc w:val="left"/>
            </w:pPr>
            <w:r>
              <w:t xml:space="preserve">[COMPANY: test environment or e2open sandbox]</w:t>
            </w:r>
          </w:p>
        </w:tc>
      </w:tr>
      <w:tr>
        <w:tc>
          <w:tcPr>
            <w:tcW w:w="3674" w:type="dxa"/>
          </w:tcPr>
          <w:p>
            <w:pPr>
              <w:pStyle w:val="Compact"/>
              <w:jc w:val="left"/>
            </w:pPr>
            <w:r>
              <w:t xml:space="preserve">UAT lead</w:t>
            </w:r>
          </w:p>
        </w:tc>
        <w:tc>
          <w:tcPr>
            <w:tcW w:w="5685" w:type="dxa"/>
          </w:tcPr>
          <w:p>
            <w:pPr>
              <w:pStyle w:val="Compact"/>
              <w:jc w:val="left"/>
            </w:pPr>
            <w:r>
              <w:t xml:space="preserve">[Name]</w:t>
            </w:r>
          </w:p>
        </w:tc>
      </w:tr>
      <w:tr>
        <w:tc>
          <w:tcPr>
            <w:tcW w:w="3674" w:type="dxa"/>
          </w:tcPr>
          <w:p>
            <w:pPr>
              <w:pStyle w:val="Compact"/>
              <w:jc w:val="left"/>
            </w:pPr>
            <w:r>
              <w:t xml:space="preserve">Checker</w:t>
            </w:r>
          </w:p>
        </w:tc>
        <w:tc>
          <w:tcPr>
            <w:tcW w:w="5685" w:type="dxa"/>
          </w:tcPr>
          <w:p>
            <w:pPr>
              <w:pStyle w:val="Compact"/>
              <w:jc w:val="left"/>
            </w:pPr>
            <w:r>
              <w:t xml:space="preserve">[Senior or Manager]</w:t>
            </w:r>
          </w:p>
        </w:tc>
      </w:tr>
      <w:tr>
        <w:tc>
          <w:tcPr>
            <w:tcW w:w="3674" w:type="dxa"/>
          </w:tcPr>
          <w:p>
            <w:pPr>
              <w:pStyle w:val="Compact"/>
              <w:jc w:val="left"/>
            </w:pPr>
            <w:r>
              <w:t xml:space="preserve">Business owner</w:t>
            </w:r>
          </w:p>
        </w:tc>
        <w:tc>
          <w:tcPr>
            <w:tcW w:w="5685" w:type="dxa"/>
          </w:tcPr>
          <w:p>
            <w:pPr>
              <w:pStyle w:val="Compact"/>
              <w:jc w:val="left"/>
            </w:pPr>
            <w:r>
              <w:t xml:space="preserve">[COMPANY: role]</w:t>
            </w:r>
          </w:p>
        </w:tc>
      </w:tr>
    </w:tbl>
    <w:bookmarkEnd w:id="21"/>
    <w:bookmarkStart w:id="22" w:name="Xb66d8751654b4b3bfdfa8df98730d37eb4be826"/>
    <w:p>
      <w:pPr>
        <w:pStyle w:val="Heading3"/>
      </w:pPr>
      <w:r>
        <w:t xml:space="preserve">2. Scope</w:t>
      </w:r>
    </w:p>
    <w:p>
      <w:pPr>
        <w:numPr>
          <w:ilvl w:val="0"/>
          <w:numId w:val="1003"/>
        </w:numPr>
        <w:pStyle w:val="Compact"/>
      </w:pPr>
      <w:r>
        <w:rPr>
          <w:bCs/>
          <w:b/>
        </w:rPr>
        <w:t xml:space="preserve">In scope:</w:t>
      </w:r>
      <w:r>
        <w:t xml:space="preserve"> </w:t>
      </w:r>
      <w:r>
        <w:t xml:space="preserve">[requirement IDs, features, interfaces, countries, item sets]</w:t>
      </w:r>
    </w:p>
    <w:p>
      <w:pPr>
        <w:numPr>
          <w:ilvl w:val="0"/>
          <w:numId w:val="1003"/>
        </w:numPr>
        <w:pStyle w:val="Compact"/>
      </w:pPr>
      <w:r>
        <w:rPr>
          <w:bCs/>
          <w:b/>
        </w:rPr>
        <w:t xml:space="preserve">Out of scope:</w:t>
      </w:r>
      <w:r>
        <w:t xml:space="preserve"> </w:t>
      </w:r>
      <w:r>
        <w:t xml:space="preserve">[what is not tested, and why]</w:t>
      </w:r>
    </w:p>
    <w:p>
      <w:pPr>
        <w:numPr>
          <w:ilvl w:val="0"/>
          <w:numId w:val="1003"/>
        </w:numPr>
        <w:pStyle w:val="Compact"/>
      </w:pPr>
      <w:r>
        <w:rPr>
          <w:bCs/>
          <w:b/>
        </w:rPr>
        <w:t xml:space="preserve">Test data:</w:t>
      </w:r>
      <w:r>
        <w:t xml:space="preserve"> </w:t>
      </w:r>
      <w:r>
        <w:t xml:space="preserve">[source, refresh date, who prepares it, how sensitive data is protected]</w:t>
      </w:r>
    </w:p>
    <w:p>
      <w:pPr>
        <w:numPr>
          <w:ilvl w:val="0"/>
          <w:numId w:val="1003"/>
        </w:numPr>
        <w:pStyle w:val="Compact"/>
      </w:pPr>
      <w:r>
        <w:rPr>
          <w:bCs/>
          <w:b/>
        </w:rPr>
        <w:t xml:space="preserve">Assumptions:</w:t>
      </w:r>
      <w:r>
        <w:t xml:space="preserve"> </w:t>
      </w:r>
      <w:r>
        <w:t xml:space="preserve">[for example: development and system testing are complete; the broker test file can be produced in test]</w:t>
      </w:r>
    </w:p>
    <w:bookmarkEnd w:id="22"/>
    <w:bookmarkStart w:id="23" w:name="X838a47893603db862b9e39ac692986087c6d108"/>
    <w:p>
      <w:pPr>
        <w:pStyle w:val="Heading3"/>
      </w:pPr>
      <w:r>
        <w:t xml:space="preserve">3. Entry criteria (all must be true before testing starts)</w:t>
      </w:r>
    </w:p>
    <w:p>
      <w:pPr>
        <w:numPr>
          <w:ilvl w:val="0"/>
          <w:numId w:val="1004"/>
        </w:numPr>
        <w:pStyle w:val="Compact"/>
      </w:pPr>
      <w:r>
        <w:t xml:space="preserve">☐ Requirements or stories are signed off, with acceptance criteria.</w:t>
      </w:r>
    </w:p>
    <w:p>
      <w:pPr>
        <w:numPr>
          <w:ilvl w:val="0"/>
          <w:numId w:val="1004"/>
        </w:numPr>
        <w:pStyle w:val="Compact"/>
      </w:pPr>
      <w:r>
        <w:t xml:space="preserve">☐ The build is in the test environment, with release notes listing what changed.</w:t>
      </w:r>
    </w:p>
    <w:p>
      <w:pPr>
        <w:numPr>
          <w:ilvl w:val="0"/>
          <w:numId w:val="1004"/>
        </w:numPr>
        <w:pStyle w:val="Compact"/>
      </w:pPr>
      <w:r>
        <w:t xml:space="preserve">☐ The developer, tool owner or vendor has finished their own testing and shared the results.</w:t>
      </w:r>
    </w:p>
    <w:p>
      <w:pPr>
        <w:numPr>
          <w:ilvl w:val="0"/>
          <w:numId w:val="1004"/>
        </w:numPr>
        <w:pStyle w:val="Compact"/>
      </w:pPr>
      <w:r>
        <w:t xml:space="preserve">☐ Test data is loaded and reconciled (</w:t>
      </w:r>
      <w:r>
        <w:rPr>
          <w:rStyle w:val="VerbatimChar"/>
        </w:rPr>
        <w:t xml:space="preserve">docs/templates/bsa/04-data-mapping-spec.md</w:t>
      </w:r>
      <w:r>
        <w:t xml:space="preserve">, Part 7).</w:t>
      </w:r>
    </w:p>
    <w:p>
      <w:pPr>
        <w:numPr>
          <w:ilvl w:val="0"/>
          <w:numId w:val="1004"/>
        </w:numPr>
        <w:pStyle w:val="Compact"/>
      </w:pPr>
      <w:r>
        <w:t xml:space="preserve">☐ Testers have test-environment access (least privilege; no shared logins).</w:t>
      </w:r>
    </w:p>
    <w:p>
      <w:pPr>
        <w:numPr>
          <w:ilvl w:val="0"/>
          <w:numId w:val="1004"/>
        </w:numPr>
        <w:pStyle w:val="Compact"/>
      </w:pPr>
      <w:r>
        <w:t xml:space="preserve">☐ Test cases have expected results and are reviewed by the checker.</w:t>
      </w:r>
    </w:p>
    <w:p>
      <w:pPr>
        <w:numPr>
          <w:ilvl w:val="0"/>
          <w:numId w:val="1004"/>
        </w:numPr>
        <w:pStyle w:val="Compact"/>
      </w:pPr>
      <w:r>
        <w:t xml:space="preserve">☐ Known defects are listed, so testers don't re-log them.</w:t>
      </w:r>
    </w:p>
    <w:bookmarkEnd w:id="23"/>
    <w:bookmarkStart w:id="24" w:name="X4f2295ce7e6dfe825a1c7c6b840312214a3ff27"/>
    <w:p>
      <w:pPr>
        <w:pStyle w:val="Heading3"/>
      </w:pPr>
      <w:r>
        <w:t xml:space="preserve">4. Exit criteria (all must be true to recommend go-live)</w:t>
      </w:r>
    </w:p>
    <w:p>
      <w:pPr>
        <w:numPr>
          <w:ilvl w:val="0"/>
          <w:numId w:val="1005"/>
        </w:numPr>
        <w:pStyle w:val="Compact"/>
      </w:pPr>
      <w:r>
        <w:t xml:space="preserve">☐ 100% of Must test cases are executed; [COMPANY: target, for example 95%] of all cases pass.</w:t>
      </w:r>
    </w:p>
    <w:p>
      <w:pPr>
        <w:numPr>
          <w:ilvl w:val="0"/>
          <w:numId w:val="1005"/>
        </w:numPr>
        <w:pStyle w:val="Compact"/>
      </w:pPr>
      <w:r>
        <w:t xml:space="preserve">☐ No open Critical or High defects.</w:t>
      </w:r>
    </w:p>
    <w:p>
      <w:pPr>
        <w:numPr>
          <w:ilvl w:val="0"/>
          <w:numId w:val="1005"/>
        </w:numPr>
        <w:pStyle w:val="Compact"/>
      </w:pPr>
      <w:r>
        <w:t xml:space="preserve">☐ Every open Medium or Low defect has a workaround, an owner and a fix date, agreed by the business owner.</w:t>
      </w:r>
    </w:p>
    <w:p>
      <w:pPr>
        <w:numPr>
          <w:ilvl w:val="0"/>
          <w:numId w:val="1005"/>
        </w:numPr>
        <w:pStyle w:val="Compact"/>
      </w:pPr>
      <w:r>
        <w:t xml:space="preserve">☐ Data reconciliation passed for the final test load.</w:t>
      </w:r>
    </w:p>
    <w:p>
      <w:pPr>
        <w:numPr>
          <w:ilvl w:val="0"/>
          <w:numId w:val="1005"/>
        </w:numPr>
        <w:pStyle w:val="Compact"/>
      </w:pPr>
      <w:r>
        <w:t xml:space="preserve">☐ Regression cases for interfaces (broker feeds, Oracle loads) passed.</w:t>
      </w:r>
    </w:p>
    <w:p>
      <w:pPr>
        <w:numPr>
          <w:ilvl w:val="0"/>
          <w:numId w:val="1005"/>
        </w:numPr>
        <w:pStyle w:val="Compact"/>
      </w:pPr>
      <w:r>
        <w:t xml:space="preserve">☐ Evidence for every executed case is saved and linked.</w:t>
      </w:r>
    </w:p>
    <w:p>
      <w:pPr>
        <w:numPr>
          <w:ilvl w:val="0"/>
          <w:numId w:val="1005"/>
        </w:numPr>
        <w:pStyle w:val="Compact"/>
      </w:pPr>
      <w:r>
        <w:t xml:space="preserve">☐ Sign-off is recorded.</w:t>
      </w:r>
    </w:p>
    <w:bookmarkEnd w:id="24"/>
    <w:bookmarkStart w:id="25" w:name="X65e628ad8cd2d7ca9afe20ea517426359bf9bdd"/>
    <w:p>
      <w:pPr>
        <w:pStyle w:val="Heading3"/>
      </w:pPr>
      <w:r>
        <w:t xml:space="preserve">5. Roles</w:t>
      </w:r>
    </w:p>
    <w:tbl>
      <w:tblPr>
        <w:tblStyle w:val="Table"/>
        <w:tblW w:type="dxa" w:w="9360"/>
        <w:tblLook w:firstRow="1" w:lastRow="0" w:firstColumn="0" w:lastColumn="0" w:noHBand="0" w:noVBand="0" w:val="0020"/>
        <w:jc w:val="start"/>
        <w:tblLayout w:type="fixed"/>
      </w:tblPr>
      <w:tblGrid>
        <w:gridCol w:w="1984"/>
        <w:gridCol w:w="1879"/>
        <w:gridCol w:w="5496"/>
      </w:tblGrid>
      <w:tr>
        <w:trPr>
          <w:tblHeader w:val="true"/>
        </w:trPr>
        <w:tc>
          <w:tcPr>
            <w:tcW w:w="1984" w:type="dxa"/>
          </w:tcPr>
          <w:p>
            <w:pPr>
              <w:pStyle w:val="Compact"/>
              <w:jc w:val="left"/>
            </w:pPr>
            <w:r>
              <w:t xml:space="preserve">Role</w:t>
            </w:r>
          </w:p>
        </w:tc>
        <w:tc>
          <w:tcPr>
            <w:tcW w:w="1879" w:type="dxa"/>
          </w:tcPr>
          <w:p>
            <w:pPr>
              <w:pStyle w:val="Compact"/>
              <w:jc w:val="left"/>
            </w:pPr>
            <w:r>
              <w:t xml:space="preserve">Name</w:t>
            </w:r>
          </w:p>
        </w:tc>
        <w:tc>
          <w:tcPr>
            <w:tcW w:w="5496" w:type="dxa"/>
          </w:tcPr>
          <w:p>
            <w:pPr>
              <w:pStyle w:val="Compact"/>
              <w:jc w:val="left"/>
            </w:pPr>
            <w:r>
              <w:t xml:space="preserve">Responsibilities</w:t>
            </w:r>
          </w:p>
        </w:tc>
      </w:tr>
      <w:tr>
        <w:tc>
          <w:tcPr>
            <w:tcW w:w="1984" w:type="dxa"/>
          </w:tcPr>
          <w:p>
            <w:pPr>
              <w:pStyle w:val="Compact"/>
              <w:jc w:val="left"/>
            </w:pPr>
            <w:r>
              <w:t xml:space="preserve">UAT lead</w:t>
            </w:r>
          </w:p>
        </w:tc>
        <w:tc>
          <w:tcPr>
            <w:tcW w:w="1879" w:type="dxa"/>
          </w:tcPr>
          <w:p>
            <w:pPr>
              <w:pStyle w:val="Compact"/>
              <w:jc w:val="left"/>
            </w:pPr>
            <w:r>
              <w:t xml:space="preserve">[BSA]</w:t>
            </w:r>
          </w:p>
        </w:tc>
        <w:tc>
          <w:tcPr>
            <w:tcW w:w="5496" w:type="dxa"/>
          </w:tcPr>
          <w:p>
            <w:pPr>
              <w:pStyle w:val="Compact"/>
              <w:jc w:val="left"/>
            </w:pPr>
            <w:r>
              <w:t xml:space="preserve">Plan, test data, schedule, daily status, defect triage, summary</w:t>
            </w:r>
          </w:p>
        </w:tc>
      </w:tr>
      <w:tr>
        <w:tc>
          <w:tcPr>
            <w:tcW w:w="1984" w:type="dxa"/>
          </w:tcPr>
          <w:p>
            <w:pPr>
              <w:pStyle w:val="Compact"/>
              <w:jc w:val="left"/>
            </w:pPr>
            <w:r>
              <w:t xml:space="preserve">Tester</w:t>
            </w:r>
          </w:p>
        </w:tc>
        <w:tc>
          <w:tcPr>
            <w:tcW w:w="1879" w:type="dxa"/>
          </w:tcPr>
          <w:p>
            <w:pPr>
              <w:pStyle w:val="Compact"/>
              <w:jc w:val="left"/>
            </w:pPr>
            <w:r>
              <w:t xml:space="preserve">[Business users and BSAs]</w:t>
            </w:r>
          </w:p>
        </w:tc>
        <w:tc>
          <w:tcPr>
            <w:tcW w:w="5496" w:type="dxa"/>
          </w:tcPr>
          <w:p>
            <w:pPr>
              <w:pStyle w:val="Compact"/>
              <w:jc w:val="left"/>
            </w:pPr>
            <w:r>
              <w:t xml:space="preserve">Run cases, record actual results and evidence, log defects</w:t>
            </w:r>
          </w:p>
        </w:tc>
      </w:tr>
      <w:tr>
        <w:tc>
          <w:tcPr>
            <w:tcW w:w="1984" w:type="dxa"/>
          </w:tcPr>
          <w:p>
            <w:pPr>
              <w:pStyle w:val="Compact"/>
              <w:jc w:val="left"/>
            </w:pPr>
            <w:r>
              <w:t xml:space="preserve">Checker</w:t>
            </w:r>
          </w:p>
        </w:tc>
        <w:tc>
          <w:tcPr>
            <w:tcW w:w="1879" w:type="dxa"/>
          </w:tcPr>
          <w:p>
            <w:pPr>
              <w:pStyle w:val="Compact"/>
              <w:jc w:val="left"/>
            </w:pPr>
            <w:r>
              <w:t xml:space="preserve">[Senior or Manager]</w:t>
            </w:r>
          </w:p>
        </w:tc>
        <w:tc>
          <w:tcPr>
            <w:tcW w:w="5496" w:type="dxa"/>
          </w:tcPr>
          <w:p>
            <w:pPr>
              <w:pStyle w:val="Compact"/>
              <w:jc w:val="left"/>
            </w:pPr>
            <w:r>
              <w:t xml:space="preserve">Review cases before execution and evidence before sign-off</w:t>
            </w:r>
          </w:p>
        </w:tc>
      </w:tr>
      <w:tr>
        <w:tc>
          <w:tcPr>
            <w:tcW w:w="1984" w:type="dxa"/>
          </w:tcPr>
          <w:p>
            <w:pPr>
              <w:pStyle w:val="Compact"/>
              <w:jc w:val="left"/>
            </w:pPr>
            <w:r>
              <w:t xml:space="preserve">Developer, tool owner or vendor</w:t>
            </w:r>
          </w:p>
        </w:tc>
        <w:tc>
          <w:tcPr>
            <w:tcW w:w="1879" w:type="dxa"/>
          </w:tcPr>
          <w:p>
            <w:pPr>
              <w:pStyle w:val="Compact"/>
              <w:jc w:val="left"/>
            </w:pPr>
            <w:r>
              <w:t xml:space="preserve">[Name]</w:t>
            </w:r>
          </w:p>
        </w:tc>
        <w:tc>
          <w:tcPr>
            <w:tcW w:w="5496" w:type="dxa"/>
          </w:tcPr>
          <w:p>
            <w:pPr>
              <w:pStyle w:val="Compact"/>
              <w:jc w:val="left"/>
            </w:pPr>
            <w:r>
              <w:t xml:space="preserve">Fix defects; deploy fixed builds with notes</w:t>
            </w:r>
          </w:p>
        </w:tc>
      </w:tr>
      <w:tr>
        <w:tc>
          <w:tcPr>
            <w:tcW w:w="1984" w:type="dxa"/>
          </w:tcPr>
          <w:p>
            <w:pPr>
              <w:pStyle w:val="Compact"/>
              <w:jc w:val="left"/>
            </w:pPr>
            <w:r>
              <w:t xml:space="preserve">Data owner</w:t>
            </w:r>
          </w:p>
        </w:tc>
        <w:tc>
          <w:tcPr>
            <w:tcW w:w="1879" w:type="dxa"/>
          </w:tcPr>
          <w:p>
            <w:pPr>
              <w:pStyle w:val="Compact"/>
              <w:jc w:val="left"/>
            </w:pPr>
            <w:r>
              <w:t xml:space="preserve">[COMPANY: role]</w:t>
            </w:r>
          </w:p>
        </w:tc>
        <w:tc>
          <w:tcPr>
            <w:tcW w:w="5496" w:type="dxa"/>
          </w:tcPr>
          <w:p>
            <w:pPr>
              <w:pStyle w:val="Compact"/>
              <w:jc w:val="left"/>
            </w:pPr>
            <w:r>
              <w:t xml:space="preserve">Confirm test data and reconciliation</w:t>
            </w:r>
          </w:p>
        </w:tc>
      </w:tr>
      <w:tr>
        <w:tc>
          <w:tcPr>
            <w:tcW w:w="1984" w:type="dxa"/>
          </w:tcPr>
          <w:p>
            <w:pPr>
              <w:pStyle w:val="Compact"/>
              <w:jc w:val="left"/>
            </w:pPr>
            <w:r>
              <w:t xml:space="preserve">Business owner</w:t>
            </w:r>
          </w:p>
        </w:tc>
        <w:tc>
          <w:tcPr>
            <w:tcW w:w="1879" w:type="dxa"/>
          </w:tcPr>
          <w:p>
            <w:pPr>
              <w:pStyle w:val="Compact"/>
              <w:jc w:val="left"/>
            </w:pPr>
            <w:r>
              <w:t xml:space="preserve">[COMPANY: role]</w:t>
            </w:r>
          </w:p>
        </w:tc>
        <w:tc>
          <w:tcPr>
            <w:tcW w:w="5496" w:type="dxa"/>
          </w:tcPr>
          <w:p>
            <w:pPr>
              <w:pStyle w:val="Compact"/>
              <w:jc w:val="left"/>
            </w:pPr>
            <w:r>
              <w:t xml:space="preserve">Decide go or no-go; sign off</w:t>
            </w:r>
          </w:p>
        </w:tc>
      </w:tr>
    </w:tbl>
    <w:bookmarkEnd w:id="25"/>
    <w:bookmarkStart w:id="26" w:name="Xff0f04bdee79ccfef6d6a0b240cba1b13922e13"/>
    <w:p>
      <w:pPr>
        <w:pStyle w:val="Heading3"/>
      </w:pPr>
      <w:r>
        <w:t xml:space="preserve">6. Schedule</w:t>
      </w:r>
    </w:p>
    <w:tbl>
      <w:tblPr>
        <w:tblStyle w:val="Table"/>
        <w:tblW w:type="dxa" w:w="9360"/>
        <w:tblLook w:firstRow="1" w:lastRow="0" w:firstColumn="0" w:lastColumn="0" w:noHBand="0" w:noVBand="0" w:val="0020"/>
        <w:jc w:val="start"/>
        <w:tblLayout w:type="fixed"/>
      </w:tblPr>
      <w:tblGrid>
        <w:gridCol w:w="5727"/>
        <w:gridCol w:w="1357"/>
        <w:gridCol w:w="917"/>
        <w:gridCol w:w="1357"/>
      </w:tblGrid>
      <w:tr>
        <w:trPr>
          <w:tblHeader w:val="true"/>
        </w:trPr>
        <w:tc>
          <w:tcPr>
            <w:tcW w:w="5727" w:type="dxa"/>
          </w:tcPr>
          <w:p>
            <w:pPr>
              <w:pStyle w:val="Compact"/>
              <w:jc w:val="left"/>
            </w:pPr>
            <w:r>
              <w:t xml:space="preserve">Activity</w:t>
            </w:r>
          </w:p>
        </w:tc>
        <w:tc>
          <w:tcPr>
            <w:tcW w:w="1357" w:type="dxa"/>
          </w:tcPr>
          <w:p>
            <w:pPr>
              <w:pStyle w:val="Compact"/>
              <w:jc w:val="left"/>
            </w:pPr>
            <w:r>
              <w:t xml:space="preserve">Start</w:t>
            </w:r>
          </w:p>
        </w:tc>
        <w:tc>
          <w:tcPr>
            <w:tcW w:w="917" w:type="dxa"/>
          </w:tcPr>
          <w:p>
            <w:pPr>
              <w:pStyle w:val="Compact"/>
              <w:jc w:val="left"/>
            </w:pPr>
            <w:r>
              <w:t xml:space="preserve">End</w:t>
            </w:r>
          </w:p>
        </w:tc>
        <w:tc>
          <w:tcPr>
            <w:tcW w:w="1357" w:type="dxa"/>
          </w:tcPr>
          <w:p>
            <w:pPr>
              <w:pStyle w:val="Compact"/>
              <w:jc w:val="left"/>
            </w:pPr>
            <w:r>
              <w:t xml:space="preserve">Owner</w:t>
            </w:r>
          </w:p>
        </w:tc>
      </w:tr>
      <w:tr>
        <w:tc>
          <w:tcPr>
            <w:tcW w:w="5727" w:type="dxa"/>
          </w:tcPr>
          <w:p>
            <w:pPr>
              <w:pStyle w:val="Compact"/>
              <w:jc w:val="left"/>
            </w:pPr>
            <w:r>
              <w:t xml:space="preserve">Test cases written and reviewed</w:t>
            </w:r>
          </w:p>
        </w:tc>
        <w:tc>
          <w:tcPr>
            <w:tcW w:w="1357" w:type="dxa"/>
          </w:tcPr>
          <w:p>
            <w:pPr>
              <w:pStyle w:val="Compact"/>
              <w:jc w:val="left"/>
            </w:pPr>
            <w:r>
              <w:t xml:space="preserve">[ ]</w:t>
            </w:r>
          </w:p>
        </w:tc>
        <w:tc>
          <w:tcPr>
            <w:tcW w:w="917" w:type="dxa"/>
          </w:tcPr>
          <w:p>
            <w:pPr>
              <w:pStyle w:val="Compact"/>
              <w:jc w:val="left"/>
            </w:pPr>
            <w:r>
              <w:t xml:space="preserve">[ ]</w:t>
            </w:r>
          </w:p>
        </w:tc>
        <w:tc>
          <w:tcPr>
            <w:tcW w:w="1357" w:type="dxa"/>
          </w:tcPr>
          <w:p>
            <w:pPr>
              <w:pStyle w:val="Compact"/>
              <w:jc w:val="left"/>
            </w:pPr>
            <w:r>
              <w:t xml:space="preserve">[ ]</w:t>
            </w:r>
          </w:p>
        </w:tc>
      </w:tr>
      <w:tr>
        <w:tc>
          <w:tcPr>
            <w:tcW w:w="5727" w:type="dxa"/>
          </w:tcPr>
          <w:p>
            <w:pPr>
              <w:pStyle w:val="Compact"/>
              <w:jc w:val="left"/>
            </w:pPr>
            <w:r>
              <w:t xml:space="preserve">Test data ready</w:t>
            </w:r>
          </w:p>
        </w:tc>
        <w:tc>
          <w:tcPr>
            <w:tcW w:w="1357" w:type="dxa"/>
          </w:tcPr>
          <w:p>
            <w:pPr>
              <w:pStyle w:val="Compact"/>
              <w:jc w:val="left"/>
            </w:pPr>
            <w:r>
              <w:t xml:space="preserve">[ ]</w:t>
            </w:r>
          </w:p>
        </w:tc>
        <w:tc>
          <w:tcPr>
            <w:tcW w:w="917" w:type="dxa"/>
          </w:tcPr>
          <w:p>
            <w:pPr>
              <w:pStyle w:val="Compact"/>
              <w:jc w:val="left"/>
            </w:pPr>
            <w:r>
              <w:t xml:space="preserve">[ ]</w:t>
            </w:r>
          </w:p>
        </w:tc>
        <w:tc>
          <w:tcPr>
            <w:tcW w:w="1357" w:type="dxa"/>
          </w:tcPr>
          <w:p>
            <w:pPr>
              <w:pStyle w:val="Compact"/>
              <w:jc w:val="left"/>
            </w:pPr>
            <w:r>
              <w:t xml:space="preserve">[ ]</w:t>
            </w:r>
          </w:p>
        </w:tc>
      </w:tr>
      <w:tr>
        <w:tc>
          <w:tcPr>
            <w:tcW w:w="5727" w:type="dxa"/>
          </w:tcPr>
          <w:p>
            <w:pPr>
              <w:pStyle w:val="Compact"/>
              <w:jc w:val="left"/>
            </w:pPr>
            <w:r>
              <w:t xml:space="preserve">Execution cycle 1</w:t>
            </w:r>
          </w:p>
        </w:tc>
        <w:tc>
          <w:tcPr>
            <w:tcW w:w="1357" w:type="dxa"/>
          </w:tcPr>
          <w:p>
            <w:pPr>
              <w:pStyle w:val="Compact"/>
              <w:jc w:val="left"/>
            </w:pPr>
            <w:r>
              <w:t xml:space="preserve">[ ]</w:t>
            </w:r>
          </w:p>
        </w:tc>
        <w:tc>
          <w:tcPr>
            <w:tcW w:w="917" w:type="dxa"/>
          </w:tcPr>
          <w:p>
            <w:pPr>
              <w:pStyle w:val="Compact"/>
              <w:jc w:val="left"/>
            </w:pPr>
            <w:r>
              <w:t xml:space="preserve">[ ]</w:t>
            </w:r>
          </w:p>
        </w:tc>
        <w:tc>
          <w:tcPr>
            <w:tcW w:w="1357" w:type="dxa"/>
          </w:tcPr>
          <w:p>
            <w:pPr>
              <w:pStyle w:val="Compact"/>
              <w:jc w:val="left"/>
            </w:pPr>
            <w:r>
              <w:t xml:space="preserve">[ ]</w:t>
            </w:r>
          </w:p>
        </w:tc>
      </w:tr>
      <w:tr>
        <w:tc>
          <w:tcPr>
            <w:tcW w:w="5727" w:type="dxa"/>
          </w:tcPr>
          <w:p>
            <w:pPr>
              <w:pStyle w:val="Compact"/>
              <w:jc w:val="left"/>
            </w:pPr>
            <w:r>
              <w:t xml:space="preserve">Fixes and retest</w:t>
            </w:r>
          </w:p>
        </w:tc>
        <w:tc>
          <w:tcPr>
            <w:tcW w:w="1357" w:type="dxa"/>
          </w:tcPr>
          <w:p>
            <w:pPr>
              <w:pStyle w:val="Compact"/>
              <w:jc w:val="left"/>
            </w:pPr>
            <w:r>
              <w:t xml:space="preserve">[ ]</w:t>
            </w:r>
          </w:p>
        </w:tc>
        <w:tc>
          <w:tcPr>
            <w:tcW w:w="917" w:type="dxa"/>
          </w:tcPr>
          <w:p>
            <w:pPr>
              <w:pStyle w:val="Compact"/>
              <w:jc w:val="left"/>
            </w:pPr>
            <w:r>
              <w:t xml:space="preserve">[ ]</w:t>
            </w:r>
          </w:p>
        </w:tc>
        <w:tc>
          <w:tcPr>
            <w:tcW w:w="1357" w:type="dxa"/>
          </w:tcPr>
          <w:p>
            <w:pPr>
              <w:pStyle w:val="Compact"/>
              <w:jc w:val="left"/>
            </w:pPr>
            <w:r>
              <w:t xml:space="preserve">[ ]</w:t>
            </w:r>
          </w:p>
        </w:tc>
      </w:tr>
      <w:tr>
        <w:tc>
          <w:tcPr>
            <w:tcW w:w="5727" w:type="dxa"/>
          </w:tcPr>
          <w:p>
            <w:pPr>
              <w:pStyle w:val="Compact"/>
              <w:jc w:val="left"/>
            </w:pPr>
            <w:r>
              <w:t xml:space="preserve">Sign-off</w:t>
            </w:r>
          </w:p>
        </w:tc>
        <w:tc>
          <w:tcPr>
            <w:tcW w:w="1357" w:type="dxa"/>
          </w:tcPr>
          <w:p>
            <w:pPr>
              <w:pStyle w:val="Compact"/>
              <w:jc w:val="left"/>
            </w:pPr>
            <w:r>
              <w:t xml:space="preserve">[ ]</w:t>
            </w:r>
          </w:p>
        </w:tc>
        <w:tc>
          <w:tcPr>
            <w:tcW w:w="917" w:type="dxa"/>
          </w:tcPr>
          <w:p>
            <w:pPr>
              <w:pStyle w:val="Compact"/>
              <w:jc w:val="left"/>
            </w:pPr>
            <w:r>
              <w:t xml:space="preserve">[ ]</w:t>
            </w:r>
          </w:p>
        </w:tc>
        <w:tc>
          <w:tcPr>
            <w:tcW w:w="1357" w:type="dxa"/>
          </w:tcPr>
          <w:p>
            <w:pPr>
              <w:pStyle w:val="Compact"/>
              <w:jc w:val="left"/>
            </w:pPr>
            <w:r>
              <w:t xml:space="preserve">[ ]</w:t>
            </w:r>
          </w:p>
        </w:tc>
      </w:tr>
    </w:tbl>
    <w:bookmarkEnd w:id="26"/>
    <w:bookmarkStart w:id="27" w:name="X71aa22fb27a8487ac06617f3c5e71af478fd33c"/>
    <w:p>
      <w:pPr>
        <w:pStyle w:val="Heading3"/>
      </w:pPr>
      <w:r>
        <w:t xml:space="preserve">7. Test scenarios</w:t>
      </w:r>
    </w:p>
    <w:tbl>
      <w:tblPr>
        <w:tblStyle w:val="Table"/>
        <w:tblW w:type="dxa" w:w="9360"/>
        <w:tblLook w:firstRow="1" w:lastRow="0" w:firstColumn="0" w:lastColumn="0" w:noHBand="0" w:noVBand="0" w:val="0020"/>
        <w:jc w:val="start"/>
        <w:tblLayout w:type="fixed"/>
      </w:tblPr>
      <w:tblGrid>
        <w:gridCol w:w="1322"/>
        <w:gridCol w:w="3079"/>
        <w:gridCol w:w="1746"/>
        <w:gridCol w:w="2320"/>
        <w:gridCol w:w="891"/>
      </w:tblGrid>
      <w:tr>
        <w:trPr>
          <w:tblHeader w:val="true"/>
        </w:trPr>
        <w:tc>
          <w:tcPr>
            <w:tcW w:w="1322" w:type="dxa"/>
          </w:tcPr>
          <w:p>
            <w:pPr>
              <w:pStyle w:val="Compact"/>
              <w:jc w:val="left"/>
            </w:pPr>
            <w:r>
              <w:t xml:space="preserve">Scenario ID</w:t>
            </w:r>
          </w:p>
        </w:tc>
        <w:tc>
          <w:tcPr>
            <w:tcW w:w="3079" w:type="dxa"/>
          </w:tcPr>
          <w:p>
            <w:pPr>
              <w:pStyle w:val="Compact"/>
              <w:jc w:val="left"/>
            </w:pPr>
            <w:r>
              <w:t xml:space="preserve">Scenario</w:t>
            </w:r>
          </w:p>
        </w:tc>
        <w:tc>
          <w:tcPr>
            <w:tcW w:w="1746" w:type="dxa"/>
          </w:tcPr>
          <w:p>
            <w:pPr>
              <w:pStyle w:val="Compact"/>
              <w:jc w:val="left"/>
            </w:pPr>
            <w:r>
              <w:t xml:space="preserve">Requirement IDs</w:t>
            </w:r>
          </w:p>
        </w:tc>
        <w:tc>
          <w:tcPr>
            <w:tcW w:w="2320" w:type="dxa"/>
          </w:tcPr>
          <w:p>
            <w:pPr>
              <w:pStyle w:val="Compact"/>
              <w:jc w:val="left"/>
            </w:pPr>
            <w:r>
              <w:t xml:space="preserve">Priority</w:t>
            </w:r>
          </w:p>
        </w:tc>
        <w:tc>
          <w:tcPr>
            <w:tcW w:w="891" w:type="dxa"/>
          </w:tcPr>
          <w:p>
            <w:pPr>
              <w:pStyle w:val="Compact"/>
              <w:jc w:val="left"/>
            </w:pPr>
            <w:r>
              <w:t xml:space="preserve">Tester</w:t>
            </w:r>
          </w:p>
        </w:tc>
      </w:tr>
      <w:tr>
        <w:tc>
          <w:tcPr>
            <w:tcW w:w="1322" w:type="dxa"/>
          </w:tcPr>
          <w:p>
            <w:pPr>
              <w:pStyle w:val="Compact"/>
              <w:jc w:val="left"/>
            </w:pPr>
            <w:r>
              <w:t xml:space="preserve">[TS-01]</w:t>
            </w:r>
          </w:p>
        </w:tc>
        <w:tc>
          <w:tcPr>
            <w:tcW w:w="3079" w:type="dxa"/>
          </w:tcPr>
          <w:p>
            <w:pPr>
              <w:pStyle w:val="Compact"/>
              <w:jc w:val="left"/>
            </w:pPr>
            <w:r>
              <w:t xml:space="preserve">[Business situation to prove]</w:t>
            </w:r>
          </w:p>
        </w:tc>
        <w:tc>
          <w:tcPr>
            <w:tcW w:w="1746" w:type="dxa"/>
          </w:tcPr>
          <w:p>
            <w:pPr>
              <w:pStyle w:val="Compact"/>
              <w:jc w:val="left"/>
            </w:pPr>
            <w:r>
              <w:t xml:space="preserve">[FR IDs]</w:t>
            </w:r>
          </w:p>
        </w:tc>
        <w:tc>
          <w:tcPr>
            <w:tcW w:w="2320" w:type="dxa"/>
          </w:tcPr>
          <w:p>
            <w:pPr>
              <w:pStyle w:val="Compact"/>
              <w:jc w:val="left"/>
            </w:pPr>
            <w:r>
              <w:t xml:space="preserve">[Must, Should, Could]</w:t>
            </w:r>
          </w:p>
        </w:tc>
        <w:tc>
          <w:tcPr>
            <w:tcW w:w="891" w:type="dxa"/>
          </w:tcPr>
          <w:p>
            <w:pPr>
              <w:pStyle w:val="Compact"/>
              <w:jc w:val="left"/>
            </w:pPr>
            <w:r>
              <w:t xml:space="preserve">[Name]</w:t>
            </w:r>
          </w:p>
        </w:tc>
      </w:tr>
    </w:tbl>
    <w:p>
      <w:pPr>
        <w:pStyle w:val="BodyText"/>
      </w:pPr>
      <w:r>
        <w:t xml:space="preserve">Starter trade scenarios. Keep the ones that apply and add the rest from the requirements.</w:t>
      </w:r>
    </w:p>
    <w:tbl>
      <w:tblPr>
        <w:tblStyle w:val="Table"/>
        <w:tblW w:type="dxa" w:w="9360"/>
        <w:tblLook w:firstRow="1" w:lastRow="0" w:firstColumn="0" w:lastColumn="0" w:noHBand="0" w:noVBand="0" w:val="0020"/>
        <w:jc w:val="start"/>
        <w:tblLayout w:type="fixed"/>
      </w:tblPr>
      <w:tblGrid>
        <w:gridCol w:w="812"/>
        <w:gridCol w:w="1671"/>
        <w:gridCol w:w="5059"/>
        <w:gridCol w:w="812"/>
        <w:gridCol w:w="1005"/>
      </w:tblGrid>
      <w:tr>
        <w:trPr>
          <w:tblHeader w:val="true"/>
        </w:trPr>
        <w:tc>
          <w:tcPr>
            <w:tcW w:w="812" w:type="dxa"/>
          </w:tcPr>
          <w:p>
            <w:pPr>
              <w:pStyle w:val="Compact"/>
              <w:jc w:val="left"/>
            </w:pPr>
            <w:r>
              <w:t xml:space="preserve">Scenario ID</w:t>
            </w:r>
          </w:p>
        </w:tc>
        <w:tc>
          <w:tcPr>
            <w:tcW w:w="1671" w:type="dxa"/>
          </w:tcPr>
          <w:p>
            <w:pPr>
              <w:pStyle w:val="Compact"/>
              <w:jc w:val="left"/>
            </w:pPr>
            <w:r>
              <w:t xml:space="preserve">Scenario</w:t>
            </w:r>
          </w:p>
        </w:tc>
        <w:tc>
          <w:tcPr>
            <w:tcW w:w="5059" w:type="dxa"/>
          </w:tcPr>
          <w:p>
            <w:pPr>
              <w:pStyle w:val="Compact"/>
              <w:jc w:val="left"/>
            </w:pPr>
            <w:r>
              <w:t xml:space="preserve">What it proves</w:t>
            </w:r>
          </w:p>
        </w:tc>
        <w:tc>
          <w:tcPr>
            <w:tcW w:w="812" w:type="dxa"/>
          </w:tcPr>
          <w:p>
            <w:pPr>
              <w:pStyle w:val="Compact"/>
              <w:jc w:val="left"/>
            </w:pPr>
            <w:r>
              <w:t xml:space="preserve">Priority</w:t>
            </w:r>
          </w:p>
        </w:tc>
        <w:tc>
          <w:tcPr>
            <w:tcW w:w="1005" w:type="dxa"/>
          </w:tcPr>
          <w:p>
            <w:pPr>
              <w:pStyle w:val="Compact"/>
              <w:jc w:val="left"/>
            </w:pPr>
            <w:r>
              <w:t xml:space="preserve">Typical tester</w:t>
            </w:r>
          </w:p>
        </w:tc>
      </w:tr>
      <w:tr>
        <w:tc>
          <w:tcPr>
            <w:tcW w:w="812" w:type="dxa"/>
          </w:tcPr>
          <w:p>
            <w:pPr>
              <w:pStyle w:val="Compact"/>
              <w:jc w:val="left"/>
            </w:pPr>
            <w:r>
              <w:t xml:space="preserve">TS-01</w:t>
            </w:r>
          </w:p>
        </w:tc>
        <w:tc>
          <w:tcPr>
            <w:tcW w:w="1671" w:type="dxa"/>
          </w:tcPr>
          <w:p>
            <w:pPr>
              <w:pStyle w:val="Compact"/>
              <w:jc w:val="left"/>
            </w:pPr>
            <w:r>
              <w:t xml:space="preserve">A classification change flows to the broker feed</w:t>
            </w:r>
          </w:p>
        </w:tc>
        <w:tc>
          <w:tcPr>
            <w:tcW w:w="5059" w:type="dxa"/>
          </w:tcPr>
          <w:p>
            <w:pPr>
              <w:pStyle w:val="Compact"/>
              <w:jc w:val="left"/>
            </w:pPr>
            <w:r>
              <w:t xml:space="preserve">An approved HTS change reaches the right broker file, for the right country, once, from the right date; nothing else changes</w:t>
            </w:r>
          </w:p>
        </w:tc>
        <w:tc>
          <w:tcPr>
            <w:tcW w:w="812" w:type="dxa"/>
          </w:tcPr>
          <w:p>
            <w:pPr>
              <w:pStyle w:val="Compact"/>
              <w:jc w:val="left"/>
            </w:pPr>
            <w:r>
              <w:t xml:space="preserve">Must</w:t>
            </w:r>
          </w:p>
        </w:tc>
        <w:tc>
          <w:tcPr>
            <w:tcW w:w="1005" w:type="dxa"/>
          </w:tcPr>
          <w:p>
            <w:pPr>
              <w:pStyle w:val="Compact"/>
              <w:jc w:val="left"/>
            </w:pPr>
            <w:r>
              <w:t xml:space="preserve">Research BSA</w:t>
            </w:r>
          </w:p>
        </w:tc>
      </w:tr>
      <w:tr>
        <w:tc>
          <w:tcPr>
            <w:tcW w:w="812" w:type="dxa"/>
          </w:tcPr>
          <w:p>
            <w:pPr>
              <w:pStyle w:val="Compact"/>
              <w:jc w:val="left"/>
            </w:pPr>
            <w:r>
              <w:t xml:space="preserve">TS-02</w:t>
            </w:r>
          </w:p>
        </w:tc>
        <w:tc>
          <w:tcPr>
            <w:tcW w:w="1671" w:type="dxa"/>
          </w:tcPr>
          <w:p>
            <w:pPr>
              <w:pStyle w:val="Compact"/>
              <w:jc w:val="left"/>
            </w:pPr>
            <w:r>
              <w:t xml:space="preserve">USMCA qualification result</w:t>
            </w:r>
          </w:p>
        </w:tc>
        <w:tc>
          <w:tcPr>
            <w:tcW w:w="5059" w:type="dxa"/>
          </w:tcPr>
          <w:p>
            <w:pPr>
              <w:pStyle w:val="Compact"/>
              <w:jc w:val="left"/>
            </w:pPr>
            <w:r>
              <w:t xml:space="preserve">The system's qualification result and origin criterion match a hand-worked result; missing or expired certifications block the claim</w:t>
            </w:r>
          </w:p>
        </w:tc>
        <w:tc>
          <w:tcPr>
            <w:tcW w:w="812" w:type="dxa"/>
          </w:tcPr>
          <w:p>
            <w:pPr>
              <w:pStyle w:val="Compact"/>
              <w:jc w:val="left"/>
            </w:pPr>
            <w:r>
              <w:t xml:space="preserve">Must</w:t>
            </w:r>
          </w:p>
        </w:tc>
        <w:tc>
          <w:tcPr>
            <w:tcW w:w="1005" w:type="dxa"/>
          </w:tcPr>
          <w:p>
            <w:pPr>
              <w:pStyle w:val="Compact"/>
              <w:jc w:val="left"/>
            </w:pPr>
            <w:r>
              <w:t xml:space="preserve">Research BSA</w:t>
            </w:r>
          </w:p>
        </w:tc>
      </w:tr>
      <w:tr>
        <w:tc>
          <w:tcPr>
            <w:tcW w:w="812" w:type="dxa"/>
          </w:tcPr>
          <w:p>
            <w:pPr>
              <w:pStyle w:val="Compact"/>
              <w:jc w:val="left"/>
            </w:pPr>
            <w:r>
              <w:t xml:space="preserve">TS-03</w:t>
            </w:r>
          </w:p>
        </w:tc>
        <w:tc>
          <w:tcPr>
            <w:tcW w:w="1671" w:type="dxa"/>
          </w:tcPr>
          <w:p>
            <w:pPr>
              <w:pStyle w:val="Compact"/>
              <w:jc w:val="left"/>
            </w:pPr>
            <w:r>
              <w:t xml:space="preserve">Landed-cost and duty calculation matches expected</w:t>
            </w:r>
          </w:p>
        </w:tc>
        <w:tc>
          <w:tcPr>
            <w:tcW w:w="5059" w:type="dxa"/>
          </w:tcPr>
          <w:p>
            <w:pPr>
              <w:pStyle w:val="Compact"/>
              <w:jc w:val="left"/>
            </w:pPr>
            <w:r>
              <w:t xml:space="preserve">Duty per unit matches the Tariff-Impact Model (duty only); fees and full landed cost per unit match a hand calculation using [COMPANY: name of std-cost tool] rules, within tolerance</w:t>
            </w:r>
          </w:p>
        </w:tc>
        <w:tc>
          <w:tcPr>
            <w:tcW w:w="812" w:type="dxa"/>
          </w:tcPr>
          <w:p>
            <w:pPr>
              <w:pStyle w:val="Compact"/>
              <w:jc w:val="left"/>
            </w:pPr>
            <w:r>
              <w:t xml:space="preserve">Must</w:t>
            </w:r>
          </w:p>
        </w:tc>
        <w:tc>
          <w:tcPr>
            <w:tcW w:w="1005" w:type="dxa"/>
          </w:tcPr>
          <w:p>
            <w:pPr>
              <w:pStyle w:val="Compact"/>
              <w:jc w:val="left"/>
            </w:pPr>
            <w:r>
              <w:t xml:space="preserve">Standard Cost BSA</w:t>
            </w:r>
          </w:p>
        </w:tc>
      </w:tr>
      <w:tr>
        <w:tc>
          <w:tcPr>
            <w:tcW w:w="812" w:type="dxa"/>
          </w:tcPr>
          <w:p>
            <w:pPr>
              <w:pStyle w:val="Compact"/>
              <w:jc w:val="left"/>
            </w:pPr>
            <w:r>
              <w:t xml:space="preserve">TS-04</w:t>
            </w:r>
          </w:p>
        </w:tc>
        <w:tc>
          <w:tcPr>
            <w:tcW w:w="1671" w:type="dxa"/>
          </w:tcPr>
          <w:p>
            <w:pPr>
              <w:pStyle w:val="Compact"/>
              <w:jc w:val="left"/>
            </w:pPr>
            <w:r>
              <w:t xml:space="preserve">Tariff effective-date handling</w:t>
            </w:r>
          </w:p>
        </w:tc>
        <w:tc>
          <w:tcPr>
            <w:tcW w:w="5059" w:type="dxa"/>
          </w:tcPr>
          <w:p>
            <w:pPr>
              <w:pStyle w:val="Compact"/>
              <w:jc w:val="left"/>
            </w:pPr>
            <w:r>
              <w:t xml:space="preserve">The rate is chosen by the date of entry (or withdrawal from warehouse for consumption), with correct behavior on both sides of the effective date and for any in-transit terms</w:t>
            </w:r>
          </w:p>
        </w:tc>
        <w:tc>
          <w:tcPr>
            <w:tcW w:w="812" w:type="dxa"/>
          </w:tcPr>
          <w:p>
            <w:pPr>
              <w:pStyle w:val="Compact"/>
              <w:jc w:val="left"/>
            </w:pPr>
            <w:r>
              <w:t xml:space="preserve">Must</w:t>
            </w:r>
          </w:p>
        </w:tc>
        <w:tc>
          <w:tcPr>
            <w:tcW w:w="1005" w:type="dxa"/>
          </w:tcPr>
          <w:p>
            <w:pPr>
              <w:pStyle w:val="Compact"/>
              <w:jc w:val="left"/>
            </w:pPr>
            <w:r>
              <w:t xml:space="preserve">Research and Standard Cost BSAs</w:t>
            </w:r>
          </w:p>
        </w:tc>
      </w:tr>
      <w:tr>
        <w:tc>
          <w:tcPr>
            <w:tcW w:w="812" w:type="dxa"/>
          </w:tcPr>
          <w:p>
            <w:pPr>
              <w:pStyle w:val="Compact"/>
              <w:jc w:val="left"/>
            </w:pPr>
            <w:r>
              <w:t xml:space="preserve">TS-05</w:t>
            </w:r>
          </w:p>
        </w:tc>
        <w:tc>
          <w:tcPr>
            <w:tcW w:w="1671" w:type="dxa"/>
          </w:tcPr>
          <w:p>
            <w:pPr>
              <w:pStyle w:val="Compact"/>
              <w:jc w:val="left"/>
            </w:pPr>
            <w:r>
              <w:t xml:space="preserve">Stacking and exclusions</w:t>
            </w:r>
          </w:p>
        </w:tc>
        <w:tc>
          <w:tcPr>
            <w:tcW w:w="5059" w:type="dxa"/>
          </w:tcPr>
          <w:p>
            <w:pPr>
              <w:pStyle w:val="Compact"/>
              <w:jc w:val="left"/>
            </w:pPr>
            <w:r>
              <w:t xml:space="preserve">Additional duties combine (or don't) exactly as the Tariff-Impact Brief says; excluded items get no additional duty</w:t>
            </w:r>
          </w:p>
        </w:tc>
        <w:tc>
          <w:tcPr>
            <w:tcW w:w="812" w:type="dxa"/>
          </w:tcPr>
          <w:p>
            <w:pPr>
              <w:pStyle w:val="Compact"/>
              <w:jc w:val="left"/>
            </w:pPr>
            <w:r>
              <w:t xml:space="preserve">Must</w:t>
            </w:r>
          </w:p>
        </w:tc>
        <w:tc>
          <w:tcPr>
            <w:tcW w:w="1005" w:type="dxa"/>
          </w:tcPr>
          <w:p>
            <w:pPr>
              <w:pStyle w:val="Compact"/>
              <w:jc w:val="left"/>
            </w:pPr>
            <w:r>
              <w:t xml:space="preserve">Research BSA</w:t>
            </w:r>
          </w:p>
        </w:tc>
      </w:tr>
      <w:tr>
        <w:tc>
          <w:tcPr>
            <w:tcW w:w="812" w:type="dxa"/>
          </w:tcPr>
          <w:p>
            <w:pPr>
              <w:pStyle w:val="Compact"/>
              <w:jc w:val="left"/>
            </w:pPr>
            <w:r>
              <w:t xml:space="preserve">TS-06</w:t>
            </w:r>
          </w:p>
        </w:tc>
        <w:tc>
          <w:tcPr>
            <w:tcW w:w="1671" w:type="dxa"/>
          </w:tcPr>
          <w:p>
            <w:pPr>
              <w:pStyle w:val="Compact"/>
              <w:jc w:val="left"/>
            </w:pPr>
            <w:r>
              <w:t xml:space="preserve">Duty base by country</w:t>
            </w:r>
          </w:p>
        </w:tc>
        <w:tc>
          <w:tcPr>
            <w:tcW w:w="5059" w:type="dxa"/>
          </w:tcPr>
          <w:p>
            <w:pPr>
              <w:pStyle w:val="Compact"/>
              <w:jc w:val="left"/>
            </w:pPr>
            <w:r>
              <w:t xml:space="preserve">The duty base follows each country's rule: the US and Canada generally leave international freight out of the duty base, Mexico includes freight and insurance to the point of entry (details in</w:t>
            </w:r>
            <w:r>
              <w:t xml:space="preserve"> </w:t>
            </w:r>
            <w:r>
              <w:rPr>
                <w:rStyle w:val="VerbatimChar"/>
              </w:rPr>
              <w:t xml:space="preserve">docs/primers/customs-trade-compliance-primer.md</w:t>
            </w:r>
            <w:r>
              <w:t xml:space="preserve">)</w:t>
            </w:r>
          </w:p>
        </w:tc>
        <w:tc>
          <w:tcPr>
            <w:tcW w:w="812" w:type="dxa"/>
          </w:tcPr>
          <w:p>
            <w:pPr>
              <w:pStyle w:val="Compact"/>
              <w:jc w:val="left"/>
            </w:pPr>
            <w:r>
              <w:t xml:space="preserve">Must</w:t>
            </w:r>
          </w:p>
        </w:tc>
        <w:tc>
          <w:tcPr>
            <w:tcW w:w="1005" w:type="dxa"/>
          </w:tcPr>
          <w:p>
            <w:pPr>
              <w:pStyle w:val="Compact"/>
              <w:jc w:val="left"/>
            </w:pPr>
            <w:r>
              <w:t xml:space="preserve">Standard Cost BSA</w:t>
            </w:r>
          </w:p>
        </w:tc>
      </w:tr>
      <w:tr>
        <w:tc>
          <w:tcPr>
            <w:tcW w:w="812" w:type="dxa"/>
          </w:tcPr>
          <w:p>
            <w:pPr>
              <w:pStyle w:val="Compact"/>
              <w:jc w:val="left"/>
            </w:pPr>
            <w:r>
              <w:t xml:space="preserve">TS-07</w:t>
            </w:r>
          </w:p>
        </w:tc>
        <w:tc>
          <w:tcPr>
            <w:tcW w:w="1671" w:type="dxa"/>
          </w:tcPr>
          <w:p>
            <w:pPr>
              <w:pStyle w:val="Compact"/>
              <w:jc w:val="left"/>
            </w:pPr>
            <w:r>
              <w:t xml:space="preserve">Incomplete item blocked</w:t>
            </w:r>
          </w:p>
        </w:tc>
        <w:tc>
          <w:tcPr>
            <w:tcW w:w="5059" w:type="dxa"/>
          </w:tcPr>
          <w:p>
            <w:pPr>
              <w:pStyle w:val="Compact"/>
              <w:jc w:val="left"/>
            </w:pPr>
            <w:r>
              <w:t xml:space="preserve">A new item without a classification for a country is not sent to that country's broker feed, and someone is alerted</w:t>
            </w:r>
          </w:p>
        </w:tc>
        <w:tc>
          <w:tcPr>
            <w:tcW w:w="812" w:type="dxa"/>
          </w:tcPr>
          <w:p>
            <w:pPr>
              <w:pStyle w:val="Compact"/>
              <w:jc w:val="left"/>
            </w:pPr>
            <w:r>
              <w:t xml:space="preserve">Should</w:t>
            </w:r>
          </w:p>
        </w:tc>
        <w:tc>
          <w:tcPr>
            <w:tcW w:w="1005" w:type="dxa"/>
          </w:tcPr>
          <w:p>
            <w:pPr>
              <w:pStyle w:val="Compact"/>
              <w:jc w:val="left"/>
            </w:pPr>
            <w:r>
              <w:t xml:space="preserve">Research BSA</w:t>
            </w:r>
          </w:p>
        </w:tc>
      </w:tr>
      <w:tr>
        <w:tc>
          <w:tcPr>
            <w:tcW w:w="812" w:type="dxa"/>
          </w:tcPr>
          <w:p>
            <w:pPr>
              <w:pStyle w:val="Compact"/>
              <w:jc w:val="left"/>
            </w:pPr>
            <w:r>
              <w:t xml:space="preserve">TS-08</w:t>
            </w:r>
          </w:p>
        </w:tc>
        <w:tc>
          <w:tcPr>
            <w:tcW w:w="1671" w:type="dxa"/>
          </w:tcPr>
          <w:p>
            <w:pPr>
              <w:pStyle w:val="Compact"/>
              <w:jc w:val="left"/>
            </w:pPr>
            <w:r>
              <w:t xml:space="preserve">Maker-checker in the system</w:t>
            </w:r>
          </w:p>
        </w:tc>
        <w:tc>
          <w:tcPr>
            <w:tcW w:w="5059" w:type="dxa"/>
          </w:tcPr>
          <w:p>
            <w:pPr>
              <w:pStyle w:val="Compact"/>
              <w:jc w:val="left"/>
            </w:pPr>
            <w:r>
              <w:t xml:space="preserve">A user cannot approve their own classification or rate change</w:t>
            </w:r>
          </w:p>
        </w:tc>
        <w:tc>
          <w:tcPr>
            <w:tcW w:w="812" w:type="dxa"/>
          </w:tcPr>
          <w:p>
            <w:pPr>
              <w:pStyle w:val="Compact"/>
              <w:jc w:val="left"/>
            </w:pPr>
            <w:r>
              <w:t xml:space="preserve">Must</w:t>
            </w:r>
          </w:p>
        </w:tc>
        <w:tc>
          <w:tcPr>
            <w:tcW w:w="1005" w:type="dxa"/>
          </w:tcPr>
          <w:p>
            <w:pPr>
              <w:pStyle w:val="Compact"/>
              <w:jc w:val="left"/>
            </w:pPr>
            <w:r>
              <w:t xml:space="preserve">UAT lead</w:t>
            </w:r>
          </w:p>
        </w:tc>
      </w:tr>
      <w:tr>
        <w:tc>
          <w:tcPr>
            <w:tcW w:w="812" w:type="dxa"/>
          </w:tcPr>
          <w:p>
            <w:pPr>
              <w:pStyle w:val="Compact"/>
              <w:jc w:val="left"/>
            </w:pPr>
            <w:r>
              <w:t xml:space="preserve">TS-09</w:t>
            </w:r>
          </w:p>
        </w:tc>
        <w:tc>
          <w:tcPr>
            <w:tcW w:w="1671" w:type="dxa"/>
          </w:tcPr>
          <w:p>
            <w:pPr>
              <w:pStyle w:val="Compact"/>
              <w:jc w:val="left"/>
            </w:pPr>
            <w:r>
              <w:t xml:space="preserve">Legacy vs e2open parallel comparison</w:t>
            </w:r>
          </w:p>
        </w:tc>
        <w:tc>
          <w:tcPr>
            <w:tcW w:w="5059" w:type="dxa"/>
          </w:tcPr>
          <w:p>
            <w:pPr>
              <w:pStyle w:val="Compact"/>
              <w:jc w:val="left"/>
            </w:pPr>
            <w:r>
              <w:t xml:space="preserve">For the same period and inputs, e2open's broker feed and duty results equal the AS400 outputs (or the custom tool's, where the AS400 does not calculate them), or each difference is explained by an approved change or a cleansing log entry (</w:t>
            </w:r>
            <w:r>
              <w:rPr>
                <w:rStyle w:val="VerbatimChar"/>
              </w:rPr>
              <w:t xml:space="preserve">docs/templates/bsa/04-data-mapping-spec.md</w:t>
            </w:r>
            <w:r>
              <w:t xml:space="preserve">, Part 6)</w:t>
            </w:r>
          </w:p>
        </w:tc>
        <w:tc>
          <w:tcPr>
            <w:tcW w:w="812" w:type="dxa"/>
          </w:tcPr>
          <w:p>
            <w:pPr>
              <w:pStyle w:val="Compact"/>
              <w:jc w:val="left"/>
            </w:pPr>
            <w:r>
              <w:t xml:space="preserve">Must</w:t>
            </w:r>
          </w:p>
        </w:tc>
        <w:tc>
          <w:tcPr>
            <w:tcW w:w="1005" w:type="dxa"/>
          </w:tcPr>
          <w:p>
            <w:pPr>
              <w:pStyle w:val="Compact"/>
              <w:jc w:val="left"/>
            </w:pPr>
            <w:r>
              <w:t xml:space="preserve">Research and Standard Cost BSAs</w:t>
            </w:r>
          </w:p>
        </w:tc>
      </w:tr>
    </w:tbl>
    <w:bookmarkEnd w:id="27"/>
    <w:bookmarkStart w:id="28" w:name="X97dc8c375514a9d5d8401c0132425f07790113a"/>
    <w:p>
      <w:pPr>
        <w:pStyle w:val="Heading3"/>
      </w:pPr>
      <w:r>
        <w:t xml:space="preserve">8. Test cases</w:t>
      </w:r>
    </w:p>
    <w:p>
      <w:pPr>
        <w:pStyle w:val="FirstParagraph"/>
      </w:pPr>
      <w:r>
        <w:t xml:space="preserve">Put preconditions and test data at the start of Steps. Expected results use exact values.</w:t>
      </w:r>
    </w:p>
    <w:tbl>
      <w:tblPr>
        <w:tblStyle w:val="Table"/>
        <w:tblW w:type="dxa" w:w="9360"/>
        <w:tblLook w:firstRow="1" w:lastRow="0" w:firstColumn="0" w:lastColumn="0" w:noHBand="0" w:noVBand="0" w:val="0020"/>
        <w:jc w:val="start"/>
        <w:tblLayout w:type="fixed"/>
      </w:tblPr>
      <w:tblGrid>
        <w:gridCol w:w="868"/>
        <w:gridCol w:w="2760"/>
        <w:gridCol w:w="1571"/>
        <w:gridCol w:w="2786"/>
        <w:gridCol w:w="1373"/>
      </w:tblGrid>
      <w:tr>
        <w:trPr>
          <w:tblHeader w:val="true"/>
        </w:trPr>
        <w:tc>
          <w:tcPr>
            <w:tcW w:w="868" w:type="dxa"/>
          </w:tcPr>
          <w:p>
            <w:pPr>
              <w:pStyle w:val="Compact"/>
              <w:jc w:val="left"/>
            </w:pPr>
            <w:r>
              <w:t xml:space="preserve">ID</w:t>
            </w:r>
          </w:p>
        </w:tc>
        <w:tc>
          <w:tcPr>
            <w:tcW w:w="2760" w:type="dxa"/>
          </w:tcPr>
          <w:p>
            <w:pPr>
              <w:pStyle w:val="Compact"/>
              <w:jc w:val="left"/>
            </w:pPr>
            <w:r>
              <w:t xml:space="preserve">Steps</w:t>
            </w:r>
          </w:p>
        </w:tc>
        <w:tc>
          <w:tcPr>
            <w:tcW w:w="1571" w:type="dxa"/>
          </w:tcPr>
          <w:p>
            <w:pPr>
              <w:pStyle w:val="Compact"/>
              <w:jc w:val="left"/>
            </w:pPr>
            <w:r>
              <w:t xml:space="preserve">Expected</w:t>
            </w:r>
          </w:p>
        </w:tc>
        <w:tc>
          <w:tcPr>
            <w:tcW w:w="2786" w:type="dxa"/>
          </w:tcPr>
          <w:p>
            <w:pPr>
              <w:pStyle w:val="Compact"/>
              <w:jc w:val="left"/>
            </w:pPr>
            <w:r>
              <w:t xml:space="preserve">Actual</w:t>
            </w:r>
          </w:p>
        </w:tc>
        <w:tc>
          <w:tcPr>
            <w:tcW w:w="1373" w:type="dxa"/>
          </w:tcPr>
          <w:p>
            <w:pPr>
              <w:pStyle w:val="Compact"/>
              <w:jc w:val="left"/>
            </w:pPr>
            <w:r>
              <w:t xml:space="preserve">Pass/Fail</w:t>
            </w:r>
          </w:p>
        </w:tc>
      </w:tr>
      <w:tr>
        <w:tc>
          <w:tcPr>
            <w:tcW w:w="868" w:type="dxa"/>
          </w:tcPr>
          <w:p>
            <w:pPr>
              <w:pStyle w:val="Compact"/>
              <w:jc w:val="left"/>
            </w:pPr>
            <w:r>
              <w:t xml:space="preserve">[TC-01]</w:t>
            </w:r>
          </w:p>
        </w:tc>
        <w:tc>
          <w:tcPr>
            <w:tcW w:w="2760" w:type="dxa"/>
          </w:tcPr>
          <w:p>
            <w:pPr>
              <w:pStyle w:val="Compact"/>
              <w:jc w:val="left"/>
            </w:pPr>
            <w:r>
              <w:t xml:space="preserve">Pre: [state and data]. 1. [Action]. 2. [Action].</w:t>
            </w:r>
          </w:p>
        </w:tc>
        <w:tc>
          <w:tcPr>
            <w:tcW w:w="1571" w:type="dxa"/>
          </w:tcPr>
          <w:p>
            <w:pPr>
              <w:pStyle w:val="Compact"/>
              <w:jc w:val="left"/>
            </w:pPr>
            <w:r>
              <w:t xml:space="preserve">[Exact observable result]</w:t>
            </w:r>
          </w:p>
        </w:tc>
        <w:tc>
          <w:tcPr>
            <w:tcW w:w="2786" w:type="dxa"/>
          </w:tcPr>
          <w:p>
            <w:pPr>
              <w:pStyle w:val="Compact"/>
              <w:jc w:val="left"/>
            </w:pPr>
            <w:r>
              <w:t xml:space="preserve">[What happened, with values; evidence file name]</w:t>
            </w:r>
          </w:p>
        </w:tc>
        <w:tc>
          <w:tcPr>
            <w:tcW w:w="1373" w:type="dxa"/>
          </w:tcPr>
          <w:p>
            <w:pPr>
              <w:pStyle w:val="Compact"/>
              <w:jc w:val="left"/>
            </w:pPr>
            <w:r>
              <w:t xml:space="preserve">[Pass, Fail, Blocked]</w:t>
            </w:r>
          </w:p>
        </w:tc>
      </w:tr>
    </w:tbl>
    <w:bookmarkEnd w:id="28"/>
    <w:bookmarkStart w:id="29" w:name="Xa759d195cbc87204344a28d19a31d7f3815a8e7"/>
    <w:p>
      <w:pPr>
        <w:pStyle w:val="Heading3"/>
      </w:pPr>
      <w:r>
        <w:t xml:space="preserve">9. Defect log</w:t>
      </w:r>
    </w:p>
    <w:tbl>
      <w:tblPr>
        <w:tblStyle w:val="Table"/>
        <w:tblW w:type="dxa" w:w="9360"/>
        <w:tblLook w:firstRow="1" w:lastRow="0" w:firstColumn="0" w:lastColumn="0" w:noHBand="0" w:noVBand="0" w:val="0020"/>
        <w:jc w:val="start"/>
        <w:tblLayout w:type="fixed"/>
      </w:tblPr>
      <w:tblGrid>
        <w:gridCol w:w="826"/>
        <w:gridCol w:w="1718"/>
        <w:gridCol w:w="2791"/>
        <w:gridCol w:w="3196"/>
        <w:gridCol w:w="826"/>
      </w:tblGrid>
      <w:tr>
        <w:trPr>
          <w:tblHeader w:val="true"/>
        </w:trPr>
        <w:tc>
          <w:tcPr>
            <w:tcW w:w="826" w:type="dxa"/>
          </w:tcPr>
          <w:p>
            <w:pPr>
              <w:pStyle w:val="Compact"/>
              <w:jc w:val="left"/>
            </w:pPr>
            <w:r>
              <w:t xml:space="preserve">ID</w:t>
            </w:r>
          </w:p>
        </w:tc>
        <w:tc>
          <w:tcPr>
            <w:tcW w:w="1718" w:type="dxa"/>
          </w:tcPr>
          <w:p>
            <w:pPr>
              <w:pStyle w:val="Compact"/>
              <w:jc w:val="left"/>
            </w:pPr>
            <w:r>
              <w:t xml:space="preserve">Severity</w:t>
            </w:r>
          </w:p>
        </w:tc>
        <w:tc>
          <w:tcPr>
            <w:tcW w:w="2791" w:type="dxa"/>
          </w:tcPr>
          <w:p>
            <w:pPr>
              <w:pStyle w:val="Compact"/>
              <w:jc w:val="left"/>
            </w:pPr>
            <w:r>
              <w:t xml:space="preserve">Description</w:t>
            </w:r>
          </w:p>
        </w:tc>
        <w:tc>
          <w:tcPr>
            <w:tcW w:w="3196" w:type="dxa"/>
          </w:tcPr>
          <w:p>
            <w:pPr>
              <w:pStyle w:val="Compact"/>
              <w:jc w:val="left"/>
            </w:pPr>
            <w:r>
              <w:t xml:space="preserve">Status</w:t>
            </w:r>
          </w:p>
        </w:tc>
        <w:tc>
          <w:tcPr>
            <w:tcW w:w="826" w:type="dxa"/>
          </w:tcPr>
          <w:p>
            <w:pPr>
              <w:pStyle w:val="Compact"/>
              <w:jc w:val="left"/>
            </w:pPr>
            <w:r>
              <w:t xml:space="preserve">Owner</w:t>
            </w:r>
          </w:p>
        </w:tc>
      </w:tr>
      <w:tr>
        <w:tc>
          <w:tcPr>
            <w:tcW w:w="826" w:type="dxa"/>
          </w:tcPr>
          <w:p>
            <w:pPr>
              <w:pStyle w:val="Compact"/>
              <w:jc w:val="left"/>
            </w:pPr>
            <w:r>
              <w:t xml:space="preserve">[D-01]</w:t>
            </w:r>
          </w:p>
        </w:tc>
        <w:tc>
          <w:tcPr>
            <w:tcW w:w="1718" w:type="dxa"/>
          </w:tcPr>
          <w:p>
            <w:pPr>
              <w:pStyle w:val="Compact"/>
              <w:jc w:val="left"/>
            </w:pPr>
            <w:r>
              <w:t xml:space="preserve">[Critical, High, Medium, Low]</w:t>
            </w:r>
          </w:p>
        </w:tc>
        <w:tc>
          <w:tcPr>
            <w:tcW w:w="2791" w:type="dxa"/>
          </w:tcPr>
          <w:p>
            <w:pPr>
              <w:pStyle w:val="Compact"/>
              <w:jc w:val="left"/>
            </w:pPr>
            <w:r>
              <w:t xml:space="preserve">[Test case; steps; expected vs actual; evidence]</w:t>
            </w:r>
          </w:p>
        </w:tc>
        <w:tc>
          <w:tcPr>
            <w:tcW w:w="3196" w:type="dxa"/>
          </w:tcPr>
          <w:p>
            <w:pPr>
              <w:pStyle w:val="Compact"/>
              <w:jc w:val="left"/>
            </w:pPr>
            <w:r>
              <w:t xml:space="preserve">[New, Triaged, In fix, Ready for retest, Closed, Deferred]</w:t>
            </w:r>
          </w:p>
        </w:tc>
        <w:tc>
          <w:tcPr>
            <w:tcW w:w="826" w:type="dxa"/>
          </w:tcPr>
          <w:p>
            <w:pPr>
              <w:pStyle w:val="Compact"/>
              <w:jc w:val="left"/>
            </w:pPr>
            <w:r>
              <w:t xml:space="preserve">[Name]</w:t>
            </w:r>
          </w:p>
        </w:tc>
      </w:tr>
    </w:tbl>
    <w:p/>
    <w:tbl>
      <w:tblPr>
        <w:tblStyle w:val="Table"/>
        <w:tblW w:type="dxa" w:w="9360"/>
        <w:tblLook w:firstRow="1" w:lastRow="0" w:firstColumn="0" w:lastColumn="0" w:noHBand="0" w:noVBand="0" w:val="0020"/>
        <w:jc w:val="start"/>
        <w:tblLayout w:type="fixed"/>
      </w:tblPr>
      <w:tblGrid>
        <w:gridCol w:w="852"/>
        <w:gridCol w:w="3331"/>
        <w:gridCol w:w="2645"/>
        <w:gridCol w:w="2530"/>
      </w:tblGrid>
      <w:tr>
        <w:trPr>
          <w:tblHeader w:val="true"/>
        </w:trPr>
        <w:tc>
          <w:tcPr>
            <w:tcW w:w="852" w:type="dxa"/>
          </w:tcPr>
          <w:p>
            <w:pPr>
              <w:pStyle w:val="Compact"/>
              <w:jc w:val="left"/>
            </w:pPr>
            <w:r>
              <w:t xml:space="preserve">Severity</w:t>
            </w:r>
          </w:p>
        </w:tc>
        <w:tc>
          <w:tcPr>
            <w:tcW w:w="3331" w:type="dxa"/>
          </w:tcPr>
          <w:p>
            <w:pPr>
              <w:pStyle w:val="Compact"/>
              <w:jc w:val="left"/>
            </w:pPr>
            <w:r>
              <w:t xml:space="preserve">Definition</w:t>
            </w:r>
          </w:p>
        </w:tc>
        <w:tc>
          <w:tcPr>
            <w:tcW w:w="2645" w:type="dxa"/>
          </w:tcPr>
          <w:p>
            <w:pPr>
              <w:pStyle w:val="Compact"/>
              <w:jc w:val="left"/>
            </w:pPr>
            <w:r>
              <w:t xml:space="preserve">Trade example</w:t>
            </w:r>
          </w:p>
        </w:tc>
        <w:tc>
          <w:tcPr>
            <w:tcW w:w="2530" w:type="dxa"/>
          </w:tcPr>
          <w:p>
            <w:pPr>
              <w:pStyle w:val="Compact"/>
              <w:jc w:val="left"/>
            </w:pPr>
            <w:r>
              <w:t xml:space="preserve">Expected response</w:t>
            </w:r>
          </w:p>
        </w:tc>
      </w:tr>
      <w:tr>
        <w:tc>
          <w:tcPr>
            <w:tcW w:w="852" w:type="dxa"/>
          </w:tcPr>
          <w:p>
            <w:pPr>
              <w:pStyle w:val="Compact"/>
              <w:jc w:val="left"/>
            </w:pPr>
            <w:r>
              <w:t xml:space="preserve">Critical</w:t>
            </w:r>
          </w:p>
        </w:tc>
        <w:tc>
          <w:tcPr>
            <w:tcW w:w="3331" w:type="dxa"/>
          </w:tcPr>
          <w:p>
            <w:pPr>
              <w:pStyle w:val="Compact"/>
              <w:jc w:val="left"/>
            </w:pPr>
            <w:r>
              <w:t xml:space="preserve">Wrong compliance or financial data would reach a broker, Finance, Oracle or a filing; or testing is blocked with no workaround</w:t>
            </w:r>
          </w:p>
        </w:tc>
        <w:tc>
          <w:tcPr>
            <w:tcW w:w="2645" w:type="dxa"/>
          </w:tcPr>
          <w:p>
            <w:pPr>
              <w:pStyle w:val="Compact"/>
              <w:jc w:val="left"/>
            </w:pPr>
            <w:r>
              <w:t xml:space="preserve">Broker feed sends the old HTS number after an approved change</w:t>
            </w:r>
          </w:p>
        </w:tc>
        <w:tc>
          <w:tcPr>
            <w:tcW w:w="2530" w:type="dxa"/>
          </w:tcPr>
          <w:p>
            <w:pPr>
              <w:pStyle w:val="Compact"/>
              <w:jc w:val="left"/>
            </w:pPr>
            <w:r>
              <w:t xml:space="preserve">Stop; fix before any further testing of the area</w:t>
            </w:r>
          </w:p>
        </w:tc>
      </w:tr>
      <w:tr>
        <w:tc>
          <w:tcPr>
            <w:tcW w:w="852" w:type="dxa"/>
          </w:tcPr>
          <w:p>
            <w:pPr>
              <w:pStyle w:val="Compact"/>
              <w:jc w:val="left"/>
            </w:pPr>
            <w:r>
              <w:t xml:space="preserve">High</w:t>
            </w:r>
          </w:p>
        </w:tc>
        <w:tc>
          <w:tcPr>
            <w:tcW w:w="3331" w:type="dxa"/>
          </w:tcPr>
          <w:p>
            <w:pPr>
              <w:pStyle w:val="Compact"/>
              <w:jc w:val="left"/>
            </w:pPr>
            <w:r>
              <w:t xml:space="preserve">A Must requirement fails; any workaround is manual or risky</w:t>
            </w:r>
          </w:p>
        </w:tc>
        <w:tc>
          <w:tcPr>
            <w:tcW w:w="2645" w:type="dxa"/>
          </w:tcPr>
          <w:p>
            <w:pPr>
              <w:pStyle w:val="Compact"/>
              <w:jc w:val="left"/>
            </w:pPr>
            <w:r>
              <w:t xml:space="preserve">Rate chosen by PO date instead of entry date</w:t>
            </w:r>
          </w:p>
        </w:tc>
        <w:tc>
          <w:tcPr>
            <w:tcW w:w="2530" w:type="dxa"/>
          </w:tcPr>
          <w:p>
            <w:pPr>
              <w:pStyle w:val="Compact"/>
              <w:jc w:val="left"/>
            </w:pPr>
            <w:r>
              <w:t xml:space="preserve">Fix before go-live, or written risk acceptance by the business owner and the Manager</w:t>
            </w:r>
          </w:p>
        </w:tc>
      </w:tr>
      <w:tr>
        <w:tc>
          <w:tcPr>
            <w:tcW w:w="852" w:type="dxa"/>
          </w:tcPr>
          <w:p>
            <w:pPr>
              <w:pStyle w:val="Compact"/>
              <w:jc w:val="left"/>
            </w:pPr>
            <w:r>
              <w:t xml:space="preserve">Medium</w:t>
            </w:r>
          </w:p>
        </w:tc>
        <w:tc>
          <w:tcPr>
            <w:tcW w:w="3331" w:type="dxa"/>
          </w:tcPr>
          <w:p>
            <w:pPr>
              <w:pStyle w:val="Compact"/>
              <w:jc w:val="left"/>
            </w:pPr>
            <w:r>
              <w:t xml:space="preserve">A Should requirement fails, or a Must fails with a safe workaround</w:t>
            </w:r>
          </w:p>
        </w:tc>
        <w:tc>
          <w:tcPr>
            <w:tcW w:w="2645" w:type="dxa"/>
          </w:tcPr>
          <w:p>
            <w:pPr>
              <w:pStyle w:val="Compact"/>
              <w:jc w:val="left"/>
            </w:pPr>
            <w:r>
              <w:t xml:space="preserve">Qualification screen hides the certification end date, but the report shows it</w:t>
            </w:r>
          </w:p>
        </w:tc>
        <w:tc>
          <w:tcPr>
            <w:tcW w:w="2530" w:type="dxa"/>
          </w:tcPr>
          <w:p>
            <w:pPr>
              <w:pStyle w:val="Compact"/>
              <w:jc w:val="left"/>
            </w:pPr>
            <w:r>
              <w:t xml:space="preserve">Fix date agreed before go-live</w:t>
            </w:r>
          </w:p>
        </w:tc>
      </w:tr>
      <w:tr>
        <w:tc>
          <w:tcPr>
            <w:tcW w:w="852" w:type="dxa"/>
          </w:tcPr>
          <w:p>
            <w:pPr>
              <w:pStyle w:val="Compact"/>
              <w:jc w:val="left"/>
            </w:pPr>
            <w:r>
              <w:t xml:space="preserve">Low</w:t>
            </w:r>
          </w:p>
        </w:tc>
        <w:tc>
          <w:tcPr>
            <w:tcW w:w="3331" w:type="dxa"/>
          </w:tcPr>
          <w:p>
            <w:pPr>
              <w:pStyle w:val="Compact"/>
              <w:jc w:val="left"/>
            </w:pPr>
            <w:r>
              <w:t xml:space="preserve">Cosmetic; no effect on data or decisions</w:t>
            </w:r>
          </w:p>
        </w:tc>
        <w:tc>
          <w:tcPr>
            <w:tcW w:w="2645" w:type="dxa"/>
          </w:tcPr>
          <w:p>
            <w:pPr>
              <w:pStyle w:val="Compact"/>
              <w:jc w:val="left"/>
            </w:pPr>
            <w:r>
              <w:t xml:space="preserve">Column label misspelled</w:t>
            </w:r>
          </w:p>
        </w:tc>
        <w:tc>
          <w:tcPr>
            <w:tcW w:w="2530" w:type="dxa"/>
          </w:tcPr>
          <w:p>
            <w:pPr>
              <w:pStyle w:val="Compact"/>
              <w:jc w:val="left"/>
            </w:pPr>
            <w:r>
              <w:t xml:space="preserve">Backlog</w:t>
            </w:r>
          </w:p>
        </w:tc>
      </w:tr>
    </w:tbl>
    <w:p>
      <w:pPr>
        <w:pStyle w:val="BodyText"/>
      </w:pPr>
      <w:r>
        <w:t xml:space="preserve">A defect is Deferred only with the business owner's written approval and a linked Jira issue.</w:t>
      </w:r>
    </w:p>
    <w:bookmarkEnd w:id="29"/>
    <w:bookmarkStart w:id="30" w:name="X44b3079b524d69b74ba7a1eb690d34f1a9f48d7"/>
    <w:p>
      <w:pPr>
        <w:pStyle w:val="Heading3"/>
      </w:pPr>
      <w:r>
        <w:t xml:space="preserve">10. Evidence rules</w:t>
      </w:r>
    </w:p>
    <w:p>
      <w:pPr>
        <w:numPr>
          <w:ilvl w:val="0"/>
          <w:numId w:val="1006"/>
        </w:numPr>
        <w:pStyle w:val="Compact"/>
      </w:pPr>
      <w:r>
        <w:t xml:space="preserve">Save evidence in [COMPANY: UAT evidence folder], named [Test case ID]</w:t>
      </w:r>
      <w:r>
        <w:rPr>
          <w:iCs/>
          <w:i/>
        </w:rPr>
        <w:t xml:space="preserve">[YYYY-MM-DD]</w:t>
      </w:r>
      <w:r>
        <w:t xml:space="preserve">[initials].</w:t>
      </w:r>
    </w:p>
    <w:p>
      <w:pPr>
        <w:numPr>
          <w:ilvl w:val="0"/>
          <w:numId w:val="1006"/>
        </w:numPr>
        <w:pStyle w:val="Compact"/>
      </w:pPr>
      <w:r>
        <w:t xml:space="preserve">Screenshots show the record key, the values tested and the system date or time.</w:t>
      </w:r>
    </w:p>
    <w:p>
      <w:pPr>
        <w:numPr>
          <w:ilvl w:val="0"/>
          <w:numId w:val="1006"/>
        </w:numPr>
        <w:pStyle w:val="Compact"/>
      </w:pPr>
      <w:r>
        <w:t xml:space="preserve">Keep output files (broker feed files, cost files) exactly as produced; do not edit them.</w:t>
      </w:r>
    </w:p>
    <w:p>
      <w:pPr>
        <w:numPr>
          <w:ilvl w:val="0"/>
          <w:numId w:val="1006"/>
        </w:numPr>
        <w:pStyle w:val="Compact"/>
      </w:pPr>
      <w:r>
        <w:t xml:space="preserve">Write the actual result in words and values, even on a pass ("Duty $2,750.00, as expected"), not just "as expected".</w:t>
      </w:r>
    </w:p>
    <w:p>
      <w:pPr>
        <w:numPr>
          <w:ilvl w:val="0"/>
          <w:numId w:val="1006"/>
        </w:numPr>
        <w:pStyle w:val="Compact"/>
      </w:pPr>
      <w:r>
        <w:t xml:space="preserve">Retain evidence per [COMPANY: records retention policy].</w:t>
      </w:r>
    </w:p>
    <w:bookmarkEnd w:id="30"/>
    <w:bookmarkStart w:id="31" w:name="X3af7f36e3bd40936f1b0e3398a607c130c6053e"/>
    <w:p>
      <w:pPr>
        <w:pStyle w:val="Heading3"/>
      </w:pPr>
      <w:r>
        <w:t xml:space="preserve">11. Summary and sign-off</w:t>
      </w:r>
    </w:p>
    <w:tbl>
      <w:tblPr>
        <w:tblStyle w:val="Table"/>
        <w:tblW w:type="dxa" w:w="9360"/>
        <w:tblLook w:firstRow="1" w:lastRow="0" w:firstColumn="0" w:lastColumn="0" w:noHBand="0" w:noVBand="0" w:val="0020"/>
        <w:jc w:val="start"/>
        <w:tblLayout w:type="fixed"/>
      </w:tblPr>
      <w:tblGrid>
        <w:gridCol w:w="5666"/>
        <w:gridCol w:w="3693"/>
      </w:tblGrid>
      <w:tr>
        <w:trPr>
          <w:tblHeader w:val="true"/>
        </w:trPr>
        <w:tc>
          <w:tcPr>
            <w:tcW w:w="5666" w:type="dxa"/>
          </w:tcPr>
          <w:p>
            <w:pPr>
              <w:pStyle w:val="Compact"/>
              <w:jc w:val="left"/>
            </w:pPr>
            <w:r>
              <w:t xml:space="preserve">Measure</w:t>
            </w:r>
          </w:p>
        </w:tc>
        <w:tc>
          <w:tcPr>
            <w:tcW w:w="3693" w:type="dxa"/>
          </w:tcPr>
          <w:p>
            <w:pPr>
              <w:pStyle w:val="Compact"/>
              <w:jc w:val="left"/>
            </w:pPr>
            <w:r>
              <w:t xml:space="preserve">Count</w:t>
            </w:r>
          </w:p>
        </w:tc>
      </w:tr>
      <w:tr>
        <w:tc>
          <w:tcPr>
            <w:tcW w:w="5666" w:type="dxa"/>
          </w:tcPr>
          <w:p>
            <w:pPr>
              <w:pStyle w:val="Compact"/>
              <w:jc w:val="left"/>
            </w:pPr>
            <w:r>
              <w:t xml:space="preserve">Test cases planned</w:t>
            </w:r>
          </w:p>
        </w:tc>
        <w:tc>
          <w:tcPr>
            <w:tcW w:w="3693" w:type="dxa"/>
          </w:tcPr>
          <w:p>
            <w:pPr>
              <w:pStyle w:val="Compact"/>
              <w:jc w:val="left"/>
            </w:pPr>
            <w:r>
              <w:t xml:space="preserve">[n]</w:t>
            </w:r>
          </w:p>
        </w:tc>
      </w:tr>
      <w:tr>
        <w:tc>
          <w:tcPr>
            <w:tcW w:w="5666" w:type="dxa"/>
          </w:tcPr>
          <w:p>
            <w:pPr>
              <w:pStyle w:val="Compact"/>
              <w:jc w:val="left"/>
            </w:pPr>
            <w:r>
              <w:t xml:space="preserve">Passed</w:t>
            </w:r>
          </w:p>
        </w:tc>
        <w:tc>
          <w:tcPr>
            <w:tcW w:w="3693" w:type="dxa"/>
          </w:tcPr>
          <w:p>
            <w:pPr>
              <w:pStyle w:val="Compact"/>
              <w:jc w:val="left"/>
            </w:pPr>
            <w:r>
              <w:t xml:space="preserve">[n]</w:t>
            </w:r>
          </w:p>
        </w:tc>
      </w:tr>
      <w:tr>
        <w:tc>
          <w:tcPr>
            <w:tcW w:w="5666" w:type="dxa"/>
          </w:tcPr>
          <w:p>
            <w:pPr>
              <w:pStyle w:val="Compact"/>
              <w:jc w:val="left"/>
            </w:pPr>
            <w:r>
              <w:t xml:space="preserve">Failed</w:t>
            </w:r>
          </w:p>
        </w:tc>
        <w:tc>
          <w:tcPr>
            <w:tcW w:w="3693" w:type="dxa"/>
          </w:tcPr>
          <w:p>
            <w:pPr>
              <w:pStyle w:val="Compact"/>
              <w:jc w:val="left"/>
            </w:pPr>
            <w:r>
              <w:t xml:space="preserve">[n]</w:t>
            </w:r>
          </w:p>
        </w:tc>
      </w:tr>
      <w:tr>
        <w:tc>
          <w:tcPr>
            <w:tcW w:w="5666" w:type="dxa"/>
          </w:tcPr>
          <w:p>
            <w:pPr>
              <w:pStyle w:val="Compact"/>
              <w:jc w:val="left"/>
            </w:pPr>
            <w:r>
              <w:t xml:space="preserve">Blocked or not run</w:t>
            </w:r>
          </w:p>
        </w:tc>
        <w:tc>
          <w:tcPr>
            <w:tcW w:w="3693" w:type="dxa"/>
          </w:tcPr>
          <w:p>
            <w:pPr>
              <w:pStyle w:val="Compact"/>
              <w:jc w:val="left"/>
            </w:pPr>
            <w:r>
              <w:t xml:space="preserve">[n]</w:t>
            </w:r>
          </w:p>
        </w:tc>
      </w:tr>
      <w:tr>
        <w:tc>
          <w:tcPr>
            <w:tcW w:w="5666" w:type="dxa"/>
          </w:tcPr>
          <w:p>
            <w:pPr>
              <w:pStyle w:val="Compact"/>
              <w:jc w:val="left"/>
            </w:pPr>
            <w:r>
              <w:t xml:space="preserve">Open defects: Critical, High, Medium, Low</w:t>
            </w:r>
          </w:p>
        </w:tc>
        <w:tc>
          <w:tcPr>
            <w:tcW w:w="3693" w:type="dxa"/>
          </w:tcPr>
          <w:p>
            <w:pPr>
              <w:pStyle w:val="Compact"/>
              <w:jc w:val="left"/>
            </w:pPr>
            <w:r>
              <w:t xml:space="preserve">[n, n, n, n]</w:t>
            </w:r>
          </w:p>
        </w:tc>
      </w:tr>
      <w:tr>
        <w:tc>
          <w:tcPr>
            <w:tcW w:w="5666" w:type="dxa"/>
          </w:tcPr>
          <w:p>
            <w:pPr>
              <w:pStyle w:val="Compact"/>
              <w:jc w:val="left"/>
            </w:pPr>
            <w:r>
              <w:t xml:space="preserve">Recommendation</w:t>
            </w:r>
          </w:p>
        </w:tc>
        <w:tc>
          <w:tcPr>
            <w:tcW w:w="3693" w:type="dxa"/>
          </w:tcPr>
          <w:p>
            <w:pPr>
              <w:pStyle w:val="Compact"/>
              <w:jc w:val="left"/>
            </w:pPr>
            <w:r>
              <w:t xml:space="preserve">[Go, Go with conditions, No go]</w:t>
            </w:r>
          </w:p>
        </w:tc>
      </w:tr>
    </w:tbl>
    <w:p/>
    <w:tbl>
      <w:tblPr>
        <w:tblStyle w:val="Table"/>
        <w:tblW w:type="dxa" w:w="9360"/>
        <w:tblLook w:firstRow="1" w:lastRow="0" w:firstColumn="0" w:lastColumn="0" w:noHBand="0" w:noVBand="0" w:val="0020"/>
        <w:jc w:val="start"/>
        <w:tblLayout w:type="fixed"/>
      </w:tblPr>
      <w:tblGrid>
        <w:gridCol w:w="1820"/>
        <w:gridCol w:w="863"/>
        <w:gridCol w:w="4126"/>
        <w:gridCol w:w="863"/>
        <w:gridCol w:w="1685"/>
      </w:tblGrid>
      <w:tr>
        <w:trPr>
          <w:tblHeader w:val="true"/>
        </w:trPr>
        <w:tc>
          <w:tcPr>
            <w:tcW w:w="1820" w:type="dxa"/>
          </w:tcPr>
          <w:p>
            <w:pPr>
              <w:pStyle w:val="Compact"/>
              <w:jc w:val="left"/>
            </w:pPr>
            <w:r>
              <w:t xml:space="preserve">Role</w:t>
            </w:r>
          </w:p>
        </w:tc>
        <w:tc>
          <w:tcPr>
            <w:tcW w:w="863" w:type="dxa"/>
          </w:tcPr>
          <w:p>
            <w:pPr>
              <w:pStyle w:val="Compact"/>
              <w:jc w:val="left"/>
            </w:pPr>
            <w:r>
              <w:t xml:space="preserve">Name</w:t>
            </w:r>
          </w:p>
        </w:tc>
        <w:tc>
          <w:tcPr>
            <w:tcW w:w="4126" w:type="dxa"/>
          </w:tcPr>
          <w:p>
            <w:pPr>
              <w:pStyle w:val="Compact"/>
              <w:jc w:val="left"/>
            </w:pPr>
            <w:r>
              <w:t xml:space="preserve">Decision</w:t>
            </w:r>
          </w:p>
        </w:tc>
        <w:tc>
          <w:tcPr>
            <w:tcW w:w="863" w:type="dxa"/>
          </w:tcPr>
          <w:p>
            <w:pPr>
              <w:pStyle w:val="Compact"/>
              <w:jc w:val="left"/>
            </w:pPr>
            <w:r>
              <w:t xml:space="preserve">Date</w:t>
            </w:r>
          </w:p>
        </w:tc>
        <w:tc>
          <w:tcPr>
            <w:tcW w:w="1685" w:type="dxa"/>
          </w:tcPr>
          <w:p>
            <w:pPr>
              <w:pStyle w:val="Compact"/>
              <w:jc w:val="left"/>
            </w:pPr>
            <w:r>
              <w:t xml:space="preserve">Conditions</w:t>
            </w:r>
          </w:p>
        </w:tc>
      </w:tr>
      <w:tr>
        <w:tc>
          <w:tcPr>
            <w:tcW w:w="1820" w:type="dxa"/>
          </w:tcPr>
          <w:p>
            <w:pPr>
              <w:pStyle w:val="Compact"/>
              <w:jc w:val="left"/>
            </w:pPr>
            <w:r>
              <w:t xml:space="preserve">Business owner</w:t>
            </w:r>
          </w:p>
        </w:tc>
        <w:tc>
          <w:tcPr>
            <w:tcW w:w="863" w:type="dxa"/>
          </w:tcPr>
          <w:p>
            <w:pPr>
              <w:pStyle w:val="Compact"/>
              <w:jc w:val="left"/>
            </w:pPr>
            <w:r>
              <w:t xml:space="preserve">[ ]</w:t>
            </w:r>
          </w:p>
        </w:tc>
        <w:tc>
          <w:tcPr>
            <w:tcW w:w="4126" w:type="dxa"/>
          </w:tcPr>
          <w:p>
            <w:pPr>
              <w:pStyle w:val="Compact"/>
              <w:jc w:val="left"/>
            </w:pPr>
            <w:r>
              <w:t xml:space="preserve">[Go, Go with conditions, No go]</w:t>
            </w:r>
          </w:p>
        </w:tc>
        <w:tc>
          <w:tcPr>
            <w:tcW w:w="863" w:type="dxa"/>
          </w:tcPr>
          <w:p>
            <w:pPr>
              <w:pStyle w:val="Compact"/>
              <w:jc w:val="left"/>
            </w:pPr>
            <w:r>
              <w:t xml:space="preserve">[ ]</w:t>
            </w:r>
          </w:p>
        </w:tc>
        <w:tc>
          <w:tcPr>
            <w:tcW w:w="1685" w:type="dxa"/>
          </w:tcPr>
          <w:p>
            <w:pPr>
              <w:pStyle w:val="Compact"/>
              <w:jc w:val="left"/>
            </w:pPr>
            <w:r>
              <w:t xml:space="preserve">[ ]</w:t>
            </w:r>
          </w:p>
        </w:tc>
      </w:tr>
      <w:tr>
        <w:tc>
          <w:tcPr>
            <w:tcW w:w="1820" w:type="dxa"/>
          </w:tcPr>
          <w:p>
            <w:pPr>
              <w:pStyle w:val="Compact"/>
              <w:jc w:val="left"/>
            </w:pPr>
            <w:r>
              <w:t xml:space="preserve">UAT lead</w:t>
            </w:r>
          </w:p>
        </w:tc>
        <w:tc>
          <w:tcPr>
            <w:tcW w:w="863" w:type="dxa"/>
          </w:tcPr>
          <w:p>
            <w:pPr>
              <w:pStyle w:val="Compact"/>
              <w:jc w:val="left"/>
            </w:pPr>
            <w:r>
              <w:t xml:space="preserve">[ ]</w:t>
            </w:r>
          </w:p>
        </w:tc>
        <w:tc>
          <w:tcPr>
            <w:tcW w:w="4126" w:type="dxa"/>
          </w:tcPr>
          <w:p>
            <w:pPr>
              <w:pStyle w:val="Compact"/>
              <w:jc w:val="left"/>
            </w:pPr>
            <w:r>
              <w:t xml:space="preserve">[Exit criteria met: Yes or No]</w:t>
            </w:r>
          </w:p>
        </w:tc>
        <w:tc>
          <w:tcPr>
            <w:tcW w:w="863" w:type="dxa"/>
          </w:tcPr>
          <w:p>
            <w:pPr>
              <w:pStyle w:val="Compact"/>
              <w:jc w:val="left"/>
            </w:pPr>
            <w:r>
              <w:t xml:space="preserve">[ ]</w:t>
            </w:r>
          </w:p>
        </w:tc>
        <w:tc>
          <w:tcPr>
            <w:tcW w:w="1685" w:type="dxa"/>
          </w:tcPr>
          <w:p>
            <w:pPr>
              <w:pStyle w:val="Compact"/>
              <w:jc w:val="left"/>
            </w:pPr>
            <w:r>
              <w:t xml:space="preserve">[ ]</w:t>
            </w:r>
          </w:p>
        </w:tc>
      </w:tr>
      <w:tr>
        <w:tc>
          <w:tcPr>
            <w:tcW w:w="1820" w:type="dxa"/>
          </w:tcPr>
          <w:p>
            <w:pPr>
              <w:pStyle w:val="Compact"/>
              <w:jc w:val="left"/>
            </w:pPr>
            <w:r>
              <w:t xml:space="preserve">Checker</w:t>
            </w:r>
          </w:p>
        </w:tc>
        <w:tc>
          <w:tcPr>
            <w:tcW w:w="863" w:type="dxa"/>
          </w:tcPr>
          <w:p>
            <w:pPr>
              <w:pStyle w:val="Compact"/>
              <w:jc w:val="left"/>
            </w:pPr>
            <w:r>
              <w:t xml:space="preserve">[ ]</w:t>
            </w:r>
          </w:p>
        </w:tc>
        <w:tc>
          <w:tcPr>
            <w:tcW w:w="4126" w:type="dxa"/>
          </w:tcPr>
          <w:p>
            <w:pPr>
              <w:pStyle w:val="Compact"/>
              <w:jc w:val="left"/>
            </w:pPr>
            <w:r>
              <w:t xml:space="preserve">[Evidence reviewed]</w:t>
            </w:r>
          </w:p>
        </w:tc>
        <w:tc>
          <w:tcPr>
            <w:tcW w:w="863" w:type="dxa"/>
          </w:tcPr>
          <w:p>
            <w:pPr>
              <w:pStyle w:val="Compact"/>
              <w:jc w:val="left"/>
            </w:pPr>
            <w:r>
              <w:t xml:space="preserve">[ ]</w:t>
            </w:r>
          </w:p>
        </w:tc>
        <w:tc>
          <w:tcPr>
            <w:tcW w:w="1685" w:type="dxa"/>
          </w:tcPr>
          <w:p>
            <w:pPr>
              <w:pStyle w:val="Compact"/>
              <w:jc w:val="left"/>
            </w:pPr>
            <w:r>
              <w:t xml:space="preserve">[ ]</w:t>
            </w:r>
          </w:p>
        </w:tc>
      </w:tr>
      <w:tr>
        <w:tc>
          <w:tcPr>
            <w:tcW w:w="1820" w:type="dxa"/>
          </w:tcPr>
          <w:p>
            <w:pPr>
              <w:pStyle w:val="Compact"/>
              <w:jc w:val="left"/>
            </w:pPr>
            <w:r>
              <w:t xml:space="preserve">Data owner</w:t>
            </w:r>
          </w:p>
        </w:tc>
        <w:tc>
          <w:tcPr>
            <w:tcW w:w="863" w:type="dxa"/>
          </w:tcPr>
          <w:p>
            <w:pPr>
              <w:pStyle w:val="Compact"/>
              <w:jc w:val="left"/>
            </w:pPr>
            <w:r>
              <w:t xml:space="preserve">[ ]</w:t>
            </w:r>
          </w:p>
        </w:tc>
        <w:tc>
          <w:tcPr>
            <w:tcW w:w="4126" w:type="dxa"/>
          </w:tcPr>
          <w:p>
            <w:pPr>
              <w:pStyle w:val="Compact"/>
              <w:jc w:val="left"/>
            </w:pPr>
            <w:r>
              <w:t xml:space="preserve">[Reconciliation accepted]</w:t>
            </w:r>
          </w:p>
        </w:tc>
        <w:tc>
          <w:tcPr>
            <w:tcW w:w="863" w:type="dxa"/>
          </w:tcPr>
          <w:p>
            <w:pPr>
              <w:pStyle w:val="Compact"/>
              <w:jc w:val="left"/>
            </w:pPr>
            <w:r>
              <w:t xml:space="preserve">[ ]</w:t>
            </w:r>
          </w:p>
        </w:tc>
        <w:tc>
          <w:tcPr>
            <w:tcW w:w="1685" w:type="dxa"/>
          </w:tcPr>
          <w:p>
            <w:pPr>
              <w:pStyle w:val="Compact"/>
              <w:jc w:val="left"/>
            </w:pPr>
            <w:r>
              <w:t xml:space="preserve">[ ]</w:t>
            </w:r>
          </w:p>
        </w:tc>
      </w:tr>
      <w:tr>
        <w:tc>
          <w:tcPr>
            <w:tcW w:w="1820" w:type="dxa"/>
          </w:tcPr>
          <w:p>
            <w:pPr>
              <w:pStyle w:val="Compact"/>
              <w:jc w:val="left"/>
            </w:pPr>
            <w:r>
              <w:t xml:space="preserve">Manager</w:t>
            </w:r>
          </w:p>
        </w:tc>
        <w:tc>
          <w:tcPr>
            <w:tcW w:w="863" w:type="dxa"/>
          </w:tcPr>
          <w:p>
            <w:pPr>
              <w:pStyle w:val="Compact"/>
              <w:jc w:val="left"/>
            </w:pPr>
            <w:r>
              <w:t xml:space="preserve">[ ]</w:t>
            </w:r>
          </w:p>
        </w:tc>
        <w:tc>
          <w:tcPr>
            <w:tcW w:w="4126" w:type="dxa"/>
          </w:tcPr>
          <w:p>
            <w:pPr>
              <w:pStyle w:val="Compact"/>
              <w:jc w:val="left"/>
            </w:pPr>
            <w:r>
              <w:t xml:space="preserve">[ ]</w:t>
            </w:r>
          </w:p>
        </w:tc>
        <w:tc>
          <w:tcPr>
            <w:tcW w:w="863" w:type="dxa"/>
          </w:tcPr>
          <w:p>
            <w:pPr>
              <w:pStyle w:val="Compact"/>
              <w:jc w:val="left"/>
            </w:pPr>
            <w:r>
              <w:t xml:space="preserve">[ ]</w:t>
            </w:r>
          </w:p>
        </w:tc>
        <w:tc>
          <w:tcPr>
            <w:tcW w:w="1685" w:type="dxa"/>
          </w:tcPr>
          <w:p>
            <w:pPr>
              <w:pStyle w:val="Compact"/>
              <w:jc w:val="left"/>
            </w:pPr>
            <w:r>
              <w:t xml:space="preserve">[ ]</w:t>
            </w:r>
          </w:p>
        </w:tc>
      </w:tr>
    </w:tbl>
    <w:bookmarkEnd w:id="31"/>
    <w:bookmarkEnd w:id="32"/>
    <w:bookmarkStart w:id="35" w:name="filled-example-illustrative"/>
    <w:p>
      <w:pPr>
        <w:pStyle w:val="Heading2"/>
      </w:pPr>
      <w:r>
        <w:t xml:space="preserve">Filled example (illustrative)</w:t>
      </w:r>
    </w:p>
    <w:p>
      <w:pPr>
        <w:pStyle w:val="FirstParagraph"/>
      </w:pPr>
      <w:r>
        <w:t xml:space="preserve">e2open GTM UAT cycle 1: classification, USMCA and duty. All items, rates and dates are hypothetical test values; real expected results come from the current tariff schedules and a checked Tariff-Impact Brief on the test date.</w:t>
      </w:r>
    </w:p>
    <w:bookmarkStart w:id="33" w:name="test-cases"/>
    <w:p>
      <w:pPr>
        <w:pStyle w:val="Heading3"/>
      </w:pPr>
      <w:r>
        <w:t xml:space="preserve">Test cases</w:t>
      </w:r>
    </w:p>
    <w:tbl>
      <w:tblPr>
        <w:tblStyle w:val="Table"/>
        <w:tblW w:type="dxa" w:w="9360"/>
        <w:tblLook w:firstRow="1" w:lastRow="0" w:firstColumn="0" w:lastColumn="0" w:noHBand="0" w:noVBand="0" w:val="0020"/>
        <w:jc w:val="start"/>
        <w:tblLayout w:type="fixed"/>
      </w:tblPr>
      <w:tblGrid>
        <w:gridCol w:w="795"/>
        <w:gridCol w:w="3190"/>
        <w:gridCol w:w="2915"/>
        <w:gridCol w:w="1663"/>
        <w:gridCol w:w="795"/>
      </w:tblGrid>
      <w:tr>
        <w:trPr>
          <w:tblHeader w:val="true"/>
        </w:trPr>
        <w:tc>
          <w:tcPr>
            <w:tcW w:w="795" w:type="dxa"/>
          </w:tcPr>
          <w:p>
            <w:pPr>
              <w:pStyle w:val="Compact"/>
              <w:jc w:val="left"/>
            </w:pPr>
            <w:r>
              <w:t xml:space="preserve">ID</w:t>
            </w:r>
          </w:p>
        </w:tc>
        <w:tc>
          <w:tcPr>
            <w:tcW w:w="3190" w:type="dxa"/>
          </w:tcPr>
          <w:p>
            <w:pPr>
              <w:pStyle w:val="Compact"/>
              <w:jc w:val="left"/>
            </w:pPr>
            <w:r>
              <w:t xml:space="preserve">Steps</w:t>
            </w:r>
          </w:p>
        </w:tc>
        <w:tc>
          <w:tcPr>
            <w:tcW w:w="2915" w:type="dxa"/>
          </w:tcPr>
          <w:p>
            <w:pPr>
              <w:pStyle w:val="Compact"/>
              <w:jc w:val="left"/>
            </w:pPr>
            <w:r>
              <w:t xml:space="preserve">Expected</w:t>
            </w:r>
          </w:p>
        </w:tc>
        <w:tc>
          <w:tcPr>
            <w:tcW w:w="1663" w:type="dxa"/>
          </w:tcPr>
          <w:p>
            <w:pPr>
              <w:pStyle w:val="Compact"/>
              <w:jc w:val="left"/>
            </w:pPr>
            <w:r>
              <w:t xml:space="preserve">Actual</w:t>
            </w:r>
          </w:p>
        </w:tc>
        <w:tc>
          <w:tcPr>
            <w:tcW w:w="795" w:type="dxa"/>
          </w:tcPr>
          <w:p>
            <w:pPr>
              <w:pStyle w:val="Compact"/>
              <w:jc w:val="left"/>
            </w:pPr>
            <w:r>
              <w:t xml:space="preserve">Pass/Fail</w:t>
            </w:r>
          </w:p>
        </w:tc>
      </w:tr>
      <w:tr>
        <w:tc>
          <w:tcPr>
            <w:tcW w:w="795" w:type="dxa"/>
          </w:tcPr>
          <w:p>
            <w:pPr>
              <w:pStyle w:val="Compact"/>
              <w:jc w:val="left"/>
            </w:pPr>
            <w:r>
              <w:t xml:space="preserve">TC-01 (TS-01)</w:t>
            </w:r>
          </w:p>
        </w:tc>
        <w:tc>
          <w:tcPr>
            <w:tcW w:w="3190" w:type="dxa"/>
          </w:tcPr>
          <w:p>
            <w:pPr>
              <w:pStyle w:val="Compact"/>
              <w:jc w:val="left"/>
            </w:pPr>
            <w:r>
              <w:t xml:space="preserve">Pre: test item A is classified in US subheading 7318.16 (nuts); 10-digit numbers taken from the current HTSUS. 1. As maker, change the US classification to subheading 7318.15 (other screws and bolts), effective today. 2. As checker, approve. 3. Run the US broker feed job in test. 4. Open the feed file and search for item A.</w:t>
            </w:r>
          </w:p>
        </w:tc>
        <w:tc>
          <w:tcPr>
            <w:tcW w:w="2915" w:type="dxa"/>
          </w:tcPr>
          <w:p>
            <w:pPr>
              <w:pStyle w:val="Compact"/>
              <w:jc w:val="left"/>
            </w:pPr>
            <w:r>
              <w:t xml:space="preserve">Item A appears once, for US only, with the new 10-digit number and today's effective date. No row with the old number. Feed row count equals the previous run. CA and MX classifications unchanged. Change log shows maker, checker and timestamps.</w:t>
            </w:r>
          </w:p>
        </w:tc>
        <w:tc>
          <w:tcPr>
            <w:tcW w:w="1663" w:type="dxa"/>
          </w:tcPr>
          <w:p>
            <w:pPr>
              <w:pStyle w:val="Compact"/>
              <w:jc w:val="left"/>
            </w:pPr>
            <w:r>
              <w:t xml:space="preserve">As expected. Row count 13,744 both runs. Evidence: TC-01_[date]_HA.png and the feed file</w:t>
            </w:r>
          </w:p>
        </w:tc>
        <w:tc>
          <w:tcPr>
            <w:tcW w:w="795" w:type="dxa"/>
          </w:tcPr>
          <w:p>
            <w:pPr>
              <w:pStyle w:val="Compact"/>
              <w:jc w:val="left"/>
            </w:pPr>
            <w:r>
              <w:t xml:space="preserve">Pass</w:t>
            </w:r>
          </w:p>
        </w:tc>
      </w:tr>
      <w:tr>
        <w:tc>
          <w:tcPr>
            <w:tcW w:w="795" w:type="dxa"/>
          </w:tcPr>
          <w:p>
            <w:pPr>
              <w:pStyle w:val="Compact"/>
              <w:jc w:val="left"/>
            </w:pPr>
            <w:r>
              <w:t xml:space="preserve">TC-02 (TS-02)</w:t>
            </w:r>
          </w:p>
        </w:tc>
        <w:tc>
          <w:tcPr>
            <w:tcW w:w="3190" w:type="dxa"/>
          </w:tcPr>
          <w:p>
            <w:pPr>
              <w:pStyle w:val="Compact"/>
              <w:jc w:val="left"/>
            </w:pPr>
            <w:r>
              <w:t xml:space="preserve">Pre: test item B is produced in Mexico from one non-originating material that meets the product-specific rule used for this test; supplier certification on file, blanket period 12 months, current. 1. Run USMCA qualification for item B. 2. Compare with Research's hand-worked result.</w:t>
            </w:r>
          </w:p>
        </w:tc>
        <w:tc>
          <w:tcPr>
            <w:tcW w:w="2915" w:type="dxa"/>
          </w:tcPr>
          <w:p>
            <w:pPr>
              <w:pStyle w:val="Compact"/>
              <w:jc w:val="left"/>
            </w:pPr>
            <w:r>
              <w:t xml:space="preserve">Result: Qualifies, origin criterion B (non-originating materials that satisfy the product-specific rule). Qualification valid no later than the certification's blanket-period end date.</w:t>
            </w:r>
          </w:p>
        </w:tc>
        <w:tc>
          <w:tcPr>
            <w:tcW w:w="1663" w:type="dxa"/>
          </w:tcPr>
          <w:p>
            <w:pPr>
              <w:pStyle w:val="Compact"/>
              <w:jc w:val="left"/>
            </w:pPr>
            <w:r>
              <w:t xml:space="preserve">Qualifies, criterion B; validity end matches the certification</w:t>
            </w:r>
          </w:p>
        </w:tc>
        <w:tc>
          <w:tcPr>
            <w:tcW w:w="795" w:type="dxa"/>
          </w:tcPr>
          <w:p>
            <w:pPr>
              <w:pStyle w:val="Compact"/>
              <w:jc w:val="left"/>
            </w:pPr>
            <w:r>
              <w:t xml:space="preserve">Pass</w:t>
            </w:r>
          </w:p>
        </w:tc>
      </w:tr>
      <w:tr>
        <w:tc>
          <w:tcPr>
            <w:tcW w:w="795" w:type="dxa"/>
          </w:tcPr>
          <w:p>
            <w:pPr>
              <w:pStyle w:val="Compact"/>
              <w:jc w:val="left"/>
            </w:pPr>
            <w:r>
              <w:t xml:space="preserve">TC-03 (TS-03)</w:t>
            </w:r>
          </w:p>
        </w:tc>
        <w:tc>
          <w:tcPr>
            <w:tcW w:w="3190" w:type="dxa"/>
          </w:tcPr>
          <w:p>
            <w:pPr>
              <w:pStyle w:val="Compact"/>
              <w:jc w:val="left"/>
            </w:pPr>
            <w:r>
              <w:t xml:space="preserve">Pre: US import of item C, 1,000 units, entered value $10,000.00, international freight $800.00. Hypothetical rates: base 2.5%, plus an additional 25% that the brief says stacks. 1. Run the landed-cost calculation for item C. 2. Compare duty with the Tariff-Impact Model, and landed cost with the hand calculation.</w:t>
            </w:r>
          </w:p>
        </w:tc>
        <w:tc>
          <w:tcPr>
            <w:tcW w:w="2915" w:type="dxa"/>
          </w:tcPr>
          <w:p>
            <w:pPr>
              <w:pStyle w:val="Compact"/>
              <w:jc w:val="left"/>
            </w:pPr>
            <w:r>
              <w:t xml:space="preserve">Duty $2,750.00 (entered value x 27.5%), that is $2.75 per unit, equal to the model's duty per unit after the action. Freight is not in the US duty base. Landed cost per unit (entered value + freight + duty + MPF, and HMF if it is an ocean shipment, at the current rates in</w:t>
            </w:r>
            <w:r>
              <w:t xml:space="preserve"> </w:t>
            </w:r>
            <w:r>
              <w:rPr>
                <w:rStyle w:val="VerbatimChar"/>
              </w:rPr>
              <w:t xml:space="preserve">docs/primers/current-tariff-landscape.md</w:t>
            </w:r>
            <w:r>
              <w:t xml:space="preserve">, + [COMPANY: other components agreed with Finance]) equals the hand calculation within $0.01.</w:t>
            </w:r>
          </w:p>
        </w:tc>
        <w:tc>
          <w:tcPr>
            <w:tcW w:w="1663" w:type="dxa"/>
          </w:tcPr>
          <w:p>
            <w:pPr>
              <w:pStyle w:val="Compact"/>
              <w:jc w:val="left"/>
            </w:pPr>
            <w:r>
              <w:t xml:space="preserve">Duty $2,750.00 ($2.75 per unit, equal to the model); landed cost per unit matches the hand calculation to $0.00</w:t>
            </w:r>
          </w:p>
        </w:tc>
        <w:tc>
          <w:tcPr>
            <w:tcW w:w="795" w:type="dxa"/>
          </w:tcPr>
          <w:p>
            <w:pPr>
              <w:pStyle w:val="Compact"/>
              <w:jc w:val="left"/>
            </w:pPr>
            <w:r>
              <w:t xml:space="preserve">Pass</w:t>
            </w:r>
          </w:p>
        </w:tc>
      </w:tr>
      <w:tr>
        <w:tc>
          <w:tcPr>
            <w:tcW w:w="795" w:type="dxa"/>
          </w:tcPr>
          <w:p>
            <w:pPr>
              <w:pStyle w:val="Compact"/>
              <w:jc w:val="left"/>
            </w:pPr>
            <w:r>
              <w:t xml:space="preserve">TC-04 (TS-06)</w:t>
            </w:r>
          </w:p>
        </w:tc>
        <w:tc>
          <w:tcPr>
            <w:tcW w:w="3190" w:type="dxa"/>
          </w:tcPr>
          <w:p>
            <w:pPr>
              <w:pStyle w:val="Compact"/>
              <w:jc w:val="left"/>
            </w:pPr>
            <w:r>
              <w:t xml:space="preserve">Pre: Mexico import of item D, invoice $10,000.00, freight to the border $800.00, insurance $50.00; hypothetical IGI rate 10%. 1. Run the duty calculation.</w:t>
            </w:r>
          </w:p>
        </w:tc>
        <w:tc>
          <w:tcPr>
            <w:tcW w:w="2915" w:type="dxa"/>
          </w:tcPr>
          <w:p>
            <w:pPr>
              <w:pStyle w:val="Compact"/>
              <w:jc w:val="left"/>
            </w:pPr>
            <w:r>
              <w:t xml:space="preserve">Customs value $10,850.00 (Mexico includes freight and insurance to the point of entry); IGI $1,085.00. Other Mexican charges follow [COMPANY: landed-cost rules agreed with Finance and the agente aduanal].</w:t>
            </w:r>
          </w:p>
        </w:tc>
        <w:tc>
          <w:tcPr>
            <w:tcW w:w="1663" w:type="dxa"/>
          </w:tcPr>
          <w:p>
            <w:pPr>
              <w:pStyle w:val="Compact"/>
              <w:jc w:val="left"/>
            </w:pPr>
            <w:r>
              <w:t xml:space="preserve">Customs value $10,850.00; IGI $1,085.00</w:t>
            </w:r>
          </w:p>
        </w:tc>
        <w:tc>
          <w:tcPr>
            <w:tcW w:w="795" w:type="dxa"/>
          </w:tcPr>
          <w:p>
            <w:pPr>
              <w:pStyle w:val="Compact"/>
              <w:jc w:val="left"/>
            </w:pPr>
            <w:r>
              <w:t xml:space="preserve">Pass</w:t>
            </w:r>
          </w:p>
        </w:tc>
      </w:tr>
      <w:tr>
        <w:tc>
          <w:tcPr>
            <w:tcW w:w="795" w:type="dxa"/>
          </w:tcPr>
          <w:p>
            <w:pPr>
              <w:pStyle w:val="Compact"/>
              <w:jc w:val="left"/>
            </w:pPr>
            <w:r>
              <w:t xml:space="preserve">TC-05 (TS-04)</w:t>
            </w:r>
          </w:p>
        </w:tc>
        <w:tc>
          <w:tcPr>
            <w:tcW w:w="3190" w:type="dxa"/>
          </w:tcPr>
          <w:p>
            <w:pPr>
              <w:pStyle w:val="Compact"/>
              <w:jc w:val="left"/>
            </w:pPr>
            <w:r>
              <w:t xml:space="preserve">Pre: hypothetical action effective for goods entered for consumption on or after 12:01 a.m. eastern time on 2027-03-01. Item C entry 1 dated 2027-02-28, entry 2 dated 2027-03-01, both from POs dated 2027-01-15. 1. Run duty for both entries.</w:t>
            </w:r>
          </w:p>
        </w:tc>
        <w:tc>
          <w:tcPr>
            <w:tcW w:w="2915" w:type="dxa"/>
          </w:tcPr>
          <w:p>
            <w:pPr>
              <w:pStyle w:val="Compact"/>
              <w:jc w:val="left"/>
            </w:pPr>
            <w:r>
              <w:t xml:space="preserve">Entry 1: base 2.5% only. Entry 2: 27.5%. The PO date has no effect.</w:t>
            </w:r>
          </w:p>
        </w:tc>
        <w:tc>
          <w:tcPr>
            <w:tcW w:w="1663" w:type="dxa"/>
          </w:tcPr>
          <w:p>
            <w:pPr>
              <w:pStyle w:val="Compact"/>
              <w:jc w:val="left"/>
            </w:pPr>
            <w:r>
              <w:t xml:space="preserve">Both entries got 2.5%: the rate was chosen by PO date</w:t>
            </w:r>
          </w:p>
        </w:tc>
        <w:tc>
          <w:tcPr>
            <w:tcW w:w="795" w:type="dxa"/>
          </w:tcPr>
          <w:p>
            <w:pPr>
              <w:pStyle w:val="Compact"/>
              <w:jc w:val="left"/>
            </w:pPr>
            <w:r>
              <w:t xml:space="preserve">Fail: D-01</w:t>
            </w:r>
          </w:p>
        </w:tc>
      </w:tr>
      <w:tr>
        <w:tc>
          <w:tcPr>
            <w:tcW w:w="795" w:type="dxa"/>
          </w:tcPr>
          <w:p>
            <w:pPr>
              <w:pStyle w:val="Compact"/>
              <w:jc w:val="left"/>
            </w:pPr>
            <w:r>
              <w:t xml:space="preserve">TC-06 (TS-08)</w:t>
            </w:r>
          </w:p>
        </w:tc>
        <w:tc>
          <w:tcPr>
            <w:tcW w:w="3190" w:type="dxa"/>
          </w:tcPr>
          <w:p>
            <w:pPr>
              <w:pStyle w:val="Compact"/>
              <w:jc w:val="left"/>
            </w:pPr>
            <w:r>
              <w:t xml:space="preserve">1. As maker, change a duty rate. 2. Try to approve the same change with the same user.</w:t>
            </w:r>
          </w:p>
        </w:tc>
        <w:tc>
          <w:tcPr>
            <w:tcW w:w="2915" w:type="dxa"/>
          </w:tcPr>
          <w:p>
            <w:pPr>
              <w:pStyle w:val="Compact"/>
              <w:jc w:val="left"/>
            </w:pPr>
            <w:r>
              <w:t xml:space="preserve">Approval is refused with a message; the change stays pending</w:t>
            </w:r>
          </w:p>
        </w:tc>
        <w:tc>
          <w:tcPr>
            <w:tcW w:w="1663" w:type="dxa"/>
          </w:tcPr>
          <w:p>
            <w:pPr>
              <w:pStyle w:val="Compact"/>
              <w:jc w:val="left"/>
            </w:pPr>
            <w:r>
              <w:t xml:space="preserve">Refused; change pending</w:t>
            </w:r>
          </w:p>
        </w:tc>
        <w:tc>
          <w:tcPr>
            <w:tcW w:w="795" w:type="dxa"/>
          </w:tcPr>
          <w:p>
            <w:pPr>
              <w:pStyle w:val="Compact"/>
              <w:jc w:val="left"/>
            </w:pPr>
            <w:r>
              <w:t xml:space="preserve">Pass</w:t>
            </w:r>
          </w:p>
        </w:tc>
      </w:tr>
    </w:tbl>
    <w:p>
      <w:pPr>
        <w:pStyle w:val="BodyText"/>
      </w:pPr>
      <w:r>
        <w:t xml:space="preserve">More effective-date cases to add when they apply: a warehouse withdrawal for consumption on or after the effective date (the rate in effect at withdrawal applies); goods covered by an in-transit provision in the action; an action with an end date; and, if the system stores times in UTC, an entry late in the evening eastern time on the day before the effective date.</w:t>
      </w:r>
    </w:p>
    <w:bookmarkEnd w:id="33"/>
    <w:bookmarkStart w:id="34" w:name="defect-log"/>
    <w:p>
      <w:pPr>
        <w:pStyle w:val="Heading3"/>
      </w:pPr>
      <w:r>
        <w:t xml:space="preserve">Defect log</w:t>
      </w:r>
    </w:p>
    <w:tbl>
      <w:tblPr>
        <w:tblStyle w:val="Table"/>
        <w:tblW w:type="dxa" w:w="9360"/>
        <w:tblLook w:firstRow="1" w:lastRow="0" w:firstColumn="0" w:lastColumn="0" w:noHBand="0" w:noVBand="0" w:val="0020"/>
        <w:jc w:val="start"/>
        <w:tblLayout w:type="fixed"/>
      </w:tblPr>
      <w:tblGrid>
        <w:gridCol w:w="810"/>
        <w:gridCol w:w="810"/>
        <w:gridCol w:w="5002"/>
        <w:gridCol w:w="980"/>
        <w:gridCol w:w="1755"/>
      </w:tblGrid>
      <w:tr>
        <w:trPr>
          <w:tblHeader w:val="true"/>
        </w:trPr>
        <w:tc>
          <w:tcPr>
            <w:tcW w:w="810" w:type="dxa"/>
          </w:tcPr>
          <w:p>
            <w:pPr>
              <w:pStyle w:val="Compact"/>
              <w:jc w:val="left"/>
            </w:pPr>
            <w:r>
              <w:t xml:space="preserve">ID</w:t>
            </w:r>
          </w:p>
        </w:tc>
        <w:tc>
          <w:tcPr>
            <w:tcW w:w="810" w:type="dxa"/>
          </w:tcPr>
          <w:p>
            <w:pPr>
              <w:pStyle w:val="Compact"/>
              <w:jc w:val="left"/>
            </w:pPr>
            <w:r>
              <w:t xml:space="preserve">Severity</w:t>
            </w:r>
          </w:p>
        </w:tc>
        <w:tc>
          <w:tcPr>
            <w:tcW w:w="5002" w:type="dxa"/>
          </w:tcPr>
          <w:p>
            <w:pPr>
              <w:pStyle w:val="Compact"/>
              <w:jc w:val="left"/>
            </w:pPr>
            <w:r>
              <w:t xml:space="preserve">Description</w:t>
            </w:r>
          </w:p>
        </w:tc>
        <w:tc>
          <w:tcPr>
            <w:tcW w:w="980" w:type="dxa"/>
          </w:tcPr>
          <w:p>
            <w:pPr>
              <w:pStyle w:val="Compact"/>
              <w:jc w:val="left"/>
            </w:pPr>
            <w:r>
              <w:t xml:space="preserve">Status</w:t>
            </w:r>
          </w:p>
        </w:tc>
        <w:tc>
          <w:tcPr>
            <w:tcW w:w="1755" w:type="dxa"/>
          </w:tcPr>
          <w:p>
            <w:pPr>
              <w:pStyle w:val="Compact"/>
              <w:jc w:val="left"/>
            </w:pPr>
            <w:r>
              <w:t xml:space="preserve">Owner</w:t>
            </w:r>
          </w:p>
        </w:tc>
      </w:tr>
      <w:tr>
        <w:tc>
          <w:tcPr>
            <w:tcW w:w="810" w:type="dxa"/>
          </w:tcPr>
          <w:p>
            <w:pPr>
              <w:pStyle w:val="Compact"/>
              <w:jc w:val="left"/>
            </w:pPr>
            <w:r>
              <w:t xml:space="preserve">D-01</w:t>
            </w:r>
          </w:p>
        </w:tc>
        <w:tc>
          <w:tcPr>
            <w:tcW w:w="810" w:type="dxa"/>
          </w:tcPr>
          <w:p>
            <w:pPr>
              <w:pStyle w:val="Compact"/>
              <w:jc w:val="left"/>
            </w:pPr>
            <w:r>
              <w:t xml:space="preserve">High</w:t>
            </w:r>
          </w:p>
        </w:tc>
        <w:tc>
          <w:tcPr>
            <w:tcW w:w="5002" w:type="dxa"/>
          </w:tcPr>
          <w:p>
            <w:pPr>
              <w:pStyle w:val="Compact"/>
              <w:jc w:val="left"/>
            </w:pPr>
            <w:r>
              <w:t xml:space="preserve">TC-05: the rate is selected by PO date, not entry date. Expected 27.5% for entry 2, got 2.5%. Evidence TC-05_[date]_HB.xlsx</w:t>
            </w:r>
          </w:p>
        </w:tc>
        <w:tc>
          <w:tcPr>
            <w:tcW w:w="980" w:type="dxa"/>
          </w:tcPr>
          <w:p>
            <w:pPr>
              <w:pStyle w:val="Compact"/>
              <w:jc w:val="left"/>
            </w:pPr>
            <w:r>
              <w:t xml:space="preserve">In fix</w:t>
            </w:r>
          </w:p>
        </w:tc>
        <w:tc>
          <w:tcPr>
            <w:tcW w:w="1755" w:type="dxa"/>
          </w:tcPr>
          <w:p>
            <w:pPr>
              <w:pStyle w:val="Compact"/>
              <w:jc w:val="left"/>
            </w:pPr>
            <w:r>
              <w:t xml:space="preserve">[COMPANY: e2open configuration lead]</w:t>
            </w:r>
          </w:p>
        </w:tc>
      </w:tr>
      <w:tr>
        <w:tc>
          <w:tcPr>
            <w:tcW w:w="810" w:type="dxa"/>
          </w:tcPr>
          <w:p>
            <w:pPr>
              <w:pStyle w:val="Compact"/>
              <w:jc w:val="left"/>
            </w:pPr>
            <w:r>
              <w:t xml:space="preserve">D-02</w:t>
            </w:r>
          </w:p>
        </w:tc>
        <w:tc>
          <w:tcPr>
            <w:tcW w:w="810" w:type="dxa"/>
          </w:tcPr>
          <w:p>
            <w:pPr>
              <w:pStyle w:val="Compact"/>
              <w:jc w:val="left"/>
            </w:pPr>
            <w:r>
              <w:t xml:space="preserve">Medium</w:t>
            </w:r>
          </w:p>
        </w:tc>
        <w:tc>
          <w:tcPr>
            <w:tcW w:w="5002" w:type="dxa"/>
          </w:tcPr>
          <w:p>
            <w:pPr>
              <w:pStyle w:val="Compact"/>
              <w:jc w:val="left"/>
            </w:pPr>
            <w:r>
              <w:t xml:space="preserve">TC-02: the qualification screen does not show the certification end date; the qualification report does (workaround)</w:t>
            </w:r>
          </w:p>
        </w:tc>
        <w:tc>
          <w:tcPr>
            <w:tcW w:w="980" w:type="dxa"/>
          </w:tcPr>
          <w:p>
            <w:pPr>
              <w:pStyle w:val="Compact"/>
              <w:jc w:val="left"/>
            </w:pPr>
            <w:r>
              <w:t xml:space="preserve">Triaged; fix date [date]</w:t>
            </w:r>
          </w:p>
        </w:tc>
        <w:tc>
          <w:tcPr>
            <w:tcW w:w="1755" w:type="dxa"/>
          </w:tcPr>
          <w:p>
            <w:pPr>
              <w:pStyle w:val="Compact"/>
              <w:jc w:val="left"/>
            </w:pPr>
            <w:r>
              <w:t xml:space="preserve">[COMPANY: e2open configuration lead]</w:t>
            </w:r>
          </w:p>
        </w:tc>
      </w:tr>
    </w:tbl>
    <w:p>
      <w:pPr>
        <w:pStyle w:val="BodyText"/>
      </w:pPr>
      <w:r>
        <w:t xml:space="preserve">Status: Not ready to exit. D-01 is High and still open; TC-05 must be retested after the fix, with TC-03 re-run as regression.</w:t>
      </w:r>
    </w:p>
    <w:bookmarkEnd w:id="34"/>
    <w:bookmarkEnd w:id="35"/>
    <w:bookmarkStart w:id="36" w:name="quality-checklist-before-you-send"/>
    <w:p>
      <w:pPr>
        <w:pStyle w:val="Heading2"/>
      </w:pPr>
      <w:r>
        <w:t xml:space="preserve">Quality checklist before you send</w:t>
      </w:r>
    </w:p>
    <w:p>
      <w:pPr>
        <w:numPr>
          <w:ilvl w:val="0"/>
          <w:numId w:val="1007"/>
        </w:numPr>
        <w:pStyle w:val="Compact"/>
      </w:pPr>
      <w:r>
        <w:t xml:space="preserve">☐ Every Must requirement or acceptance criterion has at least one test case, linked by ID.</w:t>
      </w:r>
    </w:p>
    <w:p>
      <w:pPr>
        <w:numPr>
          <w:ilvl w:val="0"/>
          <w:numId w:val="1007"/>
        </w:numPr>
        <w:pStyle w:val="Compact"/>
      </w:pPr>
      <w:r>
        <w:t xml:space="preserve">☐ Negative and boundary cases are included (effective-date edges, missing data, the maker trying to approve their own change).</w:t>
      </w:r>
    </w:p>
    <w:p>
      <w:pPr>
        <w:numPr>
          <w:ilvl w:val="0"/>
          <w:numId w:val="1007"/>
        </w:numPr>
        <w:pStyle w:val="Compact"/>
      </w:pPr>
      <w:r>
        <w:t xml:space="preserve">☐ Expected results have exact values, worked out before execution and checked against the model or brief.</w:t>
      </w:r>
    </w:p>
    <w:p>
      <w:pPr>
        <w:numPr>
          <w:ilvl w:val="0"/>
          <w:numId w:val="1007"/>
        </w:numPr>
        <w:pStyle w:val="Compact"/>
      </w:pPr>
      <w:r>
        <w:t xml:space="preserve">☐ Rates and dates in expected results come from a checked Tariff-Impact Brief, not from memory.</w:t>
      </w:r>
    </w:p>
    <w:p>
      <w:pPr>
        <w:numPr>
          <w:ilvl w:val="0"/>
          <w:numId w:val="1007"/>
        </w:numPr>
        <w:pStyle w:val="Compact"/>
      </w:pPr>
      <w:r>
        <w:t xml:space="preserve">☐ Test data is in the test environment; no testing in production; sensitive data is protected.</w:t>
      </w:r>
    </w:p>
    <w:p>
      <w:pPr>
        <w:numPr>
          <w:ilvl w:val="0"/>
          <w:numId w:val="1007"/>
        </w:numPr>
        <w:pStyle w:val="Compact"/>
      </w:pPr>
      <w:r>
        <w:t xml:space="preserve">☐ Entry criteria were met, and the checker reviewed the cases before execution.</w:t>
      </w:r>
    </w:p>
    <w:p>
      <w:pPr>
        <w:numPr>
          <w:ilvl w:val="0"/>
          <w:numId w:val="1007"/>
        </w:numPr>
        <w:pStyle w:val="Compact"/>
      </w:pPr>
      <w:r>
        <w:t xml:space="preserve">☐ Actual results are written in words and values, with evidence saved under the naming rule.</w:t>
      </w:r>
    </w:p>
    <w:p>
      <w:pPr>
        <w:numPr>
          <w:ilvl w:val="0"/>
          <w:numId w:val="1007"/>
        </w:numPr>
        <w:pStyle w:val="Compact"/>
      </w:pPr>
      <w:r>
        <w:t xml:space="preserve">☐ Each failure has a defect with a severity using the definitions above, linked to its case.</w:t>
      </w:r>
    </w:p>
    <w:p>
      <w:pPr>
        <w:numPr>
          <w:ilvl w:val="0"/>
          <w:numId w:val="1007"/>
        </w:numPr>
        <w:pStyle w:val="Compact"/>
      </w:pPr>
      <w:r>
        <w:t xml:space="preserve">☐ Fixed defects were retested, with regression on related cases.</w:t>
      </w:r>
    </w:p>
    <w:p>
      <w:pPr>
        <w:numPr>
          <w:ilvl w:val="0"/>
          <w:numId w:val="1007"/>
        </w:numPr>
        <w:pStyle w:val="Compact"/>
      </w:pPr>
      <w:r>
        <w:t xml:space="preserve">☐ The exit criteria are checked one by one, and sign-off is recorded with any conditions.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2026-10-14T03:53:03Z</dcterms:created>
  <dcterms:modified xsi:type="dcterms:W3CDTF">2026-10-14T03:53:03Z</dcterms:modified>
</cp:coreProperties>
</file>

<file path=docProps/custom.xml><?xml version="1.0" encoding="utf-8"?>
<Properties xmlns="http://schemas.openxmlformats.org/officeDocument/2006/custom-properties" xmlns:vt="http://schemas.openxmlformats.org/officeDocument/2006/docPropsVTypes"/>
</file>