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2973"/>
        <w:gridCol w:w="6386"/>
      </w:tblGrid>
      <w:tr>
        <w:trPr>
          <w:tblHeader w:val="true"/>
        </w:trPr>
        <w:tc>
          <w:tcPr>
            <w:tcW w:w="2973" w:type="dxa"/>
          </w:tcPr>
          <w:p>
            <w:pPr>
              <w:pStyle w:val="Compact"/>
              <w:jc w:val="left"/>
            </w:pPr>
            <w:r>
              <w:t xml:space="preserve">Setting</w:t>
            </w:r>
          </w:p>
        </w:tc>
        <w:tc>
          <w:tcPr>
            <w:tcW w:w="6386" w:type="dxa"/>
          </w:tcPr>
          <w:p>
            <w:pPr>
              <w:pStyle w:val="Compact"/>
              <w:jc w:val="left"/>
            </w:pPr>
            <w:r>
              <w:t xml:space="preserve">Value</w:t>
            </w:r>
          </w:p>
        </w:tc>
      </w:tr>
      <w:tr>
        <w:tc>
          <w:tcPr>
            <w:tcW w:w="2973" w:type="dxa"/>
          </w:tcPr>
          <w:p>
            <w:pPr>
              <w:pStyle w:val="Compact"/>
              <w:jc w:val="left"/>
            </w:pPr>
            <w:r>
              <w:t xml:space="preserve">Cycle frequency and next cycle dates</w:t>
            </w:r>
          </w:p>
        </w:tc>
        <w:tc>
          <w:tcPr>
            <w:tcW w:w="6386" w:type="dxa"/>
          </w:tcPr>
          <w:p>
            <w:pPr>
              <w:pStyle w:val="Compact"/>
              <w:jc w:val="left"/>
            </w:pPr>
            <w:r>
              <w:t xml:space="preserve">[COMPANY: for example annual full update plus interim duty updates]</w:t>
            </w:r>
          </w:p>
        </w:tc>
      </w:tr>
      <w:tr>
        <w:tc>
          <w:tcPr>
            <w:tcW w:w="2973" w:type="dxa"/>
          </w:tcPr>
          <w:p>
            <w:pPr>
              <w:pStyle w:val="Compact"/>
              <w:jc w:val="left"/>
            </w:pPr>
            <w:r>
              <w:t xml:space="preserve">Oracle product</w:t>
            </w:r>
          </w:p>
        </w:tc>
        <w:tc>
          <w:tcPr>
            <w:tcW w:w="6386" w:type="dxa"/>
          </w:tcPr>
          <w:p>
            <w:pPr>
              <w:pStyle w:val="Compact"/>
              <w:jc w:val="left"/>
            </w:pPr>
            <w:r>
              <w:t xml:space="preserve">[COMPANY: Oracle EBS or Fusion]</w:t>
            </w:r>
          </w:p>
        </w:tc>
      </w:tr>
      <w:tr>
        <w:tc>
          <w:tcPr>
            <w:tcW w:w="2973" w:type="dxa"/>
          </w:tcPr>
          <w:p>
            <w:pPr>
              <w:pStyle w:val="Compact"/>
              <w:jc w:val="left"/>
            </w:pPr>
            <w:r>
              <w:t xml:space="preserve">Where pending costs are held before the update</w:t>
            </w:r>
          </w:p>
        </w:tc>
        <w:tc>
          <w:tcPr>
            <w:tcW w:w="6386" w:type="dxa"/>
          </w:tcPr>
          <w:p>
            <w:pPr>
              <w:pStyle w:val="Compact"/>
              <w:jc w:val="left"/>
            </w:pPr>
            <w:r>
              <w:t xml:space="preserve">[COMPANY: EBS pending cost type name, or Fusion cost scenario naming rule]</w:t>
            </w:r>
          </w:p>
        </w:tc>
      </w:tr>
      <w:tr>
        <w:tc>
          <w:tcPr>
            <w:tcW w:w="2973" w:type="dxa"/>
          </w:tcPr>
          <w:p>
            <w:pPr>
              <w:pStyle w:val="Compact"/>
              <w:jc w:val="left"/>
            </w:pPr>
            <w:r>
              <w:t xml:space="preserve">Cost elements and sub-elements for landed cost</w:t>
            </w:r>
          </w:p>
        </w:tc>
        <w:tc>
          <w:tcPr>
            <w:tcW w:w="6386" w:type="dxa"/>
          </w:tcPr>
          <w:p>
            <w:pPr>
              <w:pStyle w:val="Compact"/>
              <w:jc w:val="left"/>
            </w:pPr>
            <w:r>
              <w:t xml:space="preserve">[COMPANY: for example material plus material overhead sub-elements for freight, duty, brokerage]</w:t>
            </w:r>
          </w:p>
        </w:tc>
      </w:tr>
      <w:tr>
        <w:tc>
          <w:tcPr>
            <w:tcW w:w="2973" w:type="dxa"/>
          </w:tcPr>
          <w:p>
            <w:pPr>
              <w:pStyle w:val="Compact"/>
              <w:jc w:val="left"/>
            </w:pPr>
            <w:r>
              <w:t xml:space="preserve">Basis of each landed-cost sub-element</w:t>
            </w:r>
          </w:p>
        </w:tc>
        <w:tc>
          <w:tcPr>
            <w:tcW w:w="6386" w:type="dxa"/>
          </w:tcPr>
          <w:p>
            <w:pPr>
              <w:pStyle w:val="Compact"/>
              <w:jc w:val="left"/>
            </w:pPr>
            <w:r>
              <w:t xml:space="preserve">[COMPANY: per unit amount, or % of material value (EBS basis type Item, Lot or Total Value; Fusion equivalent)]. If duty is held as a % of material value, record how the rate is converted from the customs value: Oracle applies it to the material cost, not to the duty base</w:t>
            </w:r>
          </w:p>
        </w:tc>
      </w:tr>
      <w:tr>
        <w:tc>
          <w:tcPr>
            <w:tcW w:w="2973" w:type="dxa"/>
          </w:tcPr>
          <w:p>
            <w:pPr>
              <w:pStyle w:val="Compact"/>
              <w:jc w:val="left"/>
            </w:pPr>
            <w:r>
              <w:t xml:space="preserve">How duty reaches item cost and variance</w:t>
            </w:r>
          </w:p>
        </w:tc>
        <w:tc>
          <w:tcPr>
            <w:tcW w:w="6386"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2973" w:type="dxa"/>
          </w:tcPr>
          <w:p>
            <w:pPr>
              <w:pStyle w:val="Compact"/>
              <w:jc w:val="left"/>
            </w:pPr>
            <w:r>
              <w:t xml:space="preserve">Load method</w:t>
            </w:r>
          </w:p>
        </w:tc>
        <w:tc>
          <w:tcPr>
            <w:tcW w:w="6386" w:type="dxa"/>
          </w:tcPr>
          <w:p>
            <w:pPr>
              <w:pStyle w:val="Compact"/>
              <w:jc w:val="left"/>
            </w:pPr>
            <w:r>
              <w:t xml:space="preserve">[COMPANY: cost interface, file-based import, Web ADI, custom tool]</w:t>
            </w:r>
          </w:p>
        </w:tc>
      </w:tr>
      <w:tr>
        <w:tc>
          <w:tcPr>
            <w:tcW w:w="2973" w:type="dxa"/>
          </w:tcPr>
          <w:p>
            <w:pPr>
              <w:pStyle w:val="Compact"/>
              <w:jc w:val="left"/>
            </w:pPr>
            <w:r>
              <w:t xml:space="preserve">Who loads, who runs the update</w:t>
            </w:r>
          </w:p>
        </w:tc>
        <w:tc>
          <w:tcPr>
            <w:tcW w:w="6386" w:type="dxa"/>
          </w:tcPr>
          <w:p>
            <w:pPr>
              <w:pStyle w:val="Compact"/>
              <w:jc w:val="left"/>
            </w:pPr>
            <w:r>
              <w:t xml:space="preserve">[COMPANY: roles; segregation of duties confirmed with Finance]</w:t>
            </w:r>
          </w:p>
        </w:tc>
      </w:tr>
      <w:tr>
        <w:tc>
          <w:tcPr>
            <w:tcW w:w="2973" w:type="dxa"/>
          </w:tcPr>
          <w:p>
            <w:pPr>
              <w:pStyle w:val="Compact"/>
              <w:jc w:val="left"/>
            </w:pPr>
            <w:r>
              <w:t xml:space="preserve">Variance review thresholds</w:t>
            </w:r>
          </w:p>
        </w:tc>
        <w:tc>
          <w:tcPr>
            <w:tcW w:w="6386" w:type="dxa"/>
          </w:tcPr>
          <w:p>
            <w:pPr>
              <w:pStyle w:val="Compact"/>
              <w:jc w:val="left"/>
            </w:pPr>
            <w:r>
              <w:t xml:space="preserve">[COMPANY: % change per unit] and [COMPANY: $ annual impact per item]</w:t>
            </w:r>
          </w:p>
        </w:tc>
      </w:tr>
      <w:tr>
        <w:tc>
          <w:tcPr>
            <w:tcW w:w="2973" w:type="dxa"/>
          </w:tcPr>
          <w:p>
            <w:pPr>
              <w:pStyle w:val="Compact"/>
              <w:jc w:val="left"/>
            </w:pPr>
            <w:r>
              <w:t xml:space="preserve">Materiality threshold</w:t>
            </w:r>
          </w:p>
        </w:tc>
        <w:tc>
          <w:tcPr>
            <w:tcW w:w="6386"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2973" w:type="dxa"/>
          </w:tcPr>
          <w:p>
            <w:pPr>
              <w:pStyle w:val="Compact"/>
              <w:jc w:val="left"/>
            </w:pPr>
            <w:r>
              <w:t xml:space="preserve">FX rate for costing</w:t>
            </w:r>
          </w:p>
        </w:tc>
        <w:tc>
          <w:tcPr>
            <w:tcW w:w="6386" w:type="dxa"/>
          </w:tcPr>
          <w:p>
            <w:pPr>
              <w:pStyle w:val="Compact"/>
              <w:jc w:val="left"/>
            </w:pPr>
            <w:r>
              <w:t xml:space="preserve">[COMPANY: Finance costing rate source and date rule]</w:t>
            </w:r>
          </w:p>
        </w:tc>
      </w:tr>
      <w:tr>
        <w:tc>
          <w:tcPr>
            <w:tcW w:w="2973" w:type="dxa"/>
          </w:tcPr>
          <w:p>
            <w:pPr>
              <w:pStyle w:val="Compact"/>
              <w:jc w:val="left"/>
            </w:pPr>
            <w:r>
              <w:t xml:space="preserve">Tariff action policy</w:t>
            </w:r>
          </w:p>
        </w:tc>
        <w:tc>
          <w:tcPr>
            <w:tcW w:w="6386" w:type="dxa"/>
          </w:tcPr>
          <w:p>
            <w:pPr>
              <w:pStyle w:val="Compact"/>
              <w:jc w:val="left"/>
            </w:pPr>
            <w:r>
              <w:t xml:space="preserve">[COMPANY: which actions go into the standard: effective on or before the cost-effective date only, or also announced actions]</w:t>
            </w:r>
          </w:p>
        </w:tc>
      </w:tr>
      <w:tr>
        <w:tc>
          <w:tcPr>
            <w:tcW w:w="2973" w:type="dxa"/>
          </w:tcPr>
          <w:p>
            <w:pPr>
              <w:pStyle w:val="Compact"/>
              <w:jc w:val="left"/>
            </w:pPr>
            <w:r>
              <w:t xml:space="preserve">Finance approver</w:t>
            </w:r>
          </w:p>
        </w:tc>
        <w:tc>
          <w:tcPr>
            <w:tcW w:w="6386" w:type="dxa"/>
          </w:tcPr>
          <w:p>
            <w:pPr>
              <w:pStyle w:val="Compact"/>
              <w:jc w:val="left"/>
            </w:pPr>
            <w:r>
              <w:t xml:space="preserve">[COMPANY: role]</w:t>
            </w:r>
          </w:p>
        </w:tc>
      </w:tr>
      <w:tr>
        <w:tc>
          <w:tcPr>
            <w:tcW w:w="2973" w:type="dxa"/>
          </w:tcPr>
          <w:p>
            <w:pPr>
              <w:pStyle w:val="Compact"/>
              <w:jc w:val="left"/>
            </w:pPr>
            <w:r>
              <w:t xml:space="preserve">Evidence archive and retention</w:t>
            </w:r>
          </w:p>
        </w:tc>
        <w:tc>
          <w:tcPr>
            <w:tcW w:w="6386"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963"/>
        <w:gridCol w:w="2577"/>
        <w:gridCol w:w="1849"/>
        <w:gridCol w:w="3970"/>
      </w:tblGrid>
      <w:tr>
        <w:trPr>
          <w:tblHeader w:val="true"/>
        </w:trPr>
        <w:tc>
          <w:tcPr>
            <w:tcW w:w="963" w:type="dxa"/>
          </w:tcPr>
          <w:p>
            <w:pPr>
              <w:pStyle w:val="Compact"/>
              <w:jc w:val="left"/>
            </w:pPr>
            <w:r>
              <w:t xml:space="preserve">Component</w:t>
            </w:r>
          </w:p>
        </w:tc>
        <w:tc>
          <w:tcPr>
            <w:tcW w:w="2577" w:type="dxa"/>
          </w:tcPr>
          <w:p>
            <w:pPr>
              <w:pStyle w:val="Compact"/>
              <w:jc w:val="left"/>
            </w:pPr>
            <w:r>
              <w:t xml:space="preserve">Typical source</w:t>
            </w:r>
          </w:p>
        </w:tc>
        <w:tc>
          <w:tcPr>
            <w:tcW w:w="1849" w:type="dxa"/>
          </w:tcPr>
          <w:p>
            <w:pPr>
              <w:pStyle w:val="Compact"/>
              <w:jc w:val="left"/>
            </w:pPr>
            <w:r>
              <w:t xml:space="preserve">Per-unit basis</w:t>
            </w:r>
          </w:p>
        </w:tc>
        <w:tc>
          <w:tcPr>
            <w:tcW w:w="3970" w:type="dxa"/>
          </w:tcPr>
          <w:p>
            <w:pPr>
              <w:pStyle w:val="Compact"/>
              <w:jc w:val="left"/>
            </w:pPr>
            <w:r>
              <w:t xml:space="preserve">Watch-outs</w:t>
            </w:r>
          </w:p>
        </w:tc>
      </w:tr>
      <w:tr>
        <w:tc>
          <w:tcPr>
            <w:tcW w:w="963" w:type="dxa"/>
          </w:tcPr>
          <w:p>
            <w:pPr>
              <w:pStyle w:val="Compact"/>
              <w:jc w:val="left"/>
            </w:pPr>
            <w:r>
              <w:t xml:space="preserve">Purchase price</w:t>
            </w:r>
          </w:p>
        </w:tc>
        <w:tc>
          <w:tcPr>
            <w:tcW w:w="2577" w:type="dxa"/>
          </w:tcPr>
          <w:p>
            <w:pPr>
              <w:pStyle w:val="Compact"/>
              <w:jc w:val="left"/>
            </w:pPr>
            <w:r>
              <w:t xml:space="preserve">Oracle PO or contract price</w:t>
            </w:r>
          </w:p>
        </w:tc>
        <w:tc>
          <w:tcPr>
            <w:tcW w:w="1849" w:type="dxa"/>
          </w:tcPr>
          <w:p>
            <w:pPr>
              <w:pStyle w:val="Compact"/>
              <w:jc w:val="left"/>
            </w:pPr>
            <w:r>
              <w:t xml:space="preserve">Price per Oracle primary unit of measure</w:t>
            </w:r>
          </w:p>
        </w:tc>
        <w:tc>
          <w:tcPr>
            <w:tcW w:w="3970" w:type="dxa"/>
          </w:tcPr>
          <w:p>
            <w:pPr>
              <w:pStyle w:val="Compact"/>
              <w:jc w:val="left"/>
            </w:pPr>
            <w:r>
              <w:t xml:space="preserve">Currency and FX date; price unit vs stocking unit</w:t>
            </w:r>
          </w:p>
        </w:tc>
      </w:tr>
      <w:tr>
        <w:tc>
          <w:tcPr>
            <w:tcW w:w="963" w:type="dxa"/>
          </w:tcPr>
          <w:p>
            <w:pPr>
              <w:pStyle w:val="Compact"/>
              <w:jc w:val="left"/>
            </w:pPr>
            <w:r>
              <w:t xml:space="preserve">International freight and insurance</w:t>
            </w:r>
          </w:p>
        </w:tc>
        <w:tc>
          <w:tcPr>
            <w:tcW w:w="2577" w:type="dxa"/>
          </w:tcPr>
          <w:p>
            <w:pPr>
              <w:pStyle w:val="Compact"/>
              <w:jc w:val="left"/>
            </w:pPr>
            <w:r>
              <w:t xml:space="preserve">[COMPANY: freight rate file or contracts]</w:t>
            </w:r>
          </w:p>
        </w:tc>
        <w:tc>
          <w:tcPr>
            <w:tcW w:w="1849" w:type="dxa"/>
          </w:tcPr>
          <w:p>
            <w:pPr>
              <w:pStyle w:val="Compact"/>
              <w:jc w:val="left"/>
            </w:pPr>
            <w:r>
              <w:t xml:space="preserve">Allocated by weight, volume or value ([COMPANY: rule])</w:t>
            </w:r>
          </w:p>
        </w:tc>
        <w:tc>
          <w:tcPr>
            <w:tcW w:w="3970" w:type="dxa"/>
          </w:tcPr>
          <w:p>
            <w:pPr>
              <w:pStyle w:val="Compact"/>
              <w:jc w:val="left"/>
            </w:pPr>
            <w:r>
              <w:t xml:space="preserve">Allocation basis drives the result; keep it the same between cycles unless agreed</w:t>
            </w:r>
          </w:p>
        </w:tc>
      </w:tr>
      <w:tr>
        <w:tc>
          <w:tcPr>
            <w:tcW w:w="963" w:type="dxa"/>
          </w:tcPr>
          <w:p>
            <w:pPr>
              <w:pStyle w:val="Compact"/>
              <w:jc w:val="left"/>
            </w:pPr>
            <w:r>
              <w:t xml:space="preserve">Duty (base rate)</w:t>
            </w:r>
          </w:p>
        </w:tc>
        <w:tc>
          <w:tcPr>
            <w:tcW w:w="2577" w:type="dxa"/>
          </w:tcPr>
          <w:p>
            <w:pPr>
              <w:pStyle w:val="Compact"/>
              <w:jc w:val="left"/>
            </w:pPr>
            <w:r>
              <w:t xml:space="preserve">Rate by HTS, import country and origin from [COMPANY: duty rate table or tool]</w:t>
            </w:r>
          </w:p>
        </w:tc>
        <w:tc>
          <w:tcPr>
            <w:tcW w:w="1849" w:type="dxa"/>
          </w:tcPr>
          <w:p>
            <w:pPr>
              <w:pStyle w:val="Compact"/>
              <w:jc w:val="left"/>
            </w:pPr>
            <w:r>
              <w:t xml:space="preserve">Duty base x rate</w:t>
            </w:r>
          </w:p>
        </w:tc>
        <w:tc>
          <w:tcPr>
            <w:tcW w:w="3970"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963" w:type="dxa"/>
          </w:tcPr>
          <w:p>
            <w:pPr>
              <w:pStyle w:val="Compact"/>
              <w:jc w:val="left"/>
            </w:pPr>
            <w:r>
              <w:t xml:space="preserve">Additional duties and surtaxes</w:t>
            </w:r>
          </w:p>
        </w:tc>
        <w:tc>
          <w:tcPr>
            <w:tcW w:w="2577" w:type="dxa"/>
          </w:tcPr>
          <w:p>
            <w:pPr>
              <w:pStyle w:val="Compact"/>
              <w:jc w:val="left"/>
            </w:pPr>
            <w:r>
              <w:t xml:space="preserve">Checked Tariff-Impact Briefs (</w:t>
            </w:r>
            <w:r>
              <w:rPr>
                <w:rStyle w:val="VerbatimChar"/>
              </w:rPr>
              <w:t xml:space="preserve">docs/templates/domain/tariff-impact-brief.md</w:t>
            </w:r>
            <w:r>
              <w:t xml:space="preserve">)</w:t>
            </w:r>
          </w:p>
        </w:tc>
        <w:tc>
          <w:tcPr>
            <w:tcW w:w="1849" w:type="dxa"/>
          </w:tcPr>
          <w:p>
            <w:pPr>
              <w:pStyle w:val="Compact"/>
              <w:jc w:val="left"/>
            </w:pPr>
            <w:r>
              <w:t xml:space="preserve">Duty base x additional rate, stacked as the brief says</w:t>
            </w:r>
          </w:p>
        </w:tc>
        <w:tc>
          <w:tcPr>
            <w:tcW w:w="3970"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963" w:type="dxa"/>
          </w:tcPr>
          <w:p>
            <w:pPr>
              <w:pStyle w:val="Compact"/>
              <w:jc w:val="left"/>
            </w:pPr>
            <w:r>
              <w:t xml:space="preserve">Preference (USMCA)</w:t>
            </w:r>
          </w:p>
        </w:tc>
        <w:tc>
          <w:tcPr>
            <w:tcW w:w="2577" w:type="dxa"/>
          </w:tcPr>
          <w:p>
            <w:pPr>
              <w:pStyle w:val="Compact"/>
              <w:jc w:val="left"/>
            </w:pPr>
            <w:r>
              <w:t xml:space="preserve">Classification master plus certification on file</w:t>
            </w:r>
          </w:p>
        </w:tc>
        <w:tc>
          <w:tcPr>
            <w:tcW w:w="1849" w:type="dxa"/>
          </w:tcPr>
          <w:p>
            <w:pPr>
              <w:pStyle w:val="Compact"/>
              <w:jc w:val="left"/>
            </w:pPr>
            <w:r>
              <w:t xml:space="preserve">Preferential rate only where the claim is supported</w:t>
            </w:r>
          </w:p>
        </w:tc>
        <w:tc>
          <w:tcPr>
            <w:tcW w:w="3970" w:type="dxa"/>
          </w:tcPr>
          <w:p>
            <w:pPr>
              <w:pStyle w:val="Compact"/>
              <w:jc w:val="left"/>
            </w:pPr>
            <w:r>
              <w:t xml:space="preserve">A "qualifying" flag without a current certification is a data error</w:t>
            </w:r>
          </w:p>
        </w:tc>
      </w:tr>
      <w:tr>
        <w:tc>
          <w:tcPr>
            <w:tcW w:w="963" w:type="dxa"/>
          </w:tcPr>
          <w:p>
            <w:pPr>
              <w:pStyle w:val="Compact"/>
              <w:jc w:val="left"/>
            </w:pPr>
            <w:r>
              <w:t xml:space="preserve">Customs fees</w:t>
            </w:r>
          </w:p>
        </w:tc>
        <w:tc>
          <w:tcPr>
            <w:tcW w:w="2577" w:type="dxa"/>
          </w:tcPr>
          <w:p>
            <w:pPr>
              <w:pStyle w:val="Compact"/>
              <w:jc w:val="left"/>
            </w:pPr>
            <w:r>
              <w:t xml:space="preserve">US: MPF on formal entries (ad valorem with a per-entry minimum and maximum); HMF on ocean shipments. Other countries: [COMPANY: fees in use]</w:t>
            </w:r>
          </w:p>
        </w:tc>
        <w:tc>
          <w:tcPr>
            <w:tcW w:w="1849" w:type="dxa"/>
          </w:tcPr>
          <w:p>
            <w:pPr>
              <w:pStyle w:val="Compact"/>
              <w:jc w:val="left"/>
            </w:pPr>
            <w:r>
              <w:t xml:space="preserve">Allocated per unit using average entry size ([COMPANY: rule])</w:t>
            </w:r>
          </w:p>
        </w:tc>
        <w:tc>
          <w:tcPr>
            <w:tcW w:w="3970"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963" w:type="dxa"/>
          </w:tcPr>
          <w:p>
            <w:pPr>
              <w:pStyle w:val="Compact"/>
              <w:jc w:val="left"/>
            </w:pPr>
            <w:r>
              <w:t xml:space="preserve">Brokerage</w:t>
            </w:r>
          </w:p>
        </w:tc>
        <w:tc>
          <w:tcPr>
            <w:tcW w:w="2577" w:type="dxa"/>
          </w:tcPr>
          <w:p>
            <w:pPr>
              <w:pStyle w:val="Compact"/>
              <w:jc w:val="left"/>
            </w:pPr>
            <w:r>
              <w:t xml:space="preserve">Broker invoices ([COMPANY: source])</w:t>
            </w:r>
          </w:p>
        </w:tc>
        <w:tc>
          <w:tcPr>
            <w:tcW w:w="1849" w:type="dxa"/>
          </w:tcPr>
          <w:p>
            <w:pPr>
              <w:pStyle w:val="Compact"/>
              <w:jc w:val="left"/>
            </w:pPr>
            <w:r>
              <w:t xml:space="preserve">Fee per entry divided by average units per entry</w:t>
            </w:r>
          </w:p>
        </w:tc>
        <w:tc>
          <w:tcPr>
            <w:tcW w:w="3970" w:type="dxa"/>
          </w:tcPr>
          <w:p>
            <w:pPr>
              <w:pStyle w:val="Compact"/>
              <w:jc w:val="left"/>
            </w:pPr>
            <w:r>
              <w:t xml:space="preserve">Extra lines for new Chapter 99 numbers can change fees</w:t>
            </w:r>
          </w:p>
        </w:tc>
      </w:tr>
      <w:tr>
        <w:tc>
          <w:tcPr>
            <w:tcW w:w="963" w:type="dxa"/>
          </w:tcPr>
          <w:p>
            <w:pPr>
              <w:pStyle w:val="Compact"/>
              <w:jc w:val="left"/>
            </w:pPr>
            <w:r>
              <w:t xml:space="preserve">Inland freight and other</w:t>
            </w:r>
          </w:p>
        </w:tc>
        <w:tc>
          <w:tcPr>
            <w:tcW w:w="2577" w:type="dxa"/>
          </w:tcPr>
          <w:p>
            <w:pPr>
              <w:pStyle w:val="Compact"/>
              <w:jc w:val="left"/>
            </w:pPr>
            <w:r>
              <w:t xml:space="preserve">[COMPANY: sources]</w:t>
            </w:r>
          </w:p>
        </w:tc>
        <w:tc>
          <w:tcPr>
            <w:tcW w:w="1849" w:type="dxa"/>
          </w:tcPr>
          <w:p>
            <w:pPr>
              <w:pStyle w:val="Compact"/>
              <w:jc w:val="left"/>
            </w:pPr>
            <w:r>
              <w:t xml:space="preserve">[COMPANY: rule]</w:t>
            </w:r>
          </w:p>
        </w:tc>
        <w:tc>
          <w:tcPr>
            <w:tcW w:w="3970" w:type="dxa"/>
          </w:tcPr>
          <w:p>
            <w:pPr>
              <w:pStyle w:val="Compact"/>
              <w:jc w:val="left"/>
            </w:pPr>
            <w:r>
              <w:t xml:space="preserve">[COMPANY: components in scope]</w:t>
            </w:r>
          </w:p>
        </w:tc>
      </w:tr>
      <w:tr>
        <w:tc>
          <w:tcPr>
            <w:tcW w:w="963" w:type="dxa"/>
          </w:tcPr>
          <w:p>
            <w:pPr>
              <w:pStyle w:val="Compact"/>
              <w:jc w:val="left"/>
            </w:pPr>
            <w:r>
              <w:t xml:space="preserve">Recoverable taxes</w:t>
            </w:r>
          </w:p>
        </w:tc>
        <w:tc>
          <w:tcPr>
            <w:tcW w:w="2577" w:type="dxa"/>
          </w:tcPr>
          <w:p>
            <w:pPr>
              <w:pStyle w:val="Compact"/>
              <w:jc w:val="left"/>
            </w:pPr>
            <w:r>
              <w:t xml:space="preserve">Canada GST and Mexico IVA on imports</w:t>
            </w:r>
          </w:p>
        </w:tc>
        <w:tc>
          <w:tcPr>
            <w:tcW w:w="1849" w:type="dxa"/>
          </w:tcPr>
          <w:p>
            <w:pPr>
              <w:pStyle w:val="Compact"/>
              <w:jc w:val="left"/>
            </w:pPr>
            <w:r>
              <w:t xml:space="preserve">Normally not a cost when recoverable</w:t>
            </w:r>
          </w:p>
        </w:tc>
        <w:tc>
          <w:tcPr>
            <w:tcW w:w="3970"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9"/>
        <w:gridCol w:w="1561"/>
        <w:gridCol w:w="1958"/>
        <w:gridCol w:w="899"/>
        <w:gridCol w:w="3190"/>
      </w:tblGrid>
      <w:tr>
        <w:trPr>
          <w:tblHeader w:val="true"/>
        </w:trPr>
        <w:tc>
          <w:tcPr>
            <w:tcW w:w="1749" w:type="dxa"/>
          </w:tcPr>
          <w:p>
            <w:pPr>
              <w:pStyle w:val="Compact"/>
              <w:jc w:val="left"/>
            </w:pPr>
            <w:r>
              <w:t xml:space="preserve">Phase</w:t>
            </w:r>
          </w:p>
        </w:tc>
        <w:tc>
          <w:tcPr>
            <w:tcW w:w="1561" w:type="dxa"/>
          </w:tcPr>
          <w:p>
            <w:pPr>
              <w:pStyle w:val="Compact"/>
              <w:jc w:val="left"/>
            </w:pPr>
            <w:r>
              <w:t xml:space="preserve">Maker</w:t>
            </w:r>
          </w:p>
        </w:tc>
        <w:tc>
          <w:tcPr>
            <w:tcW w:w="1958" w:type="dxa"/>
          </w:tcPr>
          <w:p>
            <w:pPr>
              <w:pStyle w:val="Compact"/>
              <w:jc w:val="left"/>
            </w:pPr>
            <w:r>
              <w:t xml:space="preserve">Checker or approver</w:t>
            </w:r>
          </w:p>
        </w:tc>
        <w:tc>
          <w:tcPr>
            <w:tcW w:w="899" w:type="dxa"/>
          </w:tcPr>
          <w:p>
            <w:pPr>
              <w:pStyle w:val="Compact"/>
              <w:jc w:val="left"/>
            </w:pPr>
            <w:r>
              <w:t xml:space="preserve">Timing</w:t>
            </w:r>
          </w:p>
        </w:tc>
        <w:tc>
          <w:tcPr>
            <w:tcW w:w="3190" w:type="dxa"/>
          </w:tcPr>
          <w:p>
            <w:pPr>
              <w:pStyle w:val="Compact"/>
              <w:jc w:val="left"/>
            </w:pPr>
            <w:r>
              <w:t xml:space="preserve">Output</w:t>
            </w:r>
          </w:p>
        </w:tc>
      </w:tr>
      <w:tr>
        <w:tc>
          <w:tcPr>
            <w:tcW w:w="1749" w:type="dxa"/>
          </w:tcPr>
          <w:p>
            <w:pPr>
              <w:pStyle w:val="Compact"/>
              <w:jc w:val="left"/>
            </w:pPr>
            <w:r>
              <w:t xml:space="preserve">1 Plan with Finance</w:t>
            </w:r>
          </w:p>
        </w:tc>
        <w:tc>
          <w:tcPr>
            <w:tcW w:w="1561" w:type="dxa"/>
          </w:tcPr>
          <w:p>
            <w:pPr>
              <w:pStyle w:val="Compact"/>
              <w:jc w:val="left"/>
            </w:pPr>
            <w:r>
              <w:t xml:space="preserve">Hire B</w:t>
            </w:r>
          </w:p>
        </w:tc>
        <w:tc>
          <w:tcPr>
            <w:tcW w:w="1958" w:type="dxa"/>
          </w:tcPr>
          <w:p>
            <w:pPr>
              <w:pStyle w:val="Compact"/>
              <w:jc w:val="left"/>
            </w:pPr>
            <w:r>
              <w:t xml:space="preserve">Finance; Manager</w:t>
            </w:r>
          </w:p>
        </w:tc>
        <w:tc>
          <w:tcPr>
            <w:tcW w:w="899" w:type="dxa"/>
          </w:tcPr>
          <w:p>
            <w:pPr>
              <w:pStyle w:val="Compact"/>
              <w:jc w:val="left"/>
            </w:pPr>
            <w:r>
              <w:t xml:space="preserve">T-30 to T-25</w:t>
            </w:r>
          </w:p>
        </w:tc>
        <w:tc>
          <w:tcPr>
            <w:tcW w:w="3190" w:type="dxa"/>
          </w:tcPr>
          <w:p>
            <w:pPr>
              <w:pStyle w:val="Compact"/>
              <w:jc w:val="left"/>
            </w:pPr>
            <w:r>
              <w:t xml:space="preserve">Agreed date, scope, freeze date, thresholds</w:t>
            </w:r>
          </w:p>
        </w:tc>
      </w:tr>
      <w:tr>
        <w:tc>
          <w:tcPr>
            <w:tcW w:w="1749" w:type="dxa"/>
          </w:tcPr>
          <w:p>
            <w:pPr>
              <w:pStyle w:val="Compact"/>
              <w:jc w:val="left"/>
            </w:pPr>
            <w:r>
              <w:t xml:space="preserve">2 Collect inputs</w:t>
            </w:r>
          </w:p>
        </w:tc>
        <w:tc>
          <w:tcPr>
            <w:tcW w:w="1561" w:type="dxa"/>
          </w:tcPr>
          <w:p>
            <w:pPr>
              <w:pStyle w:val="Compact"/>
              <w:jc w:val="left"/>
            </w:pPr>
            <w:r>
              <w:t xml:space="preserve">Hire B (tariff actions: Hire A)</w:t>
            </w:r>
          </w:p>
        </w:tc>
        <w:tc>
          <w:tcPr>
            <w:tcW w:w="1958" w:type="dxa"/>
          </w:tcPr>
          <w:p>
            <w:pPr>
              <w:pStyle w:val="Compact"/>
              <w:jc w:val="left"/>
            </w:pPr>
            <w:r>
              <w:t xml:space="preserve">Manager</w:t>
            </w:r>
          </w:p>
        </w:tc>
        <w:tc>
          <w:tcPr>
            <w:tcW w:w="899" w:type="dxa"/>
          </w:tcPr>
          <w:p>
            <w:pPr>
              <w:pStyle w:val="Compact"/>
              <w:jc w:val="left"/>
            </w:pPr>
            <w:r>
              <w:t xml:space="preserve">T-25 to T-15</w:t>
            </w:r>
          </w:p>
        </w:tc>
        <w:tc>
          <w:tcPr>
            <w:tcW w:w="3190" w:type="dxa"/>
          </w:tcPr>
          <w:p>
            <w:pPr>
              <w:pStyle w:val="Compact"/>
              <w:jc w:val="left"/>
            </w:pPr>
            <w:r>
              <w:t xml:space="preserve">Frozen input pack</w:t>
            </w:r>
          </w:p>
        </w:tc>
      </w:tr>
      <w:tr>
        <w:tc>
          <w:tcPr>
            <w:tcW w:w="1749" w:type="dxa"/>
          </w:tcPr>
          <w:p>
            <w:pPr>
              <w:pStyle w:val="Compact"/>
              <w:jc w:val="left"/>
            </w:pPr>
            <w:r>
              <w:t xml:space="preserve">3 Calculate</w:t>
            </w:r>
          </w:p>
        </w:tc>
        <w:tc>
          <w:tcPr>
            <w:tcW w:w="1561" w:type="dxa"/>
          </w:tcPr>
          <w:p>
            <w:pPr>
              <w:pStyle w:val="Compact"/>
              <w:jc w:val="left"/>
            </w:pPr>
            <w:r>
              <w:t xml:space="preserve">Hire B</w:t>
            </w:r>
          </w:p>
        </w:tc>
        <w:tc>
          <w:tcPr>
            <w:tcW w:w="1958" w:type="dxa"/>
          </w:tcPr>
          <w:p>
            <w:pPr>
              <w:pStyle w:val="Compact"/>
              <w:jc w:val="left"/>
            </w:pPr>
            <w:r>
              <w:t xml:space="preserve">none yet</w:t>
            </w:r>
          </w:p>
        </w:tc>
        <w:tc>
          <w:tcPr>
            <w:tcW w:w="899" w:type="dxa"/>
          </w:tcPr>
          <w:p>
            <w:pPr>
              <w:pStyle w:val="Compact"/>
              <w:jc w:val="left"/>
            </w:pPr>
            <w:r>
              <w:t xml:space="preserve">T-15 to T-12</w:t>
            </w:r>
          </w:p>
        </w:tc>
        <w:tc>
          <w:tcPr>
            <w:tcW w:w="3190" w:type="dxa"/>
          </w:tcPr>
          <w:p>
            <w:pPr>
              <w:pStyle w:val="Compact"/>
              <w:jc w:val="left"/>
            </w:pPr>
            <w:r>
              <w:t xml:space="preserve">Cost file v0.x</w:t>
            </w:r>
          </w:p>
        </w:tc>
      </w:tr>
      <w:tr>
        <w:tc>
          <w:tcPr>
            <w:tcW w:w="1749" w:type="dxa"/>
          </w:tcPr>
          <w:p>
            <w:pPr>
              <w:pStyle w:val="Compact"/>
              <w:jc w:val="left"/>
            </w:pPr>
            <w:r>
              <w:t xml:space="preserve">4 Validate</w:t>
            </w:r>
          </w:p>
        </w:tc>
        <w:tc>
          <w:tcPr>
            <w:tcW w:w="1561" w:type="dxa"/>
          </w:tcPr>
          <w:p>
            <w:pPr>
              <w:pStyle w:val="Compact"/>
              <w:jc w:val="left"/>
            </w:pPr>
            <w:r>
              <w:t xml:space="preserve">Hire B</w:t>
            </w:r>
          </w:p>
        </w:tc>
        <w:tc>
          <w:tcPr>
            <w:tcW w:w="1958" w:type="dxa"/>
          </w:tcPr>
          <w:p>
            <w:pPr>
              <w:pStyle w:val="Compact"/>
              <w:jc w:val="left"/>
            </w:pPr>
            <w:r>
              <w:t xml:space="preserve">none yet</w:t>
            </w:r>
          </w:p>
        </w:tc>
        <w:tc>
          <w:tcPr>
            <w:tcW w:w="899" w:type="dxa"/>
          </w:tcPr>
          <w:p>
            <w:pPr>
              <w:pStyle w:val="Compact"/>
              <w:jc w:val="left"/>
            </w:pPr>
            <w:r>
              <w:t xml:space="preserve">T-12 to T-10</w:t>
            </w:r>
          </w:p>
        </w:tc>
        <w:tc>
          <w:tcPr>
            <w:tcW w:w="3190" w:type="dxa"/>
          </w:tcPr>
          <w:p>
            <w:pPr>
              <w:pStyle w:val="Compact"/>
              <w:jc w:val="left"/>
            </w:pPr>
            <w:r>
              <w:t xml:space="preserve">Exception list, all explained</w:t>
            </w:r>
          </w:p>
        </w:tc>
      </w:tr>
      <w:tr>
        <w:tc>
          <w:tcPr>
            <w:tcW w:w="1749" w:type="dxa"/>
          </w:tcPr>
          <w:p>
            <w:pPr>
              <w:pStyle w:val="Compact"/>
              <w:jc w:val="left"/>
            </w:pPr>
            <w:r>
              <w:t xml:space="preserve">5 Review and approve</w:t>
            </w:r>
          </w:p>
        </w:tc>
        <w:tc>
          <w:tcPr>
            <w:tcW w:w="1561" w:type="dxa"/>
          </w:tcPr>
          <w:p>
            <w:pPr>
              <w:pStyle w:val="Compact"/>
              <w:jc w:val="left"/>
            </w:pPr>
            <w:r>
              <w:t xml:space="preserve">Hire B submits</w:t>
            </w:r>
          </w:p>
        </w:tc>
        <w:tc>
          <w:tcPr>
            <w:tcW w:w="1958" w:type="dxa"/>
          </w:tcPr>
          <w:p>
            <w:pPr>
              <w:pStyle w:val="Compact"/>
              <w:jc w:val="left"/>
            </w:pPr>
            <w:r>
              <w:t xml:space="preserve">Manager (checker); Finance (approver)</w:t>
            </w:r>
          </w:p>
        </w:tc>
        <w:tc>
          <w:tcPr>
            <w:tcW w:w="899" w:type="dxa"/>
          </w:tcPr>
          <w:p>
            <w:pPr>
              <w:pStyle w:val="Compact"/>
              <w:jc w:val="left"/>
            </w:pPr>
            <w:r>
              <w:t xml:space="preserve">T-10 to T-5</w:t>
            </w:r>
          </w:p>
        </w:tc>
        <w:tc>
          <w:tcPr>
            <w:tcW w:w="3190" w:type="dxa"/>
          </w:tcPr>
          <w:p>
            <w:pPr>
              <w:pStyle w:val="Compact"/>
              <w:jc w:val="left"/>
            </w:pPr>
            <w:r>
              <w:t xml:space="preserve">Approved cost file v1.0, sign-offs</w:t>
            </w:r>
          </w:p>
        </w:tc>
      </w:tr>
      <w:tr>
        <w:tc>
          <w:tcPr>
            <w:tcW w:w="1749" w:type="dxa"/>
          </w:tcPr>
          <w:p>
            <w:pPr>
              <w:pStyle w:val="Compact"/>
              <w:jc w:val="left"/>
            </w:pPr>
            <w:r>
              <w:t xml:space="preserve">6 Load and update in Oracle</w:t>
            </w:r>
          </w:p>
        </w:tc>
        <w:tc>
          <w:tcPr>
            <w:tcW w:w="1561" w:type="dxa"/>
          </w:tcPr>
          <w:p>
            <w:pPr>
              <w:pStyle w:val="Compact"/>
              <w:jc w:val="left"/>
            </w:pPr>
            <w:r>
              <w:t xml:space="preserve">[COMPANY: who loads]</w:t>
            </w:r>
          </w:p>
        </w:tc>
        <w:tc>
          <w:tcPr>
            <w:tcW w:w="1958" w:type="dxa"/>
          </w:tcPr>
          <w:p>
            <w:pPr>
              <w:pStyle w:val="Compact"/>
              <w:jc w:val="left"/>
            </w:pPr>
            <w:r>
              <w:t xml:space="preserve">Finance; Hire B verifies</w:t>
            </w:r>
          </w:p>
        </w:tc>
        <w:tc>
          <w:tcPr>
            <w:tcW w:w="899" w:type="dxa"/>
          </w:tcPr>
          <w:p>
            <w:pPr>
              <w:pStyle w:val="Compact"/>
              <w:jc w:val="left"/>
            </w:pPr>
            <w:r>
              <w:t xml:space="preserve">T-3 to T</w:t>
            </w:r>
          </w:p>
        </w:tc>
        <w:tc>
          <w:tcPr>
            <w:tcW w:w="3190" w:type="dxa"/>
          </w:tcPr>
          <w:p>
            <w:pPr>
              <w:pStyle w:val="Compact"/>
              <w:jc w:val="left"/>
            </w:pPr>
            <w:r>
              <w:t xml:space="preserve">Pending costs loaded, simulation approved, update run</w:t>
            </w:r>
          </w:p>
        </w:tc>
      </w:tr>
      <w:tr>
        <w:tc>
          <w:tcPr>
            <w:tcW w:w="1749" w:type="dxa"/>
          </w:tcPr>
          <w:p>
            <w:pPr>
              <w:pStyle w:val="Compact"/>
              <w:jc w:val="left"/>
            </w:pPr>
            <w:r>
              <w:t xml:space="preserve">7 Post-load verification</w:t>
            </w:r>
          </w:p>
        </w:tc>
        <w:tc>
          <w:tcPr>
            <w:tcW w:w="1561" w:type="dxa"/>
          </w:tcPr>
          <w:p>
            <w:pPr>
              <w:pStyle w:val="Compact"/>
              <w:jc w:val="left"/>
            </w:pPr>
            <w:r>
              <w:t xml:space="preserve">Hire B</w:t>
            </w:r>
          </w:p>
        </w:tc>
        <w:tc>
          <w:tcPr>
            <w:tcW w:w="1958" w:type="dxa"/>
          </w:tcPr>
          <w:p>
            <w:pPr>
              <w:pStyle w:val="Compact"/>
              <w:jc w:val="left"/>
            </w:pPr>
            <w:r>
              <w:t xml:space="preserve">Manager</w:t>
            </w:r>
          </w:p>
        </w:tc>
        <w:tc>
          <w:tcPr>
            <w:tcW w:w="899" w:type="dxa"/>
          </w:tcPr>
          <w:p>
            <w:pPr>
              <w:pStyle w:val="Compact"/>
              <w:jc w:val="left"/>
            </w:pPr>
            <w:r>
              <w:t xml:space="preserve">T to T+1</w:t>
            </w:r>
          </w:p>
        </w:tc>
        <w:tc>
          <w:tcPr>
            <w:tcW w:w="3190" w:type="dxa"/>
          </w:tcPr>
          <w:p>
            <w:pPr>
              <w:pStyle w:val="Compact"/>
              <w:jc w:val="left"/>
            </w:pPr>
            <w:r>
              <w:t xml:space="preserve">100% tie-out</w:t>
            </w:r>
          </w:p>
        </w:tc>
      </w:tr>
      <w:tr>
        <w:tc>
          <w:tcPr>
            <w:tcW w:w="1749" w:type="dxa"/>
          </w:tcPr>
          <w:p>
            <w:pPr>
              <w:pStyle w:val="Compact"/>
              <w:jc w:val="left"/>
            </w:pPr>
            <w:r>
              <w:t xml:space="preserve">8 Communicate</w:t>
            </w:r>
          </w:p>
        </w:tc>
        <w:tc>
          <w:tcPr>
            <w:tcW w:w="1561" w:type="dxa"/>
          </w:tcPr>
          <w:p>
            <w:pPr>
              <w:pStyle w:val="Compact"/>
              <w:jc w:val="left"/>
            </w:pPr>
            <w:r>
              <w:t xml:space="preserve">Hire B drafts</w:t>
            </w:r>
          </w:p>
        </w:tc>
        <w:tc>
          <w:tcPr>
            <w:tcW w:w="1958" w:type="dxa"/>
          </w:tcPr>
          <w:p>
            <w:pPr>
              <w:pStyle w:val="Compact"/>
              <w:jc w:val="left"/>
            </w:pPr>
            <w:r>
              <w:t xml:space="preserve">Manager approves</w:t>
            </w:r>
          </w:p>
        </w:tc>
        <w:tc>
          <w:tcPr>
            <w:tcW w:w="899" w:type="dxa"/>
          </w:tcPr>
          <w:p>
            <w:pPr>
              <w:pStyle w:val="Compact"/>
              <w:jc w:val="left"/>
            </w:pPr>
            <w:r>
              <w:t xml:space="preserve">T+1 to T+2</w:t>
            </w:r>
          </w:p>
        </w:tc>
        <w:tc>
          <w:tcPr>
            <w:tcW w:w="3190" w:type="dxa"/>
          </w:tcPr>
          <w:p>
            <w:pPr>
              <w:pStyle w:val="Compact"/>
              <w:jc w:val="left"/>
            </w:pPr>
            <w:r>
              <w:t xml:space="preserve">Finance and business notes sent</w:t>
            </w:r>
          </w:p>
        </w:tc>
      </w:tr>
      <w:tr>
        <w:tc>
          <w:tcPr>
            <w:tcW w:w="1749" w:type="dxa"/>
          </w:tcPr>
          <w:p>
            <w:pPr>
              <w:pStyle w:val="Compact"/>
              <w:jc w:val="left"/>
            </w:pPr>
            <w:r>
              <w:t xml:space="preserve">9 Archive evidence</w:t>
            </w:r>
          </w:p>
        </w:tc>
        <w:tc>
          <w:tcPr>
            <w:tcW w:w="1561" w:type="dxa"/>
          </w:tcPr>
          <w:p>
            <w:pPr>
              <w:pStyle w:val="Compact"/>
              <w:jc w:val="left"/>
            </w:pPr>
            <w:r>
              <w:t xml:space="preserve">Hire B</w:t>
            </w:r>
          </w:p>
        </w:tc>
        <w:tc>
          <w:tcPr>
            <w:tcW w:w="1958" w:type="dxa"/>
          </w:tcPr>
          <w:p>
            <w:pPr>
              <w:pStyle w:val="Compact"/>
              <w:jc w:val="left"/>
            </w:pPr>
            <w:r>
              <w:t xml:space="preserve">Manager</w:t>
            </w:r>
          </w:p>
        </w:tc>
        <w:tc>
          <w:tcPr>
            <w:tcW w:w="899" w:type="dxa"/>
          </w:tcPr>
          <w:p>
            <w:pPr>
              <w:pStyle w:val="Compact"/>
              <w:jc w:val="left"/>
            </w:pPr>
            <w:r>
              <w:t xml:space="preserve">By T+5</w:t>
            </w:r>
          </w:p>
        </w:tc>
        <w:tc>
          <w:tcPr>
            <w:tcW w:w="3190"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10"/>
        <w:gridCol w:w="879"/>
        <w:gridCol w:w="1508"/>
        <w:gridCol w:w="5361"/>
      </w:tblGrid>
      <w:tr>
        <w:trPr>
          <w:tblHeader w:val="true"/>
        </w:trPr>
        <w:tc>
          <w:tcPr>
            <w:tcW w:w="1610" w:type="dxa"/>
          </w:tcPr>
          <w:p>
            <w:pPr>
              <w:pStyle w:val="Compact"/>
              <w:jc w:val="left"/>
            </w:pPr>
            <w:r>
              <w:t xml:space="preserve">Phase</w:t>
            </w:r>
          </w:p>
        </w:tc>
        <w:tc>
          <w:tcPr>
            <w:tcW w:w="879" w:type="dxa"/>
          </w:tcPr>
          <w:p>
            <w:pPr>
              <w:pStyle w:val="Compact"/>
              <w:jc w:val="left"/>
            </w:pPr>
            <w:r>
              <w:t xml:space="preserve">Timing</w:t>
            </w:r>
          </w:p>
        </w:tc>
        <w:tc>
          <w:tcPr>
            <w:tcW w:w="1508" w:type="dxa"/>
          </w:tcPr>
          <w:p>
            <w:pPr>
              <w:pStyle w:val="Compact"/>
              <w:jc w:val="left"/>
            </w:pPr>
            <w:r>
              <w:t xml:space="preserve">Example: T = Mon 2027-01-11</w:t>
            </w:r>
          </w:p>
        </w:tc>
        <w:tc>
          <w:tcPr>
            <w:tcW w:w="5361" w:type="dxa"/>
          </w:tcPr>
          <w:p>
            <w:pPr>
              <w:pStyle w:val="Compact"/>
              <w:jc w:val="left"/>
            </w:pPr>
            <w:r>
              <w:t xml:space="preserve">Notes</w:t>
            </w:r>
          </w:p>
        </w:tc>
      </w:tr>
      <w:tr>
        <w:tc>
          <w:tcPr>
            <w:tcW w:w="1610" w:type="dxa"/>
          </w:tcPr>
          <w:p>
            <w:pPr>
              <w:pStyle w:val="Compact"/>
              <w:jc w:val="left"/>
            </w:pPr>
            <w:r>
              <w:t xml:space="preserve">1 Plan with Finance</w:t>
            </w:r>
          </w:p>
        </w:tc>
        <w:tc>
          <w:tcPr>
            <w:tcW w:w="879" w:type="dxa"/>
          </w:tcPr>
          <w:p>
            <w:pPr>
              <w:pStyle w:val="Compact"/>
              <w:jc w:val="left"/>
            </w:pPr>
            <w:r>
              <w:t xml:space="preserve">T-13</w:t>
            </w:r>
          </w:p>
        </w:tc>
        <w:tc>
          <w:tcPr>
            <w:tcW w:w="1508" w:type="dxa"/>
          </w:tcPr>
          <w:p>
            <w:pPr>
              <w:pStyle w:val="Compact"/>
              <w:jc w:val="left"/>
            </w:pPr>
            <w:r>
              <w:t xml:space="preserve">Mon 12/21</w:t>
            </w:r>
          </w:p>
        </w:tc>
        <w:tc>
          <w:tcPr>
            <w:tcW w:w="5361" w:type="dxa"/>
          </w:tcPr>
          <w:p>
            <w:pPr>
              <w:pStyle w:val="Compact"/>
              <w:jc w:val="left"/>
            </w:pPr>
            <w:r>
              <w:t xml:space="preserve">30-minute call. Scope: items with the duty change (interim) or the latest cycle's items (parallel)</w:t>
            </w:r>
          </w:p>
        </w:tc>
      </w:tr>
      <w:tr>
        <w:tc>
          <w:tcPr>
            <w:tcW w:w="1610" w:type="dxa"/>
          </w:tcPr>
          <w:p>
            <w:pPr>
              <w:pStyle w:val="Compact"/>
              <w:jc w:val="left"/>
            </w:pPr>
            <w:r>
              <w:t xml:space="preserve">2 Collect inputs</w:t>
            </w:r>
          </w:p>
        </w:tc>
        <w:tc>
          <w:tcPr>
            <w:tcW w:w="879" w:type="dxa"/>
          </w:tcPr>
          <w:p>
            <w:pPr>
              <w:pStyle w:val="Compact"/>
              <w:jc w:val="left"/>
            </w:pPr>
            <w:r>
              <w:t xml:space="preserve">T-13 to T-10</w:t>
            </w:r>
          </w:p>
        </w:tc>
        <w:tc>
          <w:tcPr>
            <w:tcW w:w="1508" w:type="dxa"/>
          </w:tcPr>
          <w:p>
            <w:pPr>
              <w:pStyle w:val="Compact"/>
              <w:jc w:val="left"/>
            </w:pPr>
            <w:r>
              <w:t xml:space="preserve">Mon 12/21 to Thu 12/24</w:t>
            </w:r>
          </w:p>
        </w:tc>
        <w:tc>
          <w:tcPr>
            <w:tcW w:w="5361" w:type="dxa"/>
          </w:tcPr>
          <w:p>
            <w:pPr>
              <w:pStyle w:val="Compact"/>
              <w:jc w:val="left"/>
            </w:pPr>
            <w:r>
              <w:t xml:space="preserve">Interim: the checked brief and model, plus the latest frozen input pack for everything else. Parallel: the latest frozen input pack</w:t>
            </w:r>
          </w:p>
        </w:tc>
      </w:tr>
      <w:tr>
        <w:tc>
          <w:tcPr>
            <w:tcW w:w="1610" w:type="dxa"/>
          </w:tcPr>
          <w:p>
            <w:pPr>
              <w:pStyle w:val="Compact"/>
              <w:jc w:val="left"/>
            </w:pPr>
            <w:r>
              <w:t xml:space="preserve">3 and 4 Calculate and validate</w:t>
            </w:r>
          </w:p>
        </w:tc>
        <w:tc>
          <w:tcPr>
            <w:tcW w:w="879" w:type="dxa"/>
          </w:tcPr>
          <w:p>
            <w:pPr>
              <w:pStyle w:val="Compact"/>
              <w:jc w:val="left"/>
            </w:pPr>
            <w:r>
              <w:t xml:space="preserve">T-9 to T-7</w:t>
            </w:r>
          </w:p>
        </w:tc>
        <w:tc>
          <w:tcPr>
            <w:tcW w:w="1508" w:type="dxa"/>
          </w:tcPr>
          <w:p>
            <w:pPr>
              <w:pStyle w:val="Compact"/>
              <w:jc w:val="left"/>
            </w:pPr>
            <w:r>
              <w:t xml:space="preserve">Mon 12/28 to Wed 12/30</w:t>
            </w:r>
          </w:p>
        </w:tc>
        <w:tc>
          <w:tcPr>
            <w:tcW w:w="5361" w:type="dxa"/>
          </w:tcPr>
          <w:p>
            <w:pPr>
              <w:pStyle w:val="Compact"/>
              <w:jc w:val="left"/>
            </w:pPr>
            <w:r>
              <w:t xml:space="preserve">All Phase 4 checks, including the revaluation estimate</w:t>
            </w:r>
          </w:p>
        </w:tc>
      </w:tr>
      <w:tr>
        <w:tc>
          <w:tcPr>
            <w:tcW w:w="1610" w:type="dxa"/>
          </w:tcPr>
          <w:p>
            <w:pPr>
              <w:pStyle w:val="Compact"/>
              <w:jc w:val="left"/>
            </w:pPr>
            <w:r>
              <w:t xml:space="preserve">5 Review and approve</w:t>
            </w:r>
          </w:p>
        </w:tc>
        <w:tc>
          <w:tcPr>
            <w:tcW w:w="879" w:type="dxa"/>
          </w:tcPr>
          <w:p>
            <w:pPr>
              <w:pStyle w:val="Compact"/>
              <w:jc w:val="left"/>
            </w:pPr>
            <w:r>
              <w:t xml:space="preserve">T-6 to T-3</w:t>
            </w:r>
          </w:p>
        </w:tc>
        <w:tc>
          <w:tcPr>
            <w:tcW w:w="1508" w:type="dxa"/>
          </w:tcPr>
          <w:p>
            <w:pPr>
              <w:pStyle w:val="Compact"/>
              <w:jc w:val="left"/>
            </w:pPr>
            <w:r>
              <w:t xml:space="preserve">Thu 12/31 to Wed 1/6</w:t>
            </w:r>
          </w:p>
        </w:tc>
        <w:tc>
          <w:tcPr>
            <w:tcW w:w="5361" w:type="dxa"/>
          </w:tcPr>
          <w:p>
            <w:pPr>
              <w:pStyle w:val="Compact"/>
              <w:jc w:val="left"/>
            </w:pPr>
            <w:r>
              <w:t xml:space="preserve">Manager as checker (about 1.5 h); Finance approval by T-3</w:t>
            </w:r>
          </w:p>
        </w:tc>
      </w:tr>
      <w:tr>
        <w:tc>
          <w:tcPr>
            <w:tcW w:w="1610" w:type="dxa"/>
          </w:tcPr>
          <w:p>
            <w:pPr>
              <w:pStyle w:val="Compact"/>
              <w:jc w:val="left"/>
            </w:pPr>
            <w:r>
              <w:t xml:space="preserve">6 Load and update</w:t>
            </w:r>
          </w:p>
        </w:tc>
        <w:tc>
          <w:tcPr>
            <w:tcW w:w="879" w:type="dxa"/>
          </w:tcPr>
          <w:p>
            <w:pPr>
              <w:pStyle w:val="Compact"/>
              <w:jc w:val="left"/>
            </w:pPr>
            <w:r>
              <w:t xml:space="preserve">T-2 to T</w:t>
            </w:r>
          </w:p>
        </w:tc>
        <w:tc>
          <w:tcPr>
            <w:tcW w:w="1508" w:type="dxa"/>
          </w:tcPr>
          <w:p>
            <w:pPr>
              <w:pStyle w:val="Compact"/>
              <w:jc w:val="left"/>
            </w:pPr>
            <w:r>
              <w:t xml:space="preserve">Thu 1/7 to Mon 1/11</w:t>
            </w:r>
          </w:p>
        </w:tc>
        <w:tc>
          <w:tcPr>
            <w:tcW w:w="5361" w:type="dxa"/>
          </w:tcPr>
          <w:p>
            <w:pPr>
              <w:pStyle w:val="Compact"/>
              <w:jc w:val="left"/>
            </w:pPr>
            <w:r>
              <w:t xml:space="preserve">Interim: as in Phase 6. Parallel: no load; compare your file with the costs Finance loaded in the latest cycle</w:t>
            </w:r>
          </w:p>
        </w:tc>
      </w:tr>
      <w:tr>
        <w:tc>
          <w:tcPr>
            <w:tcW w:w="1610" w:type="dxa"/>
          </w:tcPr>
          <w:p>
            <w:pPr>
              <w:pStyle w:val="Compact"/>
              <w:jc w:val="left"/>
            </w:pPr>
            <w:r>
              <w:t xml:space="preserve">7 Verify</w:t>
            </w:r>
          </w:p>
        </w:tc>
        <w:tc>
          <w:tcPr>
            <w:tcW w:w="879" w:type="dxa"/>
          </w:tcPr>
          <w:p>
            <w:pPr>
              <w:pStyle w:val="Compact"/>
              <w:jc w:val="left"/>
            </w:pPr>
            <w:r>
              <w:t xml:space="preserve">T to T+1</w:t>
            </w:r>
          </w:p>
        </w:tc>
        <w:tc>
          <w:tcPr>
            <w:tcW w:w="1508" w:type="dxa"/>
          </w:tcPr>
          <w:p>
            <w:pPr>
              <w:pStyle w:val="Compact"/>
              <w:jc w:val="left"/>
            </w:pPr>
            <w:r>
              <w:t xml:space="preserve">Mon 1/11 to Tue 1/12</w:t>
            </w:r>
          </w:p>
        </w:tc>
        <w:tc>
          <w:tcPr>
            <w:tcW w:w="5361" w:type="dxa"/>
          </w:tcPr>
          <w:p>
            <w:pPr>
              <w:pStyle w:val="Compact"/>
              <w:jc w:val="left"/>
            </w:pPr>
            <w:r>
              <w:t xml:space="preserve">Interim: 100% compare. Parallel: explain every difference from the live result</w:t>
            </w:r>
          </w:p>
        </w:tc>
      </w:tr>
      <w:tr>
        <w:tc>
          <w:tcPr>
            <w:tcW w:w="1610" w:type="dxa"/>
          </w:tcPr>
          <w:p>
            <w:pPr>
              <w:pStyle w:val="Compact"/>
              <w:jc w:val="left"/>
            </w:pPr>
            <w:r>
              <w:t xml:space="preserve">8 and 9 Communicate and archive</w:t>
            </w:r>
          </w:p>
        </w:tc>
        <w:tc>
          <w:tcPr>
            <w:tcW w:w="879" w:type="dxa"/>
          </w:tcPr>
          <w:p>
            <w:pPr>
              <w:pStyle w:val="Compact"/>
              <w:jc w:val="left"/>
            </w:pPr>
            <w:r>
              <w:t xml:space="preserve">By T+3</w:t>
            </w:r>
          </w:p>
        </w:tc>
        <w:tc>
          <w:tcPr>
            <w:tcW w:w="1508" w:type="dxa"/>
          </w:tcPr>
          <w:p>
            <w:pPr>
              <w:pStyle w:val="Compact"/>
              <w:jc w:val="left"/>
            </w:pPr>
            <w:r>
              <w:t xml:space="preserve">Thu 1/14</w:t>
            </w:r>
          </w:p>
        </w:tc>
        <w:tc>
          <w:tcPr>
            <w:tcW w:w="5361"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In EBS, Oracle recommends running the update at the start of the accounting period, before transactions start for the new period. In Fusion, the cost scenario's effective date controls when new costs apply.</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[COMPANY: Oracle EBS or Fusion]. Steps differ by product and release, so follow [COMPANY: Oracle cost update work instruction] where it differs.</w:t>
      </w:r>
    </w:p>
    <w:p>
      <w:pPr>
        <w:numPr>
          <w:ilvl w:val="0"/>
          <w:numId w:val="1009"/>
        </w:numPr>
        <w:pStyle w:val="Compact"/>
      </w:pPr>
      <w:r>
        <w:t xml:space="preserve">☐ The pending cost type (EBS) or cost scenario (Fusion) holds the complete new cost for every item in scope: every cost element and sub-element, not only the changed duty or landed-cost sub-elements. In EBS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(EBS) or cost scenario (Fusion)],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EBS: run Report Pending Adjustments, which produces the inventory, intransit and WIP standard cost adjustment reports without posting. Fusion: compare the scenario's standard costs with the current published costs (and the inventory impact view, where your release has it).</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EBS: Update Standard Costs from the pending cost type to Frozen. Fusion: run the update or publish step for the cost scenario with the agreed effective date.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in Fusion a published scenario cannot be unpublished once its costs are used in transactions (an Undo Cost Update task exists for unintended updates); in EBS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805"/>
        <w:gridCol w:w="1123"/>
        <w:gridCol w:w="1305"/>
        <w:gridCol w:w="1123"/>
        <w:gridCol w:w="1018"/>
        <w:gridCol w:w="983"/>
      </w:tblGrid>
      <w:tr>
        <w:trPr>
          <w:tblHeader w:val="true"/>
        </w:trPr>
        <w:tc>
          <w:tcPr>
            <w:tcW w:w="3805" w:type="dxa"/>
          </w:tcPr>
          <w:p>
            <w:pPr>
              <w:pStyle w:val="Compact"/>
              <w:jc w:val="left"/>
            </w:pPr>
            <w:r>
              <w:t xml:space="preserve">Activity</w:t>
            </w:r>
          </w:p>
        </w:tc>
        <w:tc>
          <w:tcPr>
            <w:tcW w:w="1123" w:type="dxa"/>
          </w:tcPr>
          <w:p>
            <w:pPr>
              <w:pStyle w:val="Compact"/>
              <w:jc w:val="left"/>
            </w:pPr>
            <w:r>
              <w:t xml:space="preserve">Std Cost BSA (Hire B)</w:t>
            </w:r>
          </w:p>
        </w:tc>
        <w:tc>
          <w:tcPr>
            <w:tcW w:w="1305" w:type="dxa"/>
          </w:tcPr>
          <w:p>
            <w:pPr>
              <w:pStyle w:val="Compact"/>
              <w:jc w:val="left"/>
            </w:pPr>
            <w:r>
              <w:t xml:space="preserve">Checker (Manager or Senior)</w:t>
            </w:r>
          </w:p>
        </w:tc>
        <w:tc>
          <w:tcPr>
            <w:tcW w:w="1123" w:type="dxa"/>
          </w:tcPr>
          <w:p>
            <w:pPr>
              <w:pStyle w:val="Compact"/>
              <w:jc w:val="left"/>
            </w:pPr>
            <w:r>
              <w:t xml:space="preserve">Finance cost accounting</w:t>
            </w:r>
          </w:p>
        </w:tc>
        <w:tc>
          <w:tcPr>
            <w:tcW w:w="1018" w:type="dxa"/>
          </w:tcPr>
          <w:p>
            <w:pPr>
              <w:pStyle w:val="Compact"/>
              <w:jc w:val="left"/>
            </w:pPr>
            <w:r>
              <w:t xml:space="preserve">Research BSA (Hire A)</w:t>
            </w:r>
          </w:p>
        </w:tc>
        <w:tc>
          <w:tcPr>
            <w:tcW w:w="983" w:type="dxa"/>
          </w:tcPr>
          <w:p>
            <w:pPr>
              <w:pStyle w:val="Compact"/>
              <w:jc w:val="left"/>
            </w:pPr>
            <w:r>
              <w:t xml:space="preserve">Oracle or IT support</w:t>
            </w:r>
          </w:p>
        </w:tc>
      </w:tr>
      <w:tr>
        <w:tc>
          <w:tcPr>
            <w:tcW w:w="3805" w:type="dxa"/>
          </w:tcPr>
          <w:p>
            <w:pPr>
              <w:pStyle w:val="Compact"/>
              <w:jc w:val="left"/>
            </w:pPr>
            <w:r>
              <w:t xml:space="preserve">Plan calendar and scope</w:t>
            </w:r>
          </w:p>
        </w:tc>
        <w:tc>
          <w:tcPr>
            <w:tcW w:w="1123" w:type="dxa"/>
          </w:tcPr>
          <w:p>
            <w:pPr>
              <w:pStyle w:val="Compact"/>
              <w:jc w:val="left"/>
            </w:pPr>
            <w:r>
              <w:t xml:space="preserve">R</w:t>
            </w:r>
          </w:p>
        </w:tc>
        <w:tc>
          <w:tcPr>
            <w:tcW w:w="1305" w:type="dxa"/>
          </w:tcPr>
          <w:p>
            <w:pPr>
              <w:pStyle w:val="Compact"/>
              <w:jc w:val="left"/>
            </w:pPr>
            <w:r>
              <w:t xml:space="preserve">C</w:t>
            </w:r>
          </w:p>
        </w:tc>
        <w:tc>
          <w:tcPr>
            <w:tcW w:w="1123" w:type="dxa"/>
          </w:tcPr>
          <w:p>
            <w:pPr>
              <w:pStyle w:val="Compact"/>
              <w:jc w:val="left"/>
            </w:pPr>
            <w:r>
              <w:t xml:space="preserve">A</w:t>
            </w:r>
          </w:p>
        </w:tc>
        <w:tc>
          <w:tcPr>
            <w:tcW w:w="1018" w:type="dxa"/>
          </w:tcPr>
          <w:p>
            <w:pPr>
              <w:pStyle w:val="Compact"/>
              <w:jc w:val="left"/>
            </w:pPr>
            <w:r>
              <w:t xml:space="preserve">I</w:t>
            </w:r>
          </w:p>
        </w:tc>
        <w:tc>
          <w:tcPr>
            <w:tcW w:w="983" w:type="dxa"/>
          </w:tcPr>
          <w:p>
            <w:pPr>
              <w:pStyle w:val="Compact"/>
              <w:jc w:val="left"/>
            </w:pPr>
            <w:r>
              <w:t xml:space="preserve">C</w:t>
            </w:r>
          </w:p>
        </w:tc>
      </w:tr>
      <w:tr>
        <w:tc>
          <w:tcPr>
            <w:tcW w:w="3805" w:type="dxa"/>
          </w:tcPr>
          <w:p>
            <w:pPr>
              <w:pStyle w:val="Compact"/>
              <w:jc w:val="left"/>
            </w:pPr>
            <w:r>
              <w:t xml:space="preserve">Tariff-Impact Briefs for actions in the cycle</w:t>
            </w:r>
          </w:p>
        </w:tc>
        <w:tc>
          <w:tcPr>
            <w:tcW w:w="1123" w:type="dxa"/>
          </w:tcPr>
          <w:p>
            <w:pPr>
              <w:pStyle w:val="Compact"/>
              <w:jc w:val="left"/>
            </w:pPr>
            <w:r>
              <w:t xml:space="preserve">I</w:t>
            </w:r>
          </w:p>
        </w:tc>
        <w:tc>
          <w:tcPr>
            <w:tcW w:w="1305" w:type="dxa"/>
          </w:tcPr>
          <w:p>
            <w:pPr>
              <w:pStyle w:val="Compact"/>
              <w:jc w:val="left"/>
            </w:pPr>
            <w:r>
              <w:t xml:space="preserve">A (Senior checks)</w:t>
            </w:r>
          </w:p>
        </w:tc>
        <w:tc>
          <w:tcPr>
            <w:tcW w:w="1123" w:type="dxa"/>
          </w:tcPr>
          <w:p>
            <w:pPr>
              <w:pStyle w:val="Compact"/>
              <w:jc w:val="left"/>
            </w:pPr>
            <w:r>
              <w:t xml:space="preserve">I</w:t>
            </w:r>
          </w:p>
        </w:tc>
        <w:tc>
          <w:tcPr>
            <w:tcW w:w="1018" w:type="dxa"/>
          </w:tcPr>
          <w:p>
            <w:pPr>
              <w:pStyle w:val="Compact"/>
              <w:jc w:val="left"/>
            </w:pPr>
            <w:r>
              <w:t xml:space="preserve">R</w:t>
            </w:r>
          </w:p>
        </w:tc>
        <w:tc>
          <w:tcPr>
            <w:tcW w:w="983" w:type="dxa"/>
          </w:tcPr>
          <w:p>
            <w:pPr>
              <w:pStyle w:val="Compact"/>
              <w:jc w:val="left"/>
            </w:pPr>
            <w:r>
              <w:t xml:space="preserve">none</w:t>
            </w:r>
          </w:p>
        </w:tc>
      </w:tr>
      <w:tr>
        <w:tc>
          <w:tcPr>
            <w:tcW w:w="3805" w:type="dxa"/>
          </w:tcPr>
          <w:p>
            <w:pPr>
              <w:pStyle w:val="Compact"/>
              <w:jc w:val="left"/>
            </w:pPr>
            <w:r>
              <w:t xml:space="preserve">Collect and freeze inputs</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C</w:t>
            </w:r>
          </w:p>
        </w:tc>
        <w:tc>
          <w:tcPr>
            <w:tcW w:w="983" w:type="dxa"/>
          </w:tcPr>
          <w:p>
            <w:pPr>
              <w:pStyle w:val="Compact"/>
              <w:jc w:val="left"/>
            </w:pPr>
            <w:r>
              <w:t xml:space="preserve">C</w:t>
            </w:r>
          </w:p>
        </w:tc>
      </w:tr>
      <w:tr>
        <w:tc>
          <w:tcPr>
            <w:tcW w:w="3805" w:type="dxa"/>
          </w:tcPr>
          <w:p>
            <w:pPr>
              <w:pStyle w:val="Compact"/>
              <w:jc w:val="left"/>
            </w:pPr>
            <w:r>
              <w:t xml:space="preserve">Calculate and validate</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I</w:t>
            </w:r>
          </w:p>
        </w:tc>
        <w:tc>
          <w:tcPr>
            <w:tcW w:w="1018" w:type="dxa"/>
          </w:tcPr>
          <w:p>
            <w:pPr>
              <w:pStyle w:val="Compact"/>
              <w:jc w:val="left"/>
            </w:pPr>
            <w:r>
              <w:t xml:space="preserve">C</w:t>
            </w:r>
          </w:p>
        </w:tc>
        <w:tc>
          <w:tcPr>
            <w:tcW w:w="983" w:type="dxa"/>
          </w:tcPr>
          <w:p>
            <w:pPr>
              <w:pStyle w:val="Compact"/>
              <w:jc w:val="left"/>
            </w:pPr>
            <w:r>
              <w:t xml:space="preserve">none</w:t>
            </w:r>
          </w:p>
        </w:tc>
      </w:tr>
      <w:tr>
        <w:tc>
          <w:tcPr>
            <w:tcW w:w="3805" w:type="dxa"/>
          </w:tcPr>
          <w:p>
            <w:pPr>
              <w:pStyle w:val="Compact"/>
              <w:jc w:val="left"/>
            </w:pPr>
            <w:r>
              <w:t xml:space="preserve">Maker-checker review</w:t>
            </w:r>
          </w:p>
        </w:tc>
        <w:tc>
          <w:tcPr>
            <w:tcW w:w="1123" w:type="dxa"/>
          </w:tcPr>
          <w:p>
            <w:pPr>
              <w:pStyle w:val="Compact"/>
              <w:jc w:val="left"/>
            </w:pPr>
            <w:r>
              <w:t xml:space="preserve">C</w:t>
            </w:r>
          </w:p>
        </w:tc>
        <w:tc>
          <w:tcPr>
            <w:tcW w:w="1305" w:type="dxa"/>
          </w:tcPr>
          <w:p>
            <w:pPr>
              <w:pStyle w:val="Compact"/>
              <w:jc w:val="left"/>
            </w:pPr>
            <w:r>
              <w:t xml:space="preserve">R and A</w:t>
            </w:r>
          </w:p>
        </w:tc>
        <w:tc>
          <w:tcPr>
            <w:tcW w:w="1123" w:type="dxa"/>
          </w:tcPr>
          <w:p>
            <w:pPr>
              <w:pStyle w:val="Compact"/>
              <w:jc w:val="left"/>
            </w:pPr>
            <w:r>
              <w:t xml:space="preserve">I</w:t>
            </w:r>
          </w:p>
        </w:tc>
        <w:tc>
          <w:tcPr>
            <w:tcW w:w="1018" w:type="dxa"/>
          </w:tcPr>
          <w:p>
            <w:pPr>
              <w:pStyle w:val="Compact"/>
              <w:jc w:val="left"/>
            </w:pPr>
            <w:r>
              <w:t xml:space="preserve">C</w:t>
            </w:r>
          </w:p>
        </w:tc>
        <w:tc>
          <w:tcPr>
            <w:tcW w:w="983" w:type="dxa"/>
          </w:tcPr>
          <w:p>
            <w:pPr>
              <w:pStyle w:val="Compact"/>
              <w:jc w:val="left"/>
            </w:pPr>
            <w:r>
              <w:t xml:space="preserve">none</w:t>
            </w:r>
          </w:p>
        </w:tc>
      </w:tr>
      <w:tr>
        <w:tc>
          <w:tcPr>
            <w:tcW w:w="3805" w:type="dxa"/>
          </w:tcPr>
          <w:p>
            <w:pPr>
              <w:pStyle w:val="Compact"/>
              <w:jc w:val="left"/>
            </w:pPr>
            <w:r>
              <w:t xml:space="preserve">Approve cost changes and revaluation</w:t>
            </w:r>
          </w:p>
        </w:tc>
        <w:tc>
          <w:tcPr>
            <w:tcW w:w="1123" w:type="dxa"/>
          </w:tcPr>
          <w:p>
            <w:pPr>
              <w:pStyle w:val="Compact"/>
              <w:jc w:val="left"/>
            </w:pPr>
            <w:r>
              <w:t xml:space="preserve">C</w:t>
            </w:r>
          </w:p>
        </w:tc>
        <w:tc>
          <w:tcPr>
            <w:tcW w:w="1305" w:type="dxa"/>
          </w:tcPr>
          <w:p>
            <w:pPr>
              <w:pStyle w:val="Compact"/>
              <w:jc w:val="left"/>
            </w:pPr>
            <w:r>
              <w:t xml:space="preserve">C</w:t>
            </w:r>
          </w:p>
        </w:tc>
        <w:tc>
          <w:tcPr>
            <w:tcW w:w="1123" w:type="dxa"/>
          </w:tcPr>
          <w:p>
            <w:pPr>
              <w:pStyle w:val="Compact"/>
              <w:jc w:val="left"/>
            </w:pPr>
            <w:r>
              <w:t xml:space="preserve">R and A</w:t>
            </w:r>
          </w:p>
        </w:tc>
        <w:tc>
          <w:tcPr>
            <w:tcW w:w="1018" w:type="dxa"/>
          </w:tcPr>
          <w:p>
            <w:pPr>
              <w:pStyle w:val="Compact"/>
              <w:jc w:val="left"/>
            </w:pPr>
            <w:r>
              <w:t xml:space="preserve">none</w:t>
            </w:r>
          </w:p>
        </w:tc>
        <w:tc>
          <w:tcPr>
            <w:tcW w:w="983" w:type="dxa"/>
          </w:tcPr>
          <w:p>
            <w:pPr>
              <w:pStyle w:val="Compact"/>
              <w:jc w:val="left"/>
            </w:pPr>
            <w:r>
              <w:t xml:space="preserve">I</w:t>
            </w:r>
          </w:p>
        </w:tc>
      </w:tr>
      <w:tr>
        <w:tc>
          <w:tcPr>
            <w:tcW w:w="3805" w:type="dxa"/>
          </w:tcPr>
          <w:p>
            <w:pPr>
              <w:pStyle w:val="Compact"/>
              <w:jc w:val="left"/>
            </w:pPr>
            <w:r>
              <w:t xml:space="preserve">Load pending costs and simulate</w:t>
            </w:r>
          </w:p>
        </w:tc>
        <w:tc>
          <w:tcPr>
            <w:tcW w:w="1123" w:type="dxa"/>
          </w:tcPr>
          <w:p>
            <w:pPr>
              <w:pStyle w:val="Compact"/>
              <w:jc w:val="left"/>
            </w:pPr>
            <w:r>
              <w:t xml:space="preserve">C (verifies)</w:t>
            </w:r>
          </w:p>
        </w:tc>
        <w:tc>
          <w:tcPr>
            <w:tcW w:w="1305" w:type="dxa"/>
          </w:tcPr>
          <w:p>
            <w:pPr>
              <w:pStyle w:val="Compact"/>
              <w:jc w:val="left"/>
            </w:pPr>
            <w:r>
              <w:t xml:space="preserve">I</w:t>
            </w:r>
          </w:p>
        </w:tc>
        <w:tc>
          <w:tcPr>
            <w:tcW w:w="1123" w:type="dxa"/>
          </w:tcPr>
          <w:p>
            <w:pPr>
              <w:pStyle w:val="Compact"/>
              <w:jc w:val="left"/>
            </w:pPr>
            <w:r>
              <w:t xml:space="preserve">A</w:t>
            </w:r>
          </w:p>
        </w:tc>
        <w:tc>
          <w:tcPr>
            <w:tcW w:w="1018" w:type="dxa"/>
          </w:tcPr>
          <w:p>
            <w:pPr>
              <w:pStyle w:val="Compact"/>
              <w:jc w:val="left"/>
            </w:pPr>
            <w:r>
              <w:t xml:space="preserve">none</w:t>
            </w:r>
          </w:p>
        </w:tc>
        <w:tc>
          <w:tcPr>
            <w:tcW w:w="983" w:type="dxa"/>
          </w:tcPr>
          <w:p>
            <w:pPr>
              <w:pStyle w:val="Compact"/>
              <w:jc w:val="left"/>
            </w:pPr>
            <w:r>
              <w:t xml:space="preserve">R</w:t>
            </w:r>
          </w:p>
        </w:tc>
      </w:tr>
      <w:tr>
        <w:tc>
          <w:tcPr>
            <w:tcW w:w="3805" w:type="dxa"/>
          </w:tcPr>
          <w:p>
            <w:pPr>
              <w:pStyle w:val="Compact"/>
              <w:jc w:val="left"/>
            </w:pPr>
            <w:r>
              <w:t xml:space="preserve">Run the cost update</w:t>
            </w:r>
          </w:p>
        </w:tc>
        <w:tc>
          <w:tcPr>
            <w:tcW w:w="1123" w:type="dxa"/>
          </w:tcPr>
          <w:p>
            <w:pPr>
              <w:pStyle w:val="Compact"/>
              <w:jc w:val="left"/>
            </w:pPr>
            <w:r>
              <w:t xml:space="preserve">C</w:t>
            </w:r>
          </w:p>
        </w:tc>
        <w:tc>
          <w:tcPr>
            <w:tcW w:w="1305" w:type="dxa"/>
          </w:tcPr>
          <w:p>
            <w:pPr>
              <w:pStyle w:val="Compact"/>
              <w:jc w:val="left"/>
            </w:pPr>
            <w:r>
              <w:t xml:space="preserve">I</w:t>
            </w:r>
          </w:p>
        </w:tc>
        <w:tc>
          <w:tcPr>
            <w:tcW w:w="1123" w:type="dxa"/>
          </w:tcPr>
          <w:p>
            <w:pPr>
              <w:pStyle w:val="Compact"/>
              <w:jc w:val="left"/>
            </w:pPr>
            <w:r>
              <w:t xml:space="preserve">R and A</w:t>
            </w:r>
          </w:p>
        </w:tc>
        <w:tc>
          <w:tcPr>
            <w:tcW w:w="1018" w:type="dxa"/>
          </w:tcPr>
          <w:p>
            <w:pPr>
              <w:pStyle w:val="Compact"/>
              <w:jc w:val="left"/>
            </w:pPr>
            <w:r>
              <w:t xml:space="preserve">none</w:t>
            </w:r>
          </w:p>
        </w:tc>
        <w:tc>
          <w:tcPr>
            <w:tcW w:w="983" w:type="dxa"/>
          </w:tcPr>
          <w:p>
            <w:pPr>
              <w:pStyle w:val="Compact"/>
              <w:jc w:val="left"/>
            </w:pPr>
            <w:r>
              <w:t xml:space="preserve">C</w:t>
            </w:r>
          </w:p>
        </w:tc>
      </w:tr>
      <w:tr>
        <w:tc>
          <w:tcPr>
            <w:tcW w:w="3805" w:type="dxa"/>
          </w:tcPr>
          <w:p>
            <w:pPr>
              <w:pStyle w:val="Compact"/>
              <w:jc w:val="left"/>
            </w:pPr>
            <w:r>
              <w:t xml:space="preserve">Post-load verification</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none</w:t>
            </w:r>
          </w:p>
        </w:tc>
        <w:tc>
          <w:tcPr>
            <w:tcW w:w="983" w:type="dxa"/>
          </w:tcPr>
          <w:p>
            <w:pPr>
              <w:pStyle w:val="Compact"/>
              <w:jc w:val="left"/>
            </w:pPr>
            <w:r>
              <w:t xml:space="preserve">C</w:t>
            </w:r>
          </w:p>
        </w:tc>
      </w:tr>
      <w:tr>
        <w:tc>
          <w:tcPr>
            <w:tcW w:w="3805" w:type="dxa"/>
          </w:tcPr>
          <w:p>
            <w:pPr>
              <w:pStyle w:val="Compact"/>
              <w:jc w:val="left"/>
            </w:pPr>
            <w:r>
              <w:t xml:space="preserve">Communicate to Finance and the business</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C</w:t>
            </w:r>
          </w:p>
        </w:tc>
        <w:tc>
          <w:tcPr>
            <w:tcW w:w="1018" w:type="dxa"/>
          </w:tcPr>
          <w:p>
            <w:pPr>
              <w:pStyle w:val="Compact"/>
              <w:jc w:val="left"/>
            </w:pPr>
            <w:r>
              <w:t xml:space="preserve">I</w:t>
            </w:r>
          </w:p>
        </w:tc>
        <w:tc>
          <w:tcPr>
            <w:tcW w:w="983" w:type="dxa"/>
          </w:tcPr>
          <w:p>
            <w:pPr>
              <w:pStyle w:val="Compact"/>
              <w:jc w:val="left"/>
            </w:pPr>
            <w:r>
              <w:t xml:space="preserve">none</w:t>
            </w:r>
          </w:p>
        </w:tc>
      </w:tr>
      <w:tr>
        <w:tc>
          <w:tcPr>
            <w:tcW w:w="3805" w:type="dxa"/>
          </w:tcPr>
          <w:p>
            <w:pPr>
              <w:pStyle w:val="Compact"/>
              <w:jc w:val="left"/>
            </w:pPr>
            <w:r>
              <w:t xml:space="preserve">Archive evidence</w:t>
            </w:r>
          </w:p>
        </w:tc>
        <w:tc>
          <w:tcPr>
            <w:tcW w:w="1123" w:type="dxa"/>
          </w:tcPr>
          <w:p>
            <w:pPr>
              <w:pStyle w:val="Compact"/>
              <w:jc w:val="left"/>
            </w:pPr>
            <w:r>
              <w:t xml:space="preserve">R</w:t>
            </w:r>
          </w:p>
        </w:tc>
        <w:tc>
          <w:tcPr>
            <w:tcW w:w="1305" w:type="dxa"/>
          </w:tcPr>
          <w:p>
            <w:pPr>
              <w:pStyle w:val="Compact"/>
              <w:jc w:val="left"/>
            </w:pPr>
            <w:r>
              <w:t xml:space="preserve">A</w:t>
            </w:r>
          </w:p>
        </w:tc>
        <w:tc>
          <w:tcPr>
            <w:tcW w:w="1123" w:type="dxa"/>
          </w:tcPr>
          <w:p>
            <w:pPr>
              <w:pStyle w:val="Compact"/>
              <w:jc w:val="left"/>
            </w:pPr>
            <w:r>
              <w:t xml:space="preserve">I</w:t>
            </w:r>
          </w:p>
        </w:tc>
        <w:tc>
          <w:tcPr>
            <w:tcW w:w="1018" w:type="dxa"/>
          </w:tcPr>
          <w:p>
            <w:pPr>
              <w:pStyle w:val="Compact"/>
              <w:jc w:val="left"/>
            </w:pPr>
            <w:r>
              <w:t xml:space="preserve">none</w:t>
            </w:r>
          </w:p>
        </w:tc>
        <w:tc>
          <w:tcPr>
            <w:tcW w:w="983"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2026-10-14T03:53:04Z</dcterms:created>
  <dcterms:modified xsi:type="dcterms:W3CDTF">2026-10-14T03:53:04Z</dcterms:modified>
</cp:coreProperties>
</file>

<file path=docProps/custom.xml><?xml version="1.0" encoding="utf-8"?>
<Properties xmlns="http://schemas.openxmlformats.org/officeDocument/2006/custom-properties" xmlns:vt="http://schemas.openxmlformats.org/officeDocument/2006/docPropsVTypes"/>
</file>