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analytics-practice-pack-exercises"/>
    <w:p>
      <w:pPr>
        <w:pStyle w:val="Heading1"/>
      </w:pPr>
      <w:r>
        <w:t xml:space="preserve">Analytics Practice Pack: Exercises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eight hands-on exercises on synthetic import data that build the M3 data skills both tracks need: profiling, joins without fan-out, effective-dated lookups, broker audit, USMCA claim checks, PPV, tariff scenario modeling, Power BI measures and a findings memo. Each exercise has SQL Server steps and Excel/Power Query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Exercises 1 to 6 are day-30 evidence (A30-5 and B30-5 in</w:t>
      </w:r>
      <w:r>
        <w:t xml:space="preserve"> </w:t>
      </w:r>
      <w:r>
        <w:rPr>
          <w:rStyle w:val="VerbatimChar"/>
        </w:rPr>
        <w:t xml:space="preserve">docs/01-30-60-90-plan.md</w:t>
      </w:r>
      <w:r>
        <w:t xml:space="preserve">).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dxa" w:w="9360"/>
        <w:tblLook w:firstRow="1" w:lastRow="0" w:firstColumn="0" w:lastColumn="0" w:noHBand="0" w:noVBand="0" w:val="0020"/>
        <w:jc w:val="start"/>
        <w:tblLayout w:type="fixed"/>
      </w:tblPr>
      <w:tblGrid>
        <w:gridCol w:w="2633"/>
        <w:gridCol w:w="2397"/>
        <w:gridCol w:w="1590"/>
        <w:gridCol w:w="865"/>
        <w:gridCol w:w="1872"/>
      </w:tblGrid>
      <w:tr>
        <w:trPr>
          <w:tblHeader w:val="true"/>
        </w:trPr>
        <w:tc>
          <w:tcPr>
            <w:tcW w:w="2633" w:type="dxa"/>
          </w:tcPr>
          <w:p>
            <w:pPr>
              <w:pStyle w:val="Compact"/>
              <w:jc w:val="left"/>
            </w:pPr>
            <w:r>
              <w:t xml:space="preserve">Exercise</w:t>
            </w:r>
          </w:p>
        </w:tc>
        <w:tc>
          <w:tcPr>
            <w:tcW w:w="2397" w:type="dxa"/>
          </w:tcPr>
          <w:p>
            <w:pPr>
              <w:pStyle w:val="Compact"/>
              <w:jc w:val="left"/>
            </w:pPr>
            <w:r>
              <w:t xml:space="preserve">Week and slots</w:t>
            </w:r>
          </w:p>
        </w:tc>
        <w:tc>
          <w:tcPr>
            <w:tcW w:w="1590" w:type="dxa"/>
          </w:tcPr>
          <w:p>
            <w:pPr>
              <w:pStyle w:val="Compact"/>
              <w:jc w:val="left"/>
            </w:pPr>
            <w:r>
              <w:t xml:space="preserve">Track lean</w:t>
            </w:r>
          </w:p>
        </w:tc>
        <w:tc>
          <w:tcPr>
            <w:tcW w:w="865" w:type="dxa"/>
          </w:tcPr>
          <w:p>
            <w:pPr>
              <w:pStyle w:val="Compact"/>
              <w:jc w:val="left"/>
            </w:pPr>
            <w:r>
              <w:t xml:space="preserve">Time box</w:t>
            </w:r>
          </w:p>
        </w:tc>
        <w:tc>
          <w:tcPr>
            <w:tcW w:w="1872" w:type="dxa"/>
          </w:tcPr>
          <w:p>
            <w:pPr>
              <w:pStyle w:val="Compact"/>
              <w:jc w:val="left"/>
            </w:pPr>
            <w:r>
              <w:t xml:space="preserve">Reviewed</w:t>
            </w:r>
          </w:p>
        </w:tc>
      </w:tr>
      <w:tr>
        <w:tc>
          <w:tcPr>
            <w:tcW w:w="2633" w:type="dxa"/>
          </w:tcPr>
          <w:p>
            <w:pPr>
              <w:pStyle w:val="Compact"/>
              <w:jc w:val="left"/>
            </w:pPr>
            <w:r>
              <w:t xml:space="preserve">1 Data profiling</w:t>
            </w:r>
          </w:p>
        </w:tc>
        <w:tc>
          <w:tcPr>
            <w:tcW w:w="2397" w:type="dxa"/>
          </w:tcPr>
          <w:p>
            <w:pPr>
              <w:pStyle w:val="Compact"/>
              <w:jc w:val="left"/>
            </w:pPr>
            <w:r>
              <w:t xml:space="preserve">W1: Tue 10/20 16:00 setup, Wed 10/21 08:30</w:t>
            </w:r>
          </w:p>
        </w:tc>
        <w:tc>
          <w:tcPr>
            <w:tcW w:w="1590" w:type="dxa"/>
          </w:tcPr>
          <w:p>
            <w:pPr>
              <w:pStyle w:val="Compact"/>
              <w:jc w:val="left"/>
            </w:pPr>
            <w:r>
              <w:t xml:space="preserve">Both</w:t>
            </w:r>
          </w:p>
        </w:tc>
        <w:tc>
          <w:tcPr>
            <w:tcW w:w="865" w:type="dxa"/>
          </w:tcPr>
          <w:p>
            <w:pPr>
              <w:pStyle w:val="Compact"/>
              <w:jc w:val="left"/>
            </w:pPr>
            <w:r>
              <w:t xml:space="preserve">2.25 h</w:t>
            </w:r>
          </w:p>
        </w:tc>
        <w:tc>
          <w:tcPr>
            <w:tcW w:w="1872" w:type="dxa"/>
          </w:tcPr>
          <w:p>
            <w:pPr>
              <w:pStyle w:val="Compact"/>
              <w:jc w:val="left"/>
            </w:pPr>
            <w:r>
              <w:t xml:space="preserve">Senior, Thu 10/29</w:t>
            </w:r>
          </w:p>
        </w:tc>
      </w:tr>
      <w:tr>
        <w:tc>
          <w:tcPr>
            <w:tcW w:w="2633" w:type="dxa"/>
          </w:tcPr>
          <w:p>
            <w:pPr>
              <w:pStyle w:val="Compact"/>
              <w:jc w:val="left"/>
            </w:pPr>
            <w:r>
              <w:t xml:space="preserve">2 Duty by HTS chapter and origin</w:t>
            </w:r>
          </w:p>
        </w:tc>
        <w:tc>
          <w:tcPr>
            <w:tcW w:w="2397" w:type="dxa"/>
          </w:tcPr>
          <w:p>
            <w:pPr>
              <w:pStyle w:val="Compact"/>
              <w:jc w:val="left"/>
            </w:pPr>
            <w:r>
              <w:t xml:space="preserve">W1: Thu 10/22 08:30</w:t>
            </w:r>
          </w:p>
        </w:tc>
        <w:tc>
          <w:tcPr>
            <w:tcW w:w="1590" w:type="dxa"/>
          </w:tcPr>
          <w:p>
            <w:pPr>
              <w:pStyle w:val="Compact"/>
              <w:jc w:val="left"/>
            </w:pPr>
            <w:r>
              <w:t xml:space="preserve">Both</w:t>
            </w:r>
          </w:p>
        </w:tc>
        <w:tc>
          <w:tcPr>
            <w:tcW w:w="865" w:type="dxa"/>
          </w:tcPr>
          <w:p>
            <w:pPr>
              <w:pStyle w:val="Compact"/>
              <w:jc w:val="left"/>
            </w:pPr>
            <w:r>
              <w:t xml:space="preserve">1.5 h</w:t>
            </w:r>
          </w:p>
        </w:tc>
        <w:tc>
          <w:tcPr>
            <w:tcW w:w="1872" w:type="dxa"/>
          </w:tcPr>
          <w:p>
            <w:pPr>
              <w:pStyle w:val="Compact"/>
              <w:jc w:val="left"/>
            </w:pPr>
            <w:r>
              <w:t xml:space="preserve">Senior, Thu 10/29</w:t>
            </w:r>
          </w:p>
        </w:tc>
      </w:tr>
      <w:tr>
        <w:tc>
          <w:tcPr>
            <w:tcW w:w="2633" w:type="dxa"/>
          </w:tcPr>
          <w:p>
            <w:pPr>
              <w:pStyle w:val="Compact"/>
              <w:jc w:val="left"/>
            </w:pPr>
            <w:r>
              <w:t xml:space="preserve">3 Broker audit: applied vs expected rate</w:t>
            </w:r>
          </w:p>
        </w:tc>
        <w:tc>
          <w:tcPr>
            <w:tcW w:w="2397" w:type="dxa"/>
          </w:tcPr>
          <w:p>
            <w:pPr>
              <w:pStyle w:val="Compact"/>
              <w:jc w:val="left"/>
            </w:pPr>
            <w:r>
              <w:t xml:space="preserve">W2: Mon 10/26 10:00, Tue 10/27 16:00</w:t>
            </w:r>
          </w:p>
        </w:tc>
        <w:tc>
          <w:tcPr>
            <w:tcW w:w="1590" w:type="dxa"/>
          </w:tcPr>
          <w:p>
            <w:pPr>
              <w:pStyle w:val="Compact"/>
              <w:jc w:val="left"/>
            </w:pPr>
            <w:r>
              <w:t xml:space="preserve">Research-leaning</w:t>
            </w:r>
          </w:p>
        </w:tc>
        <w:tc>
          <w:tcPr>
            <w:tcW w:w="865" w:type="dxa"/>
          </w:tcPr>
          <w:p>
            <w:pPr>
              <w:pStyle w:val="Compact"/>
              <w:jc w:val="left"/>
            </w:pPr>
            <w:r>
              <w:t xml:space="preserve">2.75 h</w:t>
            </w:r>
          </w:p>
        </w:tc>
        <w:tc>
          <w:tcPr>
            <w:tcW w:w="1872" w:type="dxa"/>
          </w:tcPr>
          <w:p>
            <w:pPr>
              <w:pStyle w:val="Compact"/>
              <w:jc w:val="left"/>
            </w:pPr>
            <w:r>
              <w:t xml:space="preserve">Senior, Thu 10/29</w:t>
            </w:r>
          </w:p>
        </w:tc>
      </w:tr>
      <w:tr>
        <w:tc>
          <w:tcPr>
            <w:tcW w:w="2633" w:type="dxa"/>
          </w:tcPr>
          <w:p>
            <w:pPr>
              <w:pStyle w:val="Compact"/>
              <w:jc w:val="left"/>
            </w:pPr>
            <w:r>
              <w:t xml:space="preserve">4 USMCA claim check</w:t>
            </w:r>
          </w:p>
        </w:tc>
        <w:tc>
          <w:tcPr>
            <w:tcW w:w="2397" w:type="dxa"/>
          </w:tcPr>
          <w:p>
            <w:pPr>
              <w:pStyle w:val="Compact"/>
              <w:jc w:val="left"/>
            </w:pPr>
            <w:r>
              <w:t xml:space="preserve">W2: Wed 10/28 15:30, Thu 10/29 08:15</w:t>
            </w:r>
          </w:p>
        </w:tc>
        <w:tc>
          <w:tcPr>
            <w:tcW w:w="1590" w:type="dxa"/>
          </w:tcPr>
          <w:p>
            <w:pPr>
              <w:pStyle w:val="Compact"/>
              <w:jc w:val="left"/>
            </w:pPr>
            <w:r>
              <w:t xml:space="preserve">Research-leaning</w:t>
            </w:r>
          </w:p>
        </w:tc>
        <w:tc>
          <w:tcPr>
            <w:tcW w:w="865" w:type="dxa"/>
          </w:tcPr>
          <w:p>
            <w:pPr>
              <w:pStyle w:val="Compact"/>
              <w:jc w:val="left"/>
            </w:pPr>
            <w:r>
              <w:t xml:space="preserve">3 h</w:t>
            </w:r>
          </w:p>
        </w:tc>
        <w:tc>
          <w:tcPr>
            <w:tcW w:w="1872" w:type="dxa"/>
          </w:tcPr>
          <w:p>
            <w:pPr>
              <w:pStyle w:val="Compact"/>
              <w:jc w:val="left"/>
            </w:pPr>
            <w:r>
              <w:t xml:space="preserve">Senior, W3</w:t>
            </w:r>
          </w:p>
        </w:tc>
      </w:tr>
      <w:tr>
        <w:tc>
          <w:tcPr>
            <w:tcW w:w="2633" w:type="dxa"/>
          </w:tcPr>
          <w:p>
            <w:pPr>
              <w:pStyle w:val="Compact"/>
              <w:jc w:val="left"/>
            </w:pPr>
            <w:r>
              <w:t xml:space="preserve">5 PPV: actual landed vs standard</w:t>
            </w:r>
          </w:p>
        </w:tc>
        <w:tc>
          <w:tcPr>
            <w:tcW w:w="2397" w:type="dxa"/>
          </w:tcPr>
          <w:p>
            <w:pPr>
              <w:pStyle w:val="Compact"/>
              <w:jc w:val="left"/>
            </w:pPr>
            <w:r>
              <w:t xml:space="preserve">W3 (Hire B may start in W2)</w:t>
            </w:r>
          </w:p>
        </w:tc>
        <w:tc>
          <w:tcPr>
            <w:tcW w:w="1590" w:type="dxa"/>
          </w:tcPr>
          <w:p>
            <w:pPr>
              <w:pStyle w:val="Compact"/>
              <w:jc w:val="left"/>
            </w:pPr>
            <w:r>
              <w:t xml:space="preserve">Standard Cost-leaning</w:t>
            </w:r>
          </w:p>
        </w:tc>
        <w:tc>
          <w:tcPr>
            <w:tcW w:w="865" w:type="dxa"/>
          </w:tcPr>
          <w:p>
            <w:pPr>
              <w:pStyle w:val="Compact"/>
              <w:jc w:val="left"/>
            </w:pPr>
            <w:r>
              <w:t xml:space="preserve">3 h</w:t>
            </w:r>
          </w:p>
        </w:tc>
        <w:tc>
          <w:tcPr>
            <w:tcW w:w="1872" w:type="dxa"/>
          </w:tcPr>
          <w:p>
            <w:pPr>
              <w:pStyle w:val="Compact"/>
              <w:jc w:val="left"/>
            </w:pPr>
            <w:r>
              <w:t xml:space="preserve">Senior, W3</w:t>
            </w:r>
          </w:p>
        </w:tc>
      </w:tr>
      <w:tr>
        <w:tc>
          <w:tcPr>
            <w:tcW w:w="2633" w:type="dxa"/>
          </w:tcPr>
          <w:p>
            <w:pPr>
              <w:pStyle w:val="Compact"/>
              <w:jc w:val="left"/>
            </w:pPr>
            <w:r>
              <w:t xml:space="preserve">6 Tariff scenario impact</w:t>
            </w:r>
          </w:p>
        </w:tc>
        <w:tc>
          <w:tcPr>
            <w:tcW w:w="2397" w:type="dxa"/>
          </w:tcPr>
          <w:p>
            <w:pPr>
              <w:pStyle w:val="Compact"/>
              <w:jc w:val="left"/>
            </w:pPr>
            <w:r>
              <w:t xml:space="preserve">W3</w:t>
            </w:r>
          </w:p>
        </w:tc>
        <w:tc>
          <w:tcPr>
            <w:tcW w:w="1590" w:type="dxa"/>
          </w:tcPr>
          <w:p>
            <w:pPr>
              <w:pStyle w:val="Compact"/>
              <w:jc w:val="left"/>
            </w:pPr>
            <w:r>
              <w:t xml:space="preserve">Shared</w:t>
            </w:r>
          </w:p>
        </w:tc>
        <w:tc>
          <w:tcPr>
            <w:tcW w:w="865" w:type="dxa"/>
          </w:tcPr>
          <w:p>
            <w:pPr>
              <w:pStyle w:val="Compact"/>
              <w:jc w:val="left"/>
            </w:pPr>
            <w:r>
              <w:t xml:space="preserve">3 h</w:t>
            </w:r>
          </w:p>
        </w:tc>
        <w:tc>
          <w:tcPr>
            <w:tcW w:w="1872" w:type="dxa"/>
          </w:tcPr>
          <w:p>
            <w:pPr>
              <w:pStyle w:val="Compact"/>
              <w:jc w:val="left"/>
            </w:pPr>
            <w:r>
              <w:t xml:space="preserve">Senior, W3</w:t>
            </w:r>
          </w:p>
        </w:tc>
      </w:tr>
      <w:tr>
        <w:tc>
          <w:tcPr>
            <w:tcW w:w="2633" w:type="dxa"/>
          </w:tcPr>
          <w:p>
            <w:pPr>
              <w:pStyle w:val="Compact"/>
              <w:jc w:val="left"/>
            </w:pPr>
            <w:r>
              <w:t xml:space="preserve">7 Power BI page with DAX measures</w:t>
            </w:r>
          </w:p>
        </w:tc>
        <w:tc>
          <w:tcPr>
            <w:tcW w:w="2397" w:type="dxa"/>
          </w:tcPr>
          <w:p>
            <w:pPr>
              <w:pStyle w:val="Compact"/>
              <w:jc w:val="left"/>
            </w:pPr>
            <w:r>
              <w:t xml:space="preserve">W4</w:t>
            </w:r>
          </w:p>
        </w:tc>
        <w:tc>
          <w:tcPr>
            <w:tcW w:w="1590" w:type="dxa"/>
          </w:tcPr>
          <w:p>
            <w:pPr>
              <w:pStyle w:val="Compact"/>
              <w:jc w:val="left"/>
            </w:pPr>
            <w:r>
              <w:t xml:space="preserve">Both (Hire B goes deeper)</w:t>
            </w:r>
          </w:p>
        </w:tc>
        <w:tc>
          <w:tcPr>
            <w:tcW w:w="865" w:type="dxa"/>
          </w:tcPr>
          <w:p>
            <w:pPr>
              <w:pStyle w:val="Compact"/>
              <w:jc w:val="left"/>
            </w:pPr>
            <w:r>
              <w:t xml:space="preserve">3 h</w:t>
            </w:r>
          </w:p>
        </w:tc>
        <w:tc>
          <w:tcPr>
            <w:tcW w:w="1872" w:type="dxa"/>
          </w:tcPr>
          <w:p>
            <w:pPr>
              <w:pStyle w:val="Compact"/>
              <w:jc w:val="left"/>
            </w:pPr>
            <w:r>
              <w:t xml:space="preserve">Senior, W4; Power BI depth in W7</w:t>
            </w:r>
          </w:p>
        </w:tc>
      </w:tr>
      <w:tr>
        <w:tc>
          <w:tcPr>
            <w:tcW w:w="2633" w:type="dxa"/>
          </w:tcPr>
          <w:p>
            <w:pPr>
              <w:pStyle w:val="Compact"/>
              <w:jc w:val="left"/>
            </w:pPr>
            <w:r>
              <w:t xml:space="preserve">8 One-page findings memo</w:t>
            </w:r>
          </w:p>
        </w:tc>
        <w:tc>
          <w:tcPr>
            <w:tcW w:w="2397" w:type="dxa"/>
          </w:tcPr>
          <w:p>
            <w:pPr>
              <w:pStyle w:val="Compact"/>
              <w:jc w:val="left"/>
            </w:pPr>
            <w:r>
              <w:t xml:space="preserve">W4</w:t>
            </w:r>
          </w:p>
        </w:tc>
        <w:tc>
          <w:tcPr>
            <w:tcW w:w="1590" w:type="dxa"/>
          </w:tcPr>
          <w:p>
            <w:pPr>
              <w:pStyle w:val="Compact"/>
              <w:jc w:val="left"/>
            </w:pPr>
            <w:r>
              <w:t xml:space="preserve">Both, written individually</w:t>
            </w:r>
          </w:p>
        </w:tc>
        <w:tc>
          <w:tcPr>
            <w:tcW w:w="865" w:type="dxa"/>
          </w:tcPr>
          <w:p>
            <w:pPr>
              <w:pStyle w:val="Compact"/>
              <w:jc w:val="left"/>
            </w:pPr>
            <w:r>
              <w:t xml:space="preserve">1.5 h</w:t>
            </w:r>
          </w:p>
        </w:tc>
        <w:tc>
          <w:tcPr>
            <w:tcW w:w="1872" w:type="dxa"/>
          </w:tcPr>
          <w:p>
            <w:pPr>
              <w:pStyle w:val="Compact"/>
              <w:jc w:val="left"/>
            </w:pPr>
            <w:r>
              <w:t xml:space="preserve">Manager, W4 work review</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either before the day-30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dxa" w:w="9360"/>
        <w:tblLook w:firstRow="1" w:lastRow="0" w:firstColumn="0" w:lastColumn="0" w:noHBand="0" w:noVBand="0" w:val="0020"/>
        <w:jc w:val="start"/>
        <w:tblLayout w:type="fixed"/>
      </w:tblPr>
      <w:tblGrid>
        <w:gridCol w:w="1546"/>
        <w:gridCol w:w="4229"/>
        <w:gridCol w:w="2728"/>
        <w:gridCol w:w="854"/>
      </w:tblGrid>
      <w:tr>
        <w:trPr>
          <w:tblHeader w:val="true"/>
        </w:trPr>
        <w:tc>
          <w:tcPr>
            <w:tcW w:w="1546" w:type="dxa"/>
          </w:tcPr>
          <w:p>
            <w:pPr>
              <w:pStyle w:val="Compact"/>
              <w:jc w:val="left"/>
            </w:pPr>
            <w:r>
              <w:t xml:space="preserve">Table</w:t>
            </w:r>
          </w:p>
        </w:tc>
        <w:tc>
          <w:tcPr>
            <w:tcW w:w="4229" w:type="dxa"/>
          </w:tcPr>
          <w:p>
            <w:pPr>
              <w:pStyle w:val="Compact"/>
              <w:jc w:val="left"/>
            </w:pPr>
            <w:r>
              <w:t xml:space="preserve">One row is</w:t>
            </w:r>
          </w:p>
        </w:tc>
        <w:tc>
          <w:tcPr>
            <w:tcW w:w="2728" w:type="dxa"/>
          </w:tcPr>
          <w:p>
            <w:pPr>
              <w:pStyle w:val="Compact"/>
              <w:jc w:val="left"/>
            </w:pPr>
            <w:r>
              <w:t xml:space="preserve">Key</w:t>
            </w:r>
          </w:p>
        </w:tc>
        <w:tc>
          <w:tcPr>
            <w:tcW w:w="854" w:type="dxa"/>
          </w:tcPr>
          <w:p>
            <w:pPr>
              <w:pStyle w:val="Compact"/>
              <w:jc w:val="left"/>
            </w:pPr>
            <w:r>
              <w:t xml:space="preserve">Rows</w:t>
            </w:r>
          </w:p>
        </w:tc>
      </w:tr>
      <w:tr>
        <w:tc>
          <w:tcPr>
            <w:tcW w:w="1546" w:type="dxa"/>
          </w:tcPr>
          <w:p>
            <w:pPr>
              <w:pStyle w:val="Compact"/>
              <w:jc w:val="left"/>
            </w:pPr>
            <w:r>
              <w:t xml:space="preserve">items</w:t>
            </w:r>
          </w:p>
        </w:tc>
        <w:tc>
          <w:tcPr>
            <w:tcW w:w="4229" w:type="dxa"/>
          </w:tcPr>
          <w:p>
            <w:pPr>
              <w:pStyle w:val="Compact"/>
              <w:jc w:val="left"/>
            </w:pPr>
            <w:r>
              <w:t xml:space="preserve">An item: classification master and US standard cost</w:t>
            </w:r>
          </w:p>
        </w:tc>
        <w:tc>
          <w:tcPr>
            <w:tcW w:w="2728" w:type="dxa"/>
          </w:tcPr>
          <w:p>
            <w:pPr>
              <w:pStyle w:val="Compact"/>
              <w:jc w:val="left"/>
            </w:pPr>
            <w:r>
              <w:t xml:space="preserve">item_id</w:t>
            </w:r>
          </w:p>
        </w:tc>
        <w:tc>
          <w:tcPr>
            <w:tcW w:w="854" w:type="dxa"/>
          </w:tcPr>
          <w:p>
            <w:pPr>
              <w:pStyle w:val="Compact"/>
              <w:jc w:val="left"/>
            </w:pPr>
            <w:r>
              <w:t xml:space="preserve">150</w:t>
            </w:r>
          </w:p>
        </w:tc>
      </w:tr>
      <w:tr>
        <w:tc>
          <w:tcPr>
            <w:tcW w:w="1546" w:type="dxa"/>
          </w:tcPr>
          <w:p>
            <w:pPr>
              <w:pStyle w:val="Compact"/>
              <w:jc w:val="left"/>
            </w:pPr>
            <w:r>
              <w:t xml:space="preserve">suppliers</w:t>
            </w:r>
          </w:p>
        </w:tc>
        <w:tc>
          <w:tcPr>
            <w:tcW w:w="4229" w:type="dxa"/>
          </w:tcPr>
          <w:p>
            <w:pPr>
              <w:pStyle w:val="Compact"/>
              <w:jc w:val="left"/>
            </w:pPr>
            <w:r>
              <w:t xml:space="preserve">A supplier</w:t>
            </w:r>
          </w:p>
        </w:tc>
        <w:tc>
          <w:tcPr>
            <w:tcW w:w="2728" w:type="dxa"/>
          </w:tcPr>
          <w:p>
            <w:pPr>
              <w:pStyle w:val="Compact"/>
              <w:jc w:val="left"/>
            </w:pPr>
            <w:r>
              <w:t xml:space="preserve">supplier_id</w:t>
            </w:r>
          </w:p>
        </w:tc>
        <w:tc>
          <w:tcPr>
            <w:tcW w:w="854" w:type="dxa"/>
          </w:tcPr>
          <w:p>
            <w:pPr>
              <w:pStyle w:val="Compact"/>
              <w:jc w:val="left"/>
            </w:pPr>
            <w:r>
              <w:t xml:space="preserve">31</w:t>
            </w:r>
          </w:p>
        </w:tc>
      </w:tr>
      <w:tr>
        <w:tc>
          <w:tcPr>
            <w:tcW w:w="1546" w:type="dxa"/>
          </w:tcPr>
          <w:p>
            <w:pPr>
              <w:pStyle w:val="Compact"/>
              <w:jc w:val="left"/>
            </w:pPr>
            <w:r>
              <w:t xml:space="preserve">brokers</w:t>
            </w:r>
          </w:p>
        </w:tc>
        <w:tc>
          <w:tcPr>
            <w:tcW w:w="4229" w:type="dxa"/>
          </w:tcPr>
          <w:p>
            <w:pPr>
              <w:pStyle w:val="Compact"/>
              <w:jc w:val="left"/>
            </w:pPr>
            <w:r>
              <w:t xml:space="preserve">A customs broker</w:t>
            </w:r>
          </w:p>
        </w:tc>
        <w:tc>
          <w:tcPr>
            <w:tcW w:w="2728" w:type="dxa"/>
          </w:tcPr>
          <w:p>
            <w:pPr>
              <w:pStyle w:val="Compact"/>
              <w:jc w:val="left"/>
            </w:pPr>
            <w:r>
              <w:t xml:space="preserve">broker_id</w:t>
            </w:r>
          </w:p>
        </w:tc>
        <w:tc>
          <w:tcPr>
            <w:tcW w:w="854" w:type="dxa"/>
          </w:tcPr>
          <w:p>
            <w:pPr>
              <w:pStyle w:val="Compact"/>
              <w:jc w:val="left"/>
            </w:pPr>
            <w:r>
              <w:t xml:space="preserve">6</w:t>
            </w:r>
          </w:p>
        </w:tc>
      </w:tr>
      <w:tr>
        <w:tc>
          <w:tcPr>
            <w:tcW w:w="1546" w:type="dxa"/>
          </w:tcPr>
          <w:p>
            <w:pPr>
              <w:pStyle w:val="Compact"/>
              <w:jc w:val="left"/>
            </w:pPr>
            <w:r>
              <w:t xml:space="preserve">entries</w:t>
            </w:r>
          </w:p>
        </w:tc>
        <w:tc>
          <w:tcPr>
            <w:tcW w:w="4229" w:type="dxa"/>
          </w:tcPr>
          <w:p>
            <w:pPr>
              <w:pStyle w:val="Compact"/>
              <w:jc w:val="left"/>
            </w:pPr>
            <w:r>
              <w:t xml:space="preserve">A customs entry (US entry, Canadian CAD, Mexican pedimento)</w:t>
            </w:r>
          </w:p>
        </w:tc>
        <w:tc>
          <w:tcPr>
            <w:tcW w:w="2728" w:type="dxa"/>
          </w:tcPr>
          <w:p>
            <w:pPr>
              <w:pStyle w:val="Compact"/>
              <w:jc w:val="left"/>
            </w:pPr>
            <w:r>
              <w:t xml:space="preserve">entry_no</w:t>
            </w:r>
          </w:p>
        </w:tc>
        <w:tc>
          <w:tcPr>
            <w:tcW w:w="854" w:type="dxa"/>
          </w:tcPr>
          <w:p>
            <w:pPr>
              <w:pStyle w:val="Compact"/>
              <w:jc w:val="left"/>
            </w:pPr>
            <w:r>
              <w:t xml:space="preserve">400</w:t>
            </w:r>
          </w:p>
        </w:tc>
      </w:tr>
      <w:tr>
        <w:tc>
          <w:tcPr>
            <w:tcW w:w="1546" w:type="dxa"/>
          </w:tcPr>
          <w:p>
            <w:pPr>
              <w:pStyle w:val="Compact"/>
              <w:jc w:val="left"/>
            </w:pPr>
            <w:r>
              <w:t xml:space="preserve">entry_lines</w:t>
            </w:r>
          </w:p>
        </w:tc>
        <w:tc>
          <w:tcPr>
            <w:tcW w:w="4229" w:type="dxa"/>
          </w:tcPr>
          <w:p>
            <w:pPr>
              <w:pStyle w:val="Compact"/>
              <w:jc w:val="left"/>
            </w:pPr>
            <w:r>
              <w:t xml:space="preserve">A line on an entry, as the broker filed it</w:t>
            </w:r>
          </w:p>
        </w:tc>
        <w:tc>
          <w:tcPr>
            <w:tcW w:w="2728" w:type="dxa"/>
          </w:tcPr>
          <w:p>
            <w:pPr>
              <w:pStyle w:val="Compact"/>
              <w:jc w:val="left"/>
            </w:pPr>
            <w:r>
              <w:t xml:space="preserve">entry_no + line_no (meant to be unique)</w:t>
            </w:r>
          </w:p>
        </w:tc>
        <w:tc>
          <w:tcPr>
            <w:tcW w:w="854" w:type="dxa"/>
          </w:tcPr>
          <w:p>
            <w:pPr>
              <w:pStyle w:val="Compact"/>
              <w:jc w:val="left"/>
            </w:pPr>
            <w:r>
              <w:t xml:space="preserve">1,966</w:t>
            </w:r>
          </w:p>
        </w:tc>
      </w:tr>
      <w:tr>
        <w:tc>
          <w:tcPr>
            <w:tcW w:w="1546" w:type="dxa"/>
          </w:tcPr>
          <w:p>
            <w:pPr>
              <w:pStyle w:val="Compact"/>
              <w:jc w:val="left"/>
            </w:pPr>
            <w:r>
              <w:t xml:space="preserve">duty_rates_reference</w:t>
            </w:r>
          </w:p>
        </w:tc>
        <w:tc>
          <w:tcPr>
            <w:tcW w:w="4229" w:type="dxa"/>
          </w:tcPr>
          <w:p>
            <w:pPr>
              <w:pStyle w:val="Compact"/>
              <w:jc w:val="left"/>
            </w:pPr>
            <w:r>
              <w:t xml:space="preserve">The expected rate for an import country, HTS and origin over a date range</w:t>
            </w:r>
          </w:p>
        </w:tc>
        <w:tc>
          <w:tcPr>
            <w:tcW w:w="2728" w:type="dxa"/>
          </w:tcPr>
          <w:p>
            <w:pPr>
              <w:pStyle w:val="Compact"/>
              <w:jc w:val="left"/>
            </w:pPr>
            <w:r>
              <w:t xml:space="preserve">import_country + hts10 + country_of_origin + effective_from</w:t>
            </w:r>
          </w:p>
        </w:tc>
        <w:tc>
          <w:tcPr>
            <w:tcW w:w="854" w:type="dxa"/>
          </w:tcPr>
          <w:p>
            <w:pPr>
              <w:pStyle w:val="Compact"/>
              <w:jc w:val="left"/>
            </w:pPr>
            <w:r>
              <w:t xml:space="preserve">228</w:t>
            </w:r>
          </w:p>
        </w:tc>
      </w:tr>
      <w:tr>
        <w:tc>
          <w:tcPr>
            <w:tcW w:w="1546" w:type="dxa"/>
          </w:tcPr>
          <w:p>
            <w:pPr>
              <w:pStyle w:val="Compact"/>
              <w:jc w:val="left"/>
            </w:pPr>
            <w:r>
              <w:t xml:space="preserve">receipts</w:t>
            </w:r>
          </w:p>
        </w:tc>
        <w:tc>
          <w:tcPr>
            <w:tcW w:w="4229" w:type="dxa"/>
          </w:tcPr>
          <w:p>
            <w:pPr>
              <w:pStyle w:val="Compact"/>
              <w:jc w:val="left"/>
            </w:pPr>
            <w:r>
              <w:t xml:space="preserve">A PO receipt line into the US warehouse</w:t>
            </w:r>
          </w:p>
        </w:tc>
        <w:tc>
          <w:tcPr>
            <w:tcW w:w="2728" w:type="dxa"/>
          </w:tcPr>
          <w:p>
            <w:pPr>
              <w:pStyle w:val="Compact"/>
              <w:jc w:val="left"/>
            </w:pPr>
            <w:r>
              <w:t xml:space="preserve">receipt_id</w:t>
            </w:r>
          </w:p>
        </w:tc>
        <w:tc>
          <w:tcPr>
            <w:tcW w:w="854" w:type="dxa"/>
          </w:tcPr>
          <w:p>
            <w:pPr>
              <w:pStyle w:val="Compact"/>
              <w:jc w:val="left"/>
            </w:pPr>
            <w:r>
              <w:t xml:space="preserve">1,500</w:t>
            </w:r>
          </w:p>
        </w:tc>
      </w:tr>
      <w:tr>
        <w:tc>
          <w:tcPr>
            <w:tcW w:w="1546" w:type="dxa"/>
          </w:tcPr>
          <w:p>
            <w:pPr>
              <w:pStyle w:val="Compact"/>
              <w:jc w:val="left"/>
            </w:pPr>
            <w:r>
              <w:t xml:space="preserve">tariff_scenario</w:t>
            </w:r>
          </w:p>
        </w:tc>
        <w:tc>
          <w:tcPr>
            <w:tcW w:w="4229" w:type="dxa"/>
          </w:tcPr>
          <w:p>
            <w:pPr>
              <w:pStyle w:val="Compact"/>
              <w:jc w:val="left"/>
            </w:pPr>
            <w:r>
              <w:t xml:space="preserve">A fictional proposed tariff action: one row per HTS prefix and origin</w:t>
            </w:r>
          </w:p>
        </w:tc>
        <w:tc>
          <w:tcPr>
            <w:tcW w:w="2728" w:type="dxa"/>
          </w:tcPr>
          <w:p>
            <w:pPr>
              <w:pStyle w:val="Compact"/>
              <w:jc w:val="left"/>
            </w:pPr>
            <w:r>
              <w:t xml:space="preserve">scenario_id + hts_prefix + country_of_origin</w:t>
            </w:r>
          </w:p>
        </w:tc>
        <w:tc>
          <w:tcPr>
            <w:tcW w:w="854" w:type="dxa"/>
          </w:tcPr>
          <w:p>
            <w:pPr>
              <w:pStyle w:val="Compact"/>
              <w:jc w:val="left"/>
            </w:pPr>
            <w:r>
              <w:t xml:space="preserve">11</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bookmarkEnd w:id="22"/>
    <w:bookmarkStart w:id="23" w:name="columns-that-need-care"/>
    <w:p>
      <w:pPr>
        <w:pStyle w:val="Heading3"/>
      </w:pPr>
      <w:r>
        <w:t xml:space="preserve">Columns that need care</w:t>
      </w:r>
    </w:p>
    <w:tbl>
      <w:tblPr>
        <w:tblStyle w:val="Table"/>
        <w:tblW w:type="dxa" w:w="9360"/>
        <w:tblLook w:firstRow="1" w:lastRow="0" w:firstColumn="0" w:lastColumn="0" w:noHBand="0" w:noVBand="0" w:val="0020"/>
        <w:jc w:val="start"/>
        <w:tblLayout w:type="fixed"/>
      </w:tblPr>
      <w:tblGrid>
        <w:gridCol w:w="2096"/>
        <w:gridCol w:w="4213"/>
        <w:gridCol w:w="3049"/>
      </w:tblGrid>
      <w:tr>
        <w:trPr>
          <w:tblHeader w:val="true"/>
        </w:trPr>
        <w:tc>
          <w:tcPr>
            <w:tcW w:w="2096" w:type="dxa"/>
          </w:tcPr>
          <w:p>
            <w:pPr>
              <w:pStyle w:val="Compact"/>
              <w:jc w:val="left"/>
            </w:pPr>
            <w:r>
              <w:t xml:space="preserve">Column</w:t>
            </w:r>
          </w:p>
        </w:tc>
        <w:tc>
          <w:tcPr>
            <w:tcW w:w="4213" w:type="dxa"/>
          </w:tcPr>
          <w:p>
            <w:pPr>
              <w:pStyle w:val="Compact"/>
              <w:jc w:val="left"/>
            </w:pPr>
            <w:r>
              <w:t xml:space="preserve">Meaning</w:t>
            </w:r>
          </w:p>
        </w:tc>
        <w:tc>
          <w:tcPr>
            <w:tcW w:w="3049" w:type="dxa"/>
          </w:tcPr>
          <w:p>
            <w:pPr>
              <w:pStyle w:val="Compact"/>
              <w:jc w:val="left"/>
            </w:pPr>
            <w:r>
              <w:t xml:space="preserve">Watch out</w:t>
            </w:r>
          </w:p>
        </w:tc>
      </w:tr>
      <w:tr>
        <w:tc>
          <w:tcPr>
            <w:tcW w:w="2096" w:type="dxa"/>
          </w:tcPr>
          <w:p>
            <w:pPr>
              <w:pStyle w:val="Compact"/>
              <w:jc w:val="left"/>
            </w:pPr>
            <w:r>
              <w:t xml:space="preserve">items.hts10</w:t>
            </w:r>
          </w:p>
        </w:tc>
        <w:tc>
          <w:tcPr>
            <w:tcW w:w="4213" w:type="dxa"/>
          </w:tcPr>
          <w:p>
            <w:pPr>
              <w:pStyle w:val="Compact"/>
              <w:jc w:val="left"/>
            </w:pPr>
            <w:r>
              <w:t xml:space="preserve">10-digit code, stored as text</w:t>
            </w:r>
          </w:p>
        </w:tc>
        <w:tc>
          <w:tcPr>
            <w:tcW w:w="3049" w:type="dxa"/>
          </w:tcPr>
          <w:p>
            <w:pPr>
              <w:pStyle w:val="Compact"/>
              <w:jc w:val="left"/>
            </w:pPr>
            <w:r>
              <w:t xml:space="preserve">Excel turns it into a number if you let it. Keep it as Text</w:t>
            </w:r>
          </w:p>
        </w:tc>
      </w:tr>
      <w:tr>
        <w:tc>
          <w:tcPr>
            <w:tcW w:w="2096" w:type="dxa"/>
          </w:tcPr>
          <w:p>
            <w:pPr>
              <w:pStyle w:val="Compact"/>
              <w:jc w:val="left"/>
            </w:pPr>
            <w:r>
              <w:t xml:space="preserve">items.country_of_origin</w:t>
            </w:r>
          </w:p>
        </w:tc>
        <w:tc>
          <w:tcPr>
            <w:tcW w:w="4213" w:type="dxa"/>
          </w:tcPr>
          <w:p>
            <w:pPr>
              <w:pStyle w:val="Compact"/>
              <w:jc w:val="left"/>
            </w:pPr>
            <w:r>
              <w:t xml:space="preserve">Non-preferential origin (2-letter ISO code)</w:t>
            </w:r>
          </w:p>
        </w:tc>
        <w:tc>
          <w:tcPr>
            <w:tcW w:w="3049" w:type="dxa"/>
          </w:tcPr>
          <w:p>
            <w:pPr>
              <w:pStyle w:val="Compact"/>
              <w:jc w:val="left"/>
            </w:pPr>
            <w:r>
              <w:t xml:space="preserve">Not the supplier's country. Compare suppliers.supplier_country</w:t>
            </w:r>
          </w:p>
        </w:tc>
      </w:tr>
      <w:tr>
        <w:tc>
          <w:tcPr>
            <w:tcW w:w="2096" w:type="dxa"/>
          </w:tcPr>
          <w:p>
            <w:pPr>
              <w:pStyle w:val="Compact"/>
              <w:jc w:val="left"/>
            </w:pPr>
            <w:r>
              <w:t xml:space="preserve">items.usmca_eligible_flag</w:t>
            </w:r>
          </w:p>
        </w:tc>
        <w:tc>
          <w:tcPr>
            <w:tcW w:w="4213" w:type="dxa"/>
          </w:tcPr>
          <w:p>
            <w:pPr>
              <w:pStyle w:val="Compact"/>
              <w:jc w:val="left"/>
            </w:pPr>
            <w:r>
              <w:t xml:space="preserve">Y = a USMCA certification is on file for the item</w:t>
            </w:r>
          </w:p>
        </w:tc>
        <w:tc>
          <w:tcPr>
            <w:tcW w:w="3049" w:type="dxa"/>
          </w:tcPr>
          <w:p>
            <w:pPr>
              <w:pStyle w:val="Compact"/>
              <w:jc w:val="left"/>
            </w:pPr>
            <w:r>
              <w:t xml:space="preserve">Master data. It can be wrong</w:t>
            </w:r>
          </w:p>
        </w:tc>
      </w:tr>
      <w:tr>
        <w:tc>
          <w:tcPr>
            <w:tcW w:w="2096" w:type="dxa"/>
          </w:tcPr>
          <w:p>
            <w:pPr>
              <w:pStyle w:val="Compact"/>
              <w:jc w:val="left"/>
            </w:pPr>
            <w:r>
              <w:t xml:space="preserve">items.std_cost</w:t>
            </w:r>
          </w:p>
        </w:tc>
        <w:tc>
          <w:tcPr>
            <w:tcW w:w="4213" w:type="dxa"/>
          </w:tcPr>
          <w:p>
            <w:pPr>
              <w:pStyle w:val="Compact"/>
              <w:jc w:val="left"/>
            </w:pPr>
            <w:r>
              <w:t xml:space="preserve">US standard cost per unit, including freight and duty at the rate in effect on 2026-01-01</w:t>
            </w:r>
          </w:p>
        </w:tc>
        <w:tc>
          <w:tcPr>
            <w:tcW w:w="3049" w:type="dxa"/>
          </w:tcPr>
          <w:p>
            <w:pPr>
              <w:pStyle w:val="Compact"/>
              <w:jc w:val="left"/>
            </w:pPr>
            <w:r>
              <w:t xml:space="preserve">Unit is the selling unit in the description (box, pack, each)</w:t>
            </w:r>
          </w:p>
        </w:tc>
      </w:tr>
      <w:tr>
        <w:tc>
          <w:tcPr>
            <w:tcW w:w="2096" w:type="dxa"/>
          </w:tcPr>
          <w:p>
            <w:pPr>
              <w:pStyle w:val="Compact"/>
              <w:jc w:val="left"/>
            </w:pPr>
            <w:r>
              <w:t xml:space="preserve">entry_lines.program_claimed</w:t>
            </w:r>
          </w:p>
        </w:tc>
        <w:tc>
          <w:tcPr>
            <w:tcW w:w="4213" w:type="dxa"/>
          </w:tcPr>
          <w:p>
            <w:pPr>
              <w:pStyle w:val="Compact"/>
              <w:jc w:val="left"/>
            </w:pPr>
            <w:r>
              <w:t xml:space="preserve">USMCA when the broker claimed USMCA (CUSMA, T-MEC); blank (NULL) when no preference was claimed</w:t>
            </w:r>
          </w:p>
        </w:tc>
        <w:tc>
          <w:tcPr>
            <w:tcW w:w="3049" w:type="dxa"/>
          </w:tcPr>
          <w:p>
            <w:pPr>
              <w:pStyle w:val="Compact"/>
              <w:jc w:val="left"/>
            </w:pPr>
            <w:r>
              <w:t xml:space="preserve">A blank here is not an error. See Exercise 3</w:t>
            </w:r>
          </w:p>
        </w:tc>
      </w:tr>
      <w:tr>
        <w:tc>
          <w:tcPr>
            <w:tcW w:w="2096" w:type="dxa"/>
          </w:tcPr>
          <w:p>
            <w:pPr>
              <w:pStyle w:val="Compact"/>
              <w:jc w:val="left"/>
            </w:pPr>
            <w:r>
              <w:t xml:space="preserve">entry_lines.duty_amount</w:t>
            </w:r>
          </w:p>
        </w:tc>
        <w:tc>
          <w:tcPr>
            <w:tcW w:w="4213" w:type="dxa"/>
          </w:tcPr>
          <w:p>
            <w:pPr>
              <w:pStyle w:val="Compact"/>
              <w:jc w:val="left"/>
            </w:pPr>
            <w:r>
              <w:t xml:space="preserve">entered_value x duty_rate_applied, rounded to the cent</w:t>
            </w:r>
          </w:p>
        </w:tc>
        <w:tc>
          <w:tcPr>
            <w:tcW w:w="3049" w:type="dxa"/>
          </w:tcPr>
          <w:p>
            <w:pPr>
              <w:pStyle w:val="Compact"/>
              <w:jc w:val="left"/>
            </w:pPr>
            <w:r>
              <w:t xml:space="preserve">This is the duty actually paid</w:t>
            </w:r>
          </w:p>
        </w:tc>
      </w:tr>
      <w:tr>
        <w:tc>
          <w:tcPr>
            <w:tcW w:w="2096" w:type="dxa"/>
          </w:tcPr>
          <w:p>
            <w:pPr>
              <w:pStyle w:val="Compact"/>
              <w:jc w:val="left"/>
            </w:pPr>
            <w:r>
              <w:t xml:space="preserve">duty_rates_reference.expected_rate</w:t>
            </w:r>
          </w:p>
        </w:tc>
        <w:tc>
          <w:tcPr>
            <w:tcW w:w="4213" w:type="dxa"/>
          </w:tcPr>
          <w:p>
            <w:pPr>
              <w:pStyle w:val="Compact"/>
              <w:jc w:val="left"/>
            </w:pPr>
            <w:r>
              <w:t xml:space="preserve">base_rate + additional_rate. The non-preferential rate</w:t>
            </w:r>
          </w:p>
        </w:tc>
        <w:tc>
          <w:tcPr>
            <w:tcW w:w="3049" w:type="dxa"/>
          </w:tcPr>
          <w:p>
            <w:pPr>
              <w:pStyle w:val="Compact"/>
              <w:jc w:val="left"/>
            </w:pPr>
            <w:r>
              <w:t xml:space="preserve">A valid USMCA claim means 0% in this data</w:t>
            </w:r>
          </w:p>
        </w:tc>
      </w:tr>
      <w:tr>
        <w:tc>
          <w:tcPr>
            <w:tcW w:w="2096" w:type="dxa"/>
          </w:tcPr>
          <w:p>
            <w:pPr>
              <w:pStyle w:val="Compact"/>
              <w:jc w:val="left"/>
            </w:pPr>
            <w:r>
              <w:t xml:space="preserve">receipts.actual_landed_unit_cost</w:t>
            </w:r>
          </w:p>
        </w:tc>
        <w:tc>
          <w:tcPr>
            <w:tcW w:w="4213" w:type="dxa"/>
          </w:tcPr>
          <w:p>
            <w:pPr>
              <w:pStyle w:val="Compact"/>
              <w:jc w:val="left"/>
            </w:pPr>
            <w:r>
              <w:t xml:space="preserve">Actual cost per unit including freight and duty</w:t>
            </w:r>
          </w:p>
        </w:tc>
        <w:tc>
          <w:tcPr>
            <w:tcW w:w="3049" w:type="dxa"/>
          </w:tcPr>
          <w:p>
            <w:pPr>
              <w:pStyle w:val="Compact"/>
              <w:jc w:val="left"/>
            </w:pPr>
            <w:r>
              <w:t xml:space="preserve">Same unit as std_cost</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eight</w:t>
      </w:r>
      <w:r>
        <w:t xml:space="preserve"> </w:t>
      </w:r>
      <w:r>
        <w:rPr>
          <w:rStyle w:val="VerbatimChar"/>
        </w:rPr>
        <w:t xml:space="preserve">tbl_</w:t>
      </w:r>
      <w:r>
        <w:t xml:space="preserve"> </w:t>
      </w:r>
      <w:r>
        <w:t xml:space="preserve">tables (not the sheets), then click Transform Data.</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and line_no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eight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read-only access in AR-07 (</w:t>
      </w:r>
      <w:r>
        <w:rPr>
          <w:rStyle w:val="VerbatimChar"/>
        </w:rPr>
        <w:t xml:space="preserve">docs/04-access-request-checklist.md</w:t>
      </w:r>
      <w:r>
        <w:t xml:space="preserve">) is not enough.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eight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in that window / 365, counting both dates (</w:t>
      </w:r>
      <w:r>
        <w:rPr>
          <w:rStyle w:val="VerbatimChar"/>
        </w:rPr>
        <w:t xml:space="preserve">DATEDIFF(day, effective_date, '2026-12-31') + 1</w:t>
      </w:r>
      <w:r>
        <w:t xml:space="preserve">).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0% for items with usmca_eligible_flag = 'Y' (a valid CUSMA claim means 0% in this data), otherwise the CA expected_rate from duty_rates_reference. Leave standard cost and sell price blank and say why (the practice std_cost is the US warehouse's). The model then shows a CHECK on every row ("value, rate or cost missing" once the other columns are filled), so Summary B19 counts every row and B30 reads NO: that is expected for this practice run, and B20 still computes the impact. Say so in your note. Replace the sample 73 in the Summary chapter list with 85 and 94 (A47:A48) so B29 reads YES.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The Senior checks them against the reference DAX in the W4 review.</w:t>
      </w:r>
    </w:p>
    <w:tbl>
      <w:tblPr>
        <w:tblStyle w:val="Table"/>
        <w:tblW w:type="dxa" w:w="9360"/>
        <w:tblLook w:firstRow="1" w:lastRow="0" w:firstColumn="0" w:lastColumn="0" w:noHBand="0" w:noVBand="0" w:val="0020"/>
        <w:jc w:val="start"/>
        <w:tblLayout w:type="fixed"/>
      </w:tblPr>
      <w:tblGrid>
        <w:gridCol w:w="2386"/>
        <w:gridCol w:w="6973"/>
      </w:tblGrid>
      <w:tr>
        <w:trPr>
          <w:tblHeader w:val="true"/>
        </w:trPr>
        <w:tc>
          <w:tcPr>
            <w:tcW w:w="2386" w:type="dxa"/>
          </w:tcPr>
          <w:p>
            <w:pPr>
              <w:pStyle w:val="Compact"/>
              <w:jc w:val="left"/>
            </w:pPr>
            <w:r>
              <w:t xml:space="preserve">Measure</w:t>
            </w:r>
          </w:p>
        </w:tc>
        <w:tc>
          <w:tcPr>
            <w:tcW w:w="6973" w:type="dxa"/>
          </w:tcPr>
          <w:p>
            <w:pPr>
              <w:pStyle w:val="Compact"/>
              <w:jc w:val="left"/>
            </w:pPr>
            <w:r>
              <w:t xml:space="preserve">Definition</w:t>
            </w:r>
          </w:p>
        </w:tc>
      </w:tr>
      <w:tr>
        <w:tc>
          <w:tcPr>
            <w:tcW w:w="2386" w:type="dxa"/>
          </w:tcPr>
          <w:p>
            <w:pPr>
              <w:pStyle w:val="Compact"/>
              <w:jc w:val="left"/>
            </w:pPr>
            <w:r>
              <w:t xml:space="preserve">Total Entered Value</w:t>
            </w:r>
          </w:p>
        </w:tc>
        <w:tc>
          <w:tcPr>
            <w:tcW w:w="6973" w:type="dxa"/>
          </w:tcPr>
          <w:p>
            <w:pPr>
              <w:pStyle w:val="Compact"/>
              <w:jc w:val="left"/>
            </w:pPr>
            <w:r>
              <w:t xml:space="preserve">Sum of entered_value on EntryLines</w:t>
            </w:r>
          </w:p>
        </w:tc>
      </w:tr>
      <w:tr>
        <w:tc>
          <w:tcPr>
            <w:tcW w:w="2386" w:type="dxa"/>
          </w:tcPr>
          <w:p>
            <w:pPr>
              <w:pStyle w:val="Compact"/>
              <w:jc w:val="left"/>
            </w:pPr>
            <w:r>
              <w:t xml:space="preserve">Total Duty</w:t>
            </w:r>
          </w:p>
        </w:tc>
        <w:tc>
          <w:tcPr>
            <w:tcW w:w="6973" w:type="dxa"/>
          </w:tcPr>
          <w:p>
            <w:pPr>
              <w:pStyle w:val="Compact"/>
              <w:jc w:val="left"/>
            </w:pPr>
            <w:r>
              <w:t xml:space="preserve">Sum of duty_amount on EntryLines</w:t>
            </w:r>
          </w:p>
        </w:tc>
      </w:tr>
      <w:tr>
        <w:tc>
          <w:tcPr>
            <w:tcW w:w="2386" w:type="dxa"/>
          </w:tcPr>
          <w:p>
            <w:pPr>
              <w:pStyle w:val="Compact"/>
              <w:jc w:val="left"/>
            </w:pPr>
            <w:r>
              <w:t xml:space="preserve">Effective Duty Rate</w:t>
            </w:r>
          </w:p>
        </w:tc>
        <w:tc>
          <w:tcPr>
            <w:tcW w:w="6973" w:type="dxa"/>
          </w:tcPr>
          <w:p>
            <w:pPr>
              <w:pStyle w:val="Compact"/>
              <w:jc w:val="left"/>
            </w:pPr>
            <w:r>
              <w:t xml:space="preserve">Total Duty / Total Entered Value, safe when the value is zero</w:t>
            </w:r>
          </w:p>
        </w:tc>
      </w:tr>
      <w:tr>
        <w:tc>
          <w:tcPr>
            <w:tcW w:w="2386" w:type="dxa"/>
          </w:tcPr>
          <w:p>
            <w:pPr>
              <w:pStyle w:val="Compact"/>
              <w:jc w:val="left"/>
            </w:pPr>
            <w:r>
              <w:t xml:space="preserve">PPV %</w:t>
            </w:r>
          </w:p>
        </w:tc>
        <w:tc>
          <w:tcPr>
            <w:tcW w:w="6973" w:type="dxa"/>
          </w:tcPr>
          <w:p>
            <w:pPr>
              <w:pStyle w:val="Compact"/>
              <w:jc w:val="left"/>
            </w:pPr>
            <w:r>
              <w:t xml:space="preserve">PPV / standard value received, receipts with is_outlier = FALSE only</w:t>
            </w:r>
          </w:p>
        </w:tc>
      </w:tr>
      <w:tr>
        <w:tc>
          <w:tcPr>
            <w:tcW w:w="2386" w:type="dxa"/>
          </w:tcPr>
          <w:p>
            <w:pPr>
              <w:pStyle w:val="Compact"/>
              <w:jc w:val="left"/>
            </w:pPr>
            <w:r>
              <w:t xml:space="preserve">Scenario Impact</w:t>
            </w:r>
          </w:p>
        </w:tc>
        <w:tc>
          <w:tcPr>
            <w:tcW w:w="6973" w:type="dxa"/>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dxa" w:w="9360"/>
        <w:tblLook w:firstRow="1" w:lastRow="0" w:firstColumn="0" w:lastColumn="0" w:noHBand="0" w:noVBand="0" w:val="0020"/>
        <w:jc w:val="start"/>
        <w:tblLayout w:type="fixed"/>
      </w:tblPr>
      <w:tblGrid>
        <w:gridCol w:w="872"/>
        <w:gridCol w:w="872"/>
        <w:gridCol w:w="4739"/>
        <w:gridCol w:w="2875"/>
      </w:tblGrid>
      <w:tr>
        <w:trPr>
          <w:tblHeader w:val="true"/>
        </w:trPr>
        <w:tc>
          <w:tcPr>
            <w:tcW w:w="872" w:type="dxa"/>
          </w:tcPr>
          <w:p>
            <w:pPr>
              <w:pStyle w:val="Compact"/>
              <w:jc w:val="left"/>
            </w:pPr>
            <w:r>
              <w:t xml:space="preserve">Area</w:t>
            </w:r>
          </w:p>
        </w:tc>
        <w:tc>
          <w:tcPr>
            <w:tcW w:w="872" w:type="dxa"/>
          </w:tcPr>
          <w:p>
            <w:pPr>
              <w:pStyle w:val="Compact"/>
              <w:jc w:val="left"/>
            </w:pPr>
            <w:r>
              <w:t xml:space="preserve">Visual</w:t>
            </w:r>
          </w:p>
        </w:tc>
        <w:tc>
          <w:tcPr>
            <w:tcW w:w="4739" w:type="dxa"/>
          </w:tcPr>
          <w:p>
            <w:pPr>
              <w:pStyle w:val="Compact"/>
              <w:jc w:val="left"/>
            </w:pPr>
            <w:r>
              <w:t xml:space="preserve">Fields</w:t>
            </w:r>
          </w:p>
        </w:tc>
        <w:tc>
          <w:tcPr>
            <w:tcW w:w="2875" w:type="dxa"/>
          </w:tcPr>
          <w:p>
            <w:pPr>
              <w:pStyle w:val="Compact"/>
              <w:jc w:val="left"/>
            </w:pPr>
            <w:r>
              <w:t xml:space="preserve">Why</w:t>
            </w:r>
          </w:p>
        </w:tc>
      </w:tr>
      <w:tr>
        <w:tc>
          <w:tcPr>
            <w:tcW w:w="872" w:type="dxa"/>
          </w:tcPr>
          <w:p>
            <w:pPr>
              <w:pStyle w:val="Compact"/>
              <w:jc w:val="left"/>
            </w:pPr>
            <w:r>
              <w:t xml:space="preserve">Top row</w:t>
            </w:r>
          </w:p>
        </w:tc>
        <w:tc>
          <w:tcPr>
            <w:tcW w:w="872" w:type="dxa"/>
          </w:tcPr>
          <w:p>
            <w:pPr>
              <w:pStyle w:val="Compact"/>
              <w:jc w:val="left"/>
            </w:pPr>
            <w:r>
              <w:t xml:space="preserve">Four cards</w:t>
            </w:r>
          </w:p>
        </w:tc>
        <w:tc>
          <w:tcPr>
            <w:tcW w:w="4739" w:type="dxa"/>
          </w:tcPr>
          <w:p>
            <w:pPr>
              <w:pStyle w:val="Compact"/>
              <w:jc w:val="left"/>
            </w:pPr>
            <w:r>
              <w:t xml:space="preserve">Total Duty, Effective Duty Rate, PPV %, Scenario Impact</w:t>
            </w:r>
          </w:p>
        </w:tc>
        <w:tc>
          <w:tcPr>
            <w:tcW w:w="2875" w:type="dxa"/>
          </w:tcPr>
          <w:p>
            <w:pPr>
              <w:pStyle w:val="Compact"/>
              <w:jc w:val="left"/>
            </w:pPr>
            <w:r>
              <w:t xml:space="preserve">The four numbers the Manager asks for first</w:t>
            </w:r>
          </w:p>
        </w:tc>
      </w:tr>
      <w:tr>
        <w:tc>
          <w:tcPr>
            <w:tcW w:w="872" w:type="dxa"/>
          </w:tcPr>
          <w:p>
            <w:pPr>
              <w:pStyle w:val="Compact"/>
              <w:jc w:val="left"/>
            </w:pPr>
            <w:r>
              <w:t xml:space="preserve">Left</w:t>
            </w:r>
          </w:p>
        </w:tc>
        <w:tc>
          <w:tcPr>
            <w:tcW w:w="872" w:type="dxa"/>
          </w:tcPr>
          <w:p>
            <w:pPr>
              <w:pStyle w:val="Compact"/>
              <w:jc w:val="left"/>
            </w:pPr>
            <w:r>
              <w:t xml:space="preserve">Slicers</w:t>
            </w:r>
          </w:p>
        </w:tc>
        <w:tc>
          <w:tcPr>
            <w:tcW w:w="4739" w:type="dxa"/>
          </w:tcPr>
          <w:p>
            <w:pPr>
              <w:pStyle w:val="Compact"/>
              <w:jc w:val="left"/>
            </w:pPr>
            <w:r>
              <w:t xml:space="preserve">Calendar month, EntryLines import_country, Items country_of_origin, ScenarioLines scenario_id</w:t>
            </w:r>
          </w:p>
        </w:tc>
        <w:tc>
          <w:tcPr>
            <w:tcW w:w="2875" w:type="dxa"/>
          </w:tcPr>
          <w:p>
            <w:pPr>
              <w:pStyle w:val="Compact"/>
              <w:jc w:val="left"/>
            </w:pPr>
            <w:r>
              <w:t xml:space="preserve">Filter context practice: see which cards each slicer changes</w:t>
            </w:r>
          </w:p>
        </w:tc>
      </w:tr>
      <w:tr>
        <w:tc>
          <w:tcPr>
            <w:tcW w:w="872" w:type="dxa"/>
          </w:tcPr>
          <w:p>
            <w:pPr>
              <w:pStyle w:val="Compact"/>
              <w:jc w:val="left"/>
            </w:pPr>
            <w:r>
              <w:t xml:space="preserve">Middle left</w:t>
            </w:r>
          </w:p>
        </w:tc>
        <w:tc>
          <w:tcPr>
            <w:tcW w:w="872" w:type="dxa"/>
          </w:tcPr>
          <w:p>
            <w:pPr>
              <w:pStyle w:val="Compact"/>
              <w:jc w:val="left"/>
            </w:pPr>
            <w:r>
              <w:t xml:space="preserve">Clustered bar</w:t>
            </w:r>
          </w:p>
        </w:tc>
        <w:tc>
          <w:tcPr>
            <w:tcW w:w="4739" w:type="dxa"/>
          </w:tcPr>
          <w:p>
            <w:pPr>
              <w:pStyle w:val="Compact"/>
              <w:jc w:val="left"/>
            </w:pPr>
            <w:r>
              <w:t xml:space="preserve">Total Duty by EntryLines hts_chapter</w:t>
            </w:r>
          </w:p>
        </w:tc>
        <w:tc>
          <w:tcPr>
            <w:tcW w:w="2875" w:type="dxa"/>
          </w:tcPr>
          <w:p>
            <w:pPr>
              <w:pStyle w:val="Compact"/>
              <w:jc w:val="left"/>
            </w:pPr>
            <w:r>
              <w:t xml:space="preserve">Where the duty is</w:t>
            </w:r>
          </w:p>
        </w:tc>
      </w:tr>
      <w:tr>
        <w:tc>
          <w:tcPr>
            <w:tcW w:w="872" w:type="dxa"/>
          </w:tcPr>
          <w:p>
            <w:pPr>
              <w:pStyle w:val="Compact"/>
              <w:jc w:val="left"/>
            </w:pPr>
            <w:r>
              <w:t xml:space="preserve">Middle right</w:t>
            </w:r>
          </w:p>
        </w:tc>
        <w:tc>
          <w:tcPr>
            <w:tcW w:w="872" w:type="dxa"/>
          </w:tcPr>
          <w:p>
            <w:pPr>
              <w:pStyle w:val="Compact"/>
              <w:jc w:val="left"/>
            </w:pPr>
            <w:r>
              <w:t xml:space="preserve">Matrix</w:t>
            </w:r>
          </w:p>
        </w:tc>
        <w:tc>
          <w:tcPr>
            <w:tcW w:w="4739" w:type="dxa"/>
          </w:tcPr>
          <w:p>
            <w:pPr>
              <w:pStyle w:val="Compact"/>
              <w:jc w:val="left"/>
            </w:pPr>
            <w:r>
              <w:t xml:space="preserve">EntryLines hts_chapter rows, EntryLines origin columns, Total Duty and Effective Duty Rate</w:t>
            </w:r>
          </w:p>
        </w:tc>
        <w:tc>
          <w:tcPr>
            <w:tcW w:w="2875" w:type="dxa"/>
          </w:tcPr>
          <w:p>
            <w:pPr>
              <w:pStyle w:val="Compact"/>
              <w:jc w:val="left"/>
            </w:pPr>
            <w:r>
              <w:t xml:space="preserve">Exercise 2 in one visual</w:t>
            </w:r>
          </w:p>
        </w:tc>
      </w:tr>
      <w:tr>
        <w:tc>
          <w:tcPr>
            <w:tcW w:w="872" w:type="dxa"/>
          </w:tcPr>
          <w:p>
            <w:pPr>
              <w:pStyle w:val="Compact"/>
              <w:jc w:val="left"/>
            </w:pPr>
            <w:r>
              <w:t xml:space="preserve">Bottom left</w:t>
            </w:r>
          </w:p>
        </w:tc>
        <w:tc>
          <w:tcPr>
            <w:tcW w:w="872" w:type="dxa"/>
          </w:tcPr>
          <w:p>
            <w:pPr>
              <w:pStyle w:val="Compact"/>
              <w:jc w:val="left"/>
            </w:pPr>
            <w:r>
              <w:t xml:space="preserve">Line chart</w:t>
            </w:r>
          </w:p>
        </w:tc>
        <w:tc>
          <w:tcPr>
            <w:tcW w:w="4739" w:type="dxa"/>
          </w:tcPr>
          <w:p>
            <w:pPr>
              <w:pStyle w:val="Compact"/>
              <w:jc w:val="left"/>
            </w:pPr>
            <w:r>
              <w:t xml:space="preserve">PPV % by month</w:t>
            </w:r>
          </w:p>
        </w:tc>
        <w:tc>
          <w:tcPr>
            <w:tcW w:w="2875" w:type="dxa"/>
          </w:tcPr>
          <w:p>
            <w:pPr>
              <w:pStyle w:val="Compact"/>
              <w:jc w:val="left"/>
            </w:pPr>
            <w:r>
              <w:t xml:space="preserve">Shows when PPV moved</w:t>
            </w:r>
          </w:p>
        </w:tc>
      </w:tr>
      <w:tr>
        <w:tc>
          <w:tcPr>
            <w:tcW w:w="872" w:type="dxa"/>
          </w:tcPr>
          <w:p>
            <w:pPr>
              <w:pStyle w:val="Compact"/>
              <w:jc w:val="left"/>
            </w:pPr>
            <w:r>
              <w:t xml:space="preserve">Bottom right</w:t>
            </w:r>
          </w:p>
        </w:tc>
        <w:tc>
          <w:tcPr>
            <w:tcW w:w="872" w:type="dxa"/>
          </w:tcPr>
          <w:p>
            <w:pPr>
              <w:pStyle w:val="Compact"/>
              <w:jc w:val="left"/>
            </w:pPr>
            <w:r>
              <w:t xml:space="preserve">Table</w:t>
            </w:r>
          </w:p>
        </w:tc>
        <w:tc>
          <w:tcPr>
            <w:tcW w:w="4739" w:type="dxa"/>
          </w:tcPr>
          <w:p>
            <w:pPr>
              <w:pStyle w:val="Compact"/>
              <w:jc w:val="left"/>
            </w:pPr>
            <w:r>
              <w:t xml:space="preserve">Scenario Impact by scenario_id and country_of_origin</w:t>
            </w:r>
          </w:p>
        </w:tc>
        <w:tc>
          <w:tcPr>
            <w:tcW w:w="2875" w:type="dxa"/>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review-guide-for-the-senior"/>
    <w:p>
      <w:pPr>
        <w:pStyle w:val="Heading2"/>
      </w:pPr>
      <w:r>
        <w:t xml:space="preserve">Review guide for the Senior</w:t>
      </w:r>
    </w:p>
    <w:tbl>
      <w:tblPr>
        <w:tblStyle w:val="Table"/>
        <w:tblW w:type="dxa" w:w="9360"/>
        <w:tblLook w:firstRow="1" w:lastRow="0" w:firstColumn="0" w:lastColumn="0" w:noHBand="0" w:noVBand="0" w:val="0020"/>
        <w:jc w:val="start"/>
        <w:tblLayout w:type="fixed"/>
      </w:tblPr>
      <w:tblGrid>
        <w:gridCol w:w="2210"/>
        <w:gridCol w:w="7149"/>
      </w:tblGrid>
      <w:tr>
        <w:trPr>
          <w:tblHeader w:val="true"/>
        </w:trPr>
        <w:tc>
          <w:tcPr>
            <w:tcW w:w="2210" w:type="dxa"/>
          </w:tcPr>
          <w:p>
            <w:pPr>
              <w:pStyle w:val="Compact"/>
              <w:jc w:val="left"/>
            </w:pPr>
            <w:r>
              <w:t xml:space="preserve">Criterion</w:t>
            </w:r>
          </w:p>
        </w:tc>
        <w:tc>
          <w:tcPr>
            <w:tcW w:w="7149" w:type="dxa"/>
          </w:tcPr>
          <w:p>
            <w:pPr>
              <w:pStyle w:val="Compact"/>
              <w:jc w:val="left"/>
            </w:pPr>
            <w:r>
              <w:t xml:space="preserve">What good looks like</w:t>
            </w:r>
          </w:p>
        </w:tc>
      </w:tr>
      <w:tr>
        <w:tc>
          <w:tcPr>
            <w:tcW w:w="2210" w:type="dxa"/>
          </w:tcPr>
          <w:p>
            <w:pPr>
              <w:pStyle w:val="Compact"/>
              <w:jc w:val="left"/>
            </w:pPr>
            <w:r>
              <w:t xml:space="preserve">Correct</w:t>
            </w:r>
          </w:p>
        </w:tc>
        <w:tc>
          <w:tcPr>
            <w:tcW w:w="7149" w:type="dxa"/>
          </w:tcPr>
          <w:p>
            <w:pPr>
              <w:pStyle w:val="Compact"/>
              <w:jc w:val="left"/>
            </w:pPr>
            <w:r>
              <w:t xml:space="preserve">Numbers match the answer key, or the difference is explained and the explanation is right</w:t>
            </w:r>
          </w:p>
        </w:tc>
      </w:tr>
      <w:tr>
        <w:tc>
          <w:tcPr>
            <w:tcW w:w="2210" w:type="dxa"/>
          </w:tcPr>
          <w:p>
            <w:pPr>
              <w:pStyle w:val="Compact"/>
              <w:jc w:val="left"/>
            </w:pPr>
            <w:r>
              <w:t xml:space="preserve">Controlled</w:t>
            </w:r>
          </w:p>
        </w:tc>
        <w:tc>
          <w:tcPr>
            <w:tcW w:w="7149" w:type="dxa"/>
          </w:tcPr>
          <w:p>
            <w:pPr>
              <w:pStyle w:val="Compact"/>
              <w:jc w:val="left"/>
            </w:pPr>
            <w:r>
              <w:t xml:space="preserve">Row counts recorded before and after each join; the clean control total ties across exercises</w:t>
            </w:r>
          </w:p>
        </w:tc>
      </w:tr>
      <w:tr>
        <w:tc>
          <w:tcPr>
            <w:tcW w:w="2210" w:type="dxa"/>
          </w:tcPr>
          <w:p>
            <w:pPr>
              <w:pStyle w:val="Compact"/>
              <w:jc w:val="left"/>
            </w:pPr>
            <w:r>
              <w:t xml:space="preserve">Readable</w:t>
            </w:r>
          </w:p>
        </w:tc>
        <w:tc>
          <w:tcPr>
            <w:tcW w:w="7149" w:type="dxa"/>
          </w:tcPr>
          <w:p>
            <w:pPr>
              <w:pStyle w:val="Compact"/>
              <w:jc w:val="left"/>
            </w:pPr>
            <w:r>
              <w:t xml:space="preserve">Header comments, named CTEs or Power Query steps, no unexplained magic numbers</w:t>
            </w:r>
          </w:p>
        </w:tc>
      </w:tr>
      <w:tr>
        <w:tc>
          <w:tcPr>
            <w:tcW w:w="2210" w:type="dxa"/>
          </w:tcPr>
          <w:p>
            <w:pPr>
              <w:pStyle w:val="Compact"/>
              <w:jc w:val="left"/>
            </w:pPr>
            <w:r>
              <w:t xml:space="preserve">Careful with NULLs and grain</w:t>
            </w:r>
          </w:p>
        </w:tc>
        <w:tc>
          <w:tcPr>
            <w:tcW w:w="7149" w:type="dxa"/>
          </w:tcPr>
          <w:p>
            <w:pPr>
              <w:pStyle w:val="Compact"/>
              <w:jc w:val="left"/>
            </w:pPr>
            <w:r>
              <w:t xml:space="preserve">Missing HTS, orphans and duplicates are counted and reported, not silently dropped</w:t>
            </w:r>
          </w:p>
        </w:tc>
      </w:tr>
      <w:tr>
        <w:tc>
          <w:tcPr>
            <w:tcW w:w="2210" w:type="dxa"/>
          </w:tcPr>
          <w:p>
            <w:pPr>
              <w:pStyle w:val="Compact"/>
              <w:jc w:val="left"/>
            </w:pPr>
            <w:r>
              <w:t xml:space="preserve">Business sense</w:t>
            </w:r>
          </w:p>
        </w:tc>
        <w:tc>
          <w:tcPr>
            <w:tcW w:w="7149" w:type="dxa"/>
          </w:tcPr>
          <w:p>
            <w:pPr>
              <w:pStyle w:val="Compact"/>
              <w:jc w:val="left"/>
            </w:pPr>
            <w:r>
              <w:t xml:space="preserve">Each result has a "so what" for Research or Standard Cost and a sensible next step</w:t>
            </w:r>
          </w:p>
        </w:tc>
      </w:tr>
      <w:tr>
        <w:tc>
          <w:tcPr>
            <w:tcW w:w="2210" w:type="dxa"/>
          </w:tcPr>
          <w:p>
            <w:pPr>
              <w:pStyle w:val="Compact"/>
              <w:jc w:val="left"/>
            </w:pPr>
            <w:r>
              <w:t xml:space="preserve">Boundaries</w:t>
            </w:r>
          </w:p>
        </w:tc>
        <w:tc>
          <w:tcPr>
            <w:tcW w:w="7149" w:type="dxa"/>
          </w:tcPr>
          <w:p>
            <w:pPr>
              <w:pStyle w:val="Compact"/>
              <w:jc w:val="left"/>
            </w:pPr>
            <w:r>
              <w:t xml:space="preserve">No broker contact, no system writes, corrections escalated to the Senior</w:t>
            </w:r>
          </w:p>
        </w:tc>
      </w:tr>
    </w:tbl>
    <w:bookmarkEnd w:id="38"/>
    <w:bookmarkStart w:id="39" w:name="related-files"/>
    <w:p>
      <w:pPr>
        <w:pStyle w:val="Heading2"/>
      </w:pPr>
      <w:r>
        <w:t xml:space="preserve">Related files</w:t>
      </w:r>
    </w:p>
    <w:p>
      <w:pPr>
        <w:numPr>
          <w:ilvl w:val="0"/>
          <w:numId w:val="1027"/>
        </w:numPr>
        <w:pStyle w:val="Compact"/>
      </w:pPr>
      <w:r>
        <w:t xml:space="preserve">In the onboarding folder: Practice-Data.xlsx, the practice-data folder (CSVs and load_practice_data.sql), Tariff-Impact-Model-Template.xlsx, and BSA-Onboarding.apkg (sub-deck "03 BSA Craft &amp; Data": SQL, warehouse, Power BI and BSA craft cards)</w:t>
      </w:r>
    </w:p>
    <w:p>
      <w:pPr>
        <w:numPr>
          <w:ilvl w:val="0"/>
          <w:numId w:val="1027"/>
        </w:numPr>
        <w:pStyle w:val="Compact"/>
      </w:pPr>
      <w:r>
        <w:t xml:space="preserve">Trainer-only until the day-30 review: the answer key and the data generator script ([COMPANY: trainer-only location])</w:t>
      </w:r>
    </w:p>
    <w:p>
      <w:pPr>
        <w:numPr>
          <w:ilvl w:val="0"/>
          <w:numId w:val="1027"/>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27"/>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7"/>
        </w:numPr>
        <w:pStyle w:val="Compact"/>
      </w:pPr>
      <w:r>
        <w:rPr>
          <w:rStyle w:val="VerbatimChar"/>
        </w:rPr>
        <w:t xml:space="preserve">docs/05-time-management.md</w:t>
      </w:r>
      <w:r>
        <w:t xml:space="preserve"> </w:t>
      </w:r>
      <w:r>
        <w:t xml:space="preserve">(stuck rule, question log, office hours)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2026-10-08T20:57:13Z</dcterms:created>
  <dcterms:modified xsi:type="dcterms:W3CDTF">2026-10-08T20:57:13Z</dcterms:modified>
</cp:coreProperties>
</file>

<file path=docProps/custom.xml><?xml version="1.0" encoding="utf-8"?>
<Properties xmlns="http://schemas.openxmlformats.org/officeDocument/2006/custom-properties" xmlns:vt="http://schemas.openxmlformats.org/officeDocument/2006/docPropsVTypes"/>
</file>