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1" w:name="X194ddb9c623d16b340f199af77bf0428c303587"/>
    <w:p>
      <w:pPr>
        <w:pStyle w:val="Heading1"/>
      </w:pPr>
      <w:r>
        <w:t xml:space="preserve">Current Tariff Landscape: US, Canada and Mexico</w:t>
      </w:r>
    </w:p>
    <w:p>
      <w:pPr>
        <w:pStyle w:val="FirstParagraph"/>
      </w:pPr>
      <w:r>
        <w:t xml:space="preserve">Last updated: 2026-10-08 · Owner: BSA Manager</w:t>
      </w:r>
    </w:p>
    <w:p>
      <w:pPr>
        <w:numPr>
          <w:ilvl w:val="0"/>
          <w:numId w:val="1001"/>
        </w:numPr>
        <w:pStyle w:val="Compact"/>
      </w:pPr>
      <w:r>
        <w:rPr>
          <w:bCs/>
          <w:b/>
        </w:rPr>
        <w:t xml:space="preserve">Purpose:</w:t>
      </w:r>
      <w:r>
        <w:t xml:space="preserve"> </w:t>
      </w:r>
      <w:r>
        <w:t xml:space="preserve">Part 1 is a dated snapshot of the tariff actions that can affect our imports into the US, Canada and Mexico. It is the only document in this program allowed to state the current status of a tariff action. Part 2 is the durable method for researching a new tariff action, which is the core skill of the Research track (M5R).</w:t>
      </w:r>
    </w:p>
    <w:p>
      <w:pPr>
        <w:numPr>
          <w:ilvl w:val="0"/>
          <w:numId w:val="1001"/>
        </w:numPr>
        <w:pStyle w:val="Compact"/>
      </w:pPr>
      <w:r>
        <w:rPr>
          <w:bCs/>
          <w:b/>
        </w:rPr>
        <w:t xml:space="preserve">Who uses it:</w:t>
      </w:r>
      <w:r>
        <w:t xml:space="preserve"> </w:t>
      </w:r>
      <w:r>
        <w:t xml:space="preserve">Hire A (Research) reads it, keeps Part 1 current every week and follows Part 2 as maker. Hire B (Standard Cost) reads Part 1 for context and fee inputs (US-9 for the W4 landed-cost rebuild), but builds costs only from checked Tariff-Impact Briefs. The Senior checks updates and briefs. The Manager owns the document, runs the company exposure checks in 1.1 and approves anything sent to the business.</w:t>
      </w:r>
    </w:p>
    <w:p>
      <w:pPr>
        <w:numPr>
          <w:ilvl w:val="0"/>
          <w:numId w:val="1001"/>
        </w:numPr>
        <w:pStyle w:val="Compact"/>
      </w:pPr>
      <w:r>
        <w:rPr>
          <w:bCs/>
          <w:b/>
        </w:rPr>
        <w:t xml:space="preserve">When:</w:t>
      </w:r>
      <w:r>
        <w:t xml:space="preserve"> </w:t>
      </w:r>
      <w:r>
        <w:t xml:space="preserve">Hire A pre-read on W2 Mon 10/26 (15:00-16:45); monitoring set-up on W2 Fri 10/30 (14:30-16:00); pre-work for the W3 joint session "Reading a tariff action"; the open-and-confirm checks in 1.1 during W3 self-study (the M5R kickoff week); every M5R research item after that. Hire A takes over the Friday update of Part 1 in W5 (</w:t>
      </w:r>
      <w:r>
        <w:rPr>
          <w:rStyle w:val="VerbatimChar"/>
        </w:rPr>
        <w:t xml:space="preserve">docs/01-30-60-90-plan.md</w:t>
      </w:r>
      <w:r>
        <w:t xml:space="preserve">); until then the Manager does it.</w:t>
      </w:r>
    </w:p>
    <w:bookmarkStart w:id="20" w:name="what-changed-most-recently"/>
    <w:p>
      <w:pPr>
        <w:pStyle w:val="Heading2"/>
      </w:pPr>
      <w:r>
        <w:t xml:space="preserve">What changed most recently</w:t>
      </w:r>
    </w:p>
    <w:p>
      <w:pPr>
        <w:pStyle w:val="FirstParagraph"/>
      </w:pPr>
      <w:r>
        <w:t xml:space="preserve">Ten recent changes that matter most for us, newest first. The third column names the Part 1 row with the details and sources.</w:t>
      </w:r>
    </w:p>
    <w:tbl>
      <w:tblPr>
        <w:tblStyle w:val="Table"/>
        <w:tblW w:type="dxa" w:w="9360"/>
        <w:tblLook w:firstRow="1" w:lastRow="0" w:firstColumn="0" w:lastColumn="0" w:noHBand="0" w:noVBand="0" w:val="0020"/>
        <w:jc w:val="start"/>
        <w:tblLayout w:type="fixed"/>
      </w:tblPr>
      <w:tblGrid>
        <w:gridCol w:w="905"/>
        <w:gridCol w:w="5648"/>
        <w:gridCol w:w="905"/>
        <w:gridCol w:w="1900"/>
      </w:tblGrid>
      <w:tr>
        <w:trPr>
          <w:tblHeader w:val="true"/>
        </w:trPr>
        <w:tc>
          <w:tcPr>
            <w:tcW w:w="905" w:type="dxa"/>
          </w:tcPr>
          <w:p>
            <w:pPr>
              <w:pStyle w:val="Compact"/>
              <w:jc w:val="left"/>
            </w:pPr>
            <w:r>
              <w:t xml:space="preserve">Date</w:t>
            </w:r>
          </w:p>
        </w:tc>
        <w:tc>
          <w:tcPr>
            <w:tcW w:w="5648" w:type="dxa"/>
          </w:tcPr>
          <w:p>
            <w:pPr>
              <w:pStyle w:val="Compact"/>
              <w:jc w:val="left"/>
            </w:pPr>
            <w:r>
              <w:t xml:space="preserve">What changed</w:t>
            </w:r>
          </w:p>
        </w:tc>
        <w:tc>
          <w:tcPr>
            <w:tcW w:w="905" w:type="dxa"/>
          </w:tcPr>
          <w:p>
            <w:pPr>
              <w:pStyle w:val="Compact"/>
              <w:jc w:val="left"/>
            </w:pPr>
            <w:r>
              <w:t xml:space="preserve">Part 1 row</w:t>
            </w:r>
          </w:p>
        </w:tc>
        <w:tc>
          <w:tcPr>
            <w:tcW w:w="1900" w:type="dxa"/>
          </w:tcPr>
          <w:p>
            <w:pPr>
              <w:pStyle w:val="Compact"/>
              <w:jc w:val="left"/>
            </w:pPr>
            <w:r>
              <w:t xml:space="preserve">Confidence</w:t>
            </w:r>
          </w:p>
        </w:tc>
      </w:tr>
      <w:tr>
        <w:tc>
          <w:tcPr>
            <w:tcW w:w="905" w:type="dxa"/>
          </w:tcPr>
          <w:p>
            <w:pPr>
              <w:pStyle w:val="Compact"/>
              <w:jc w:val="left"/>
            </w:pPr>
            <w:r>
              <w:t xml:space="preserve">2026-10-07</w:t>
            </w:r>
          </w:p>
        </w:tc>
        <w:tc>
          <w:tcPr>
            <w:tcW w:w="5648" w:type="dxa"/>
          </w:tcPr>
          <w:p>
            <w:pPr>
              <w:pStyle w:val="Compact"/>
              <w:jc w:val="left"/>
            </w:pPr>
            <w:r>
              <w:t xml:space="preserve">USTR keeps the 2018 China Section 301 actions (Lists 1 to 4A) in effect past their four-year anniversaries; the second four-year review continues</w:t>
            </w:r>
          </w:p>
        </w:tc>
        <w:tc>
          <w:tcPr>
            <w:tcW w:w="905" w:type="dxa"/>
          </w:tcPr>
          <w:p>
            <w:pPr>
              <w:pStyle w:val="Compact"/>
              <w:jc w:val="left"/>
            </w:pPr>
            <w:r>
              <w:t xml:space="preserve">US-4</w:t>
            </w:r>
          </w:p>
        </w:tc>
        <w:tc>
          <w:tcPr>
            <w:tcW w:w="1900" w:type="dxa"/>
          </w:tcPr>
          <w:p>
            <w:pPr>
              <w:pStyle w:val="Compact"/>
              <w:jc w:val="left"/>
            </w:pPr>
            <w:r>
              <w:t xml:space="preserve">Confirmed</w:t>
            </w:r>
          </w:p>
        </w:tc>
      </w:tr>
      <w:tr>
        <w:tc>
          <w:tcPr>
            <w:tcW w:w="905" w:type="dxa"/>
          </w:tcPr>
          <w:p>
            <w:pPr>
              <w:pStyle w:val="Compact"/>
              <w:jc w:val="left"/>
            </w:pPr>
            <w:r>
              <w:t xml:space="preserve">2026-10-06</w:t>
            </w:r>
          </w:p>
        </w:tc>
        <w:tc>
          <w:tcPr>
            <w:tcW w:w="5648" w:type="dxa"/>
          </w:tcPr>
          <w:p>
            <w:pPr>
              <w:pStyle w:val="Compact"/>
              <w:jc w:val="left"/>
            </w:pPr>
            <w:r>
              <w:t xml:space="preserve">CAPE Phase 3 (IEEPA refunds on finally liquidated entries, Court of International Trade plaintiffs only) was scheduled to open; launch not confirmed</w:t>
            </w:r>
          </w:p>
        </w:tc>
        <w:tc>
          <w:tcPr>
            <w:tcW w:w="905" w:type="dxa"/>
          </w:tcPr>
          <w:p>
            <w:pPr>
              <w:pStyle w:val="Compact"/>
              <w:jc w:val="left"/>
            </w:pPr>
            <w:r>
              <w:t xml:space="preserve">US-1</w:t>
            </w:r>
          </w:p>
        </w:tc>
        <w:tc>
          <w:tcPr>
            <w:tcW w:w="1900" w:type="dxa"/>
          </w:tcPr>
          <w:p>
            <w:pPr>
              <w:pStyle w:val="Compact"/>
              <w:jc w:val="left"/>
            </w:pPr>
            <w:r>
              <w:t xml:space="preserve">Unclear</w:t>
            </w:r>
          </w:p>
        </w:tc>
      </w:tr>
      <w:tr>
        <w:tc>
          <w:tcPr>
            <w:tcW w:w="905" w:type="dxa"/>
          </w:tcPr>
          <w:p>
            <w:pPr>
              <w:pStyle w:val="Compact"/>
              <w:jc w:val="left"/>
            </w:pPr>
            <w:r>
              <w:t xml:space="preserve">2026-10-05</w:t>
            </w:r>
          </w:p>
        </w:tc>
        <w:tc>
          <w:tcPr>
            <w:tcW w:w="5648" w:type="dxa"/>
          </w:tcPr>
          <w:p>
            <w:pPr>
              <w:pStyle w:val="Compact"/>
              <w:jc w:val="left"/>
            </w:pPr>
            <w:r>
              <w:t xml:space="preserve">USTR asks for comments for the 2027 USMCA annual joint review; deadline 2027-01-12</w:t>
            </w:r>
          </w:p>
        </w:tc>
        <w:tc>
          <w:tcPr>
            <w:tcW w:w="905" w:type="dxa"/>
          </w:tcPr>
          <w:p>
            <w:pPr>
              <w:pStyle w:val="Compact"/>
              <w:jc w:val="left"/>
            </w:pPr>
            <w:r>
              <w:t xml:space="preserve">1.5</w:t>
            </w:r>
          </w:p>
        </w:tc>
        <w:tc>
          <w:tcPr>
            <w:tcW w:w="1900" w:type="dxa"/>
          </w:tcPr>
          <w:p>
            <w:pPr>
              <w:pStyle w:val="Compact"/>
              <w:jc w:val="left"/>
            </w:pPr>
            <w:r>
              <w:t xml:space="preserve">Confirmed</w:t>
            </w:r>
          </w:p>
        </w:tc>
      </w:tr>
      <w:tr>
        <w:tc>
          <w:tcPr>
            <w:tcW w:w="905" w:type="dxa"/>
          </w:tcPr>
          <w:p>
            <w:pPr>
              <w:pStyle w:val="Compact"/>
              <w:jc w:val="left"/>
            </w:pPr>
            <w:r>
              <w:t xml:space="preserve">2026-10-02</w:t>
            </w:r>
          </w:p>
        </w:tc>
        <w:tc>
          <w:tcPr>
            <w:tcW w:w="5648" w:type="dxa"/>
          </w:tcPr>
          <w:p>
            <w:pPr>
              <w:pStyle w:val="Compact"/>
              <w:jc w:val="left"/>
            </w:pPr>
            <w:r>
              <w:t xml:space="preserve">Mexico: electronic value declaration (MVE) filing deadline extended to 2026-10-31; mandatory transmission by regime from 2026-11-01 to 2027-01-15 (advance version of the third 2026 RGCE modifying resolution)</w:t>
            </w:r>
          </w:p>
        </w:tc>
        <w:tc>
          <w:tcPr>
            <w:tcW w:w="905" w:type="dxa"/>
          </w:tcPr>
          <w:p>
            <w:pPr>
              <w:pStyle w:val="Compact"/>
              <w:jc w:val="left"/>
            </w:pPr>
            <w:r>
              <w:t xml:space="preserve">1.4</w:t>
            </w:r>
          </w:p>
        </w:tc>
        <w:tc>
          <w:tcPr>
            <w:tcW w:w="1900" w:type="dxa"/>
          </w:tcPr>
          <w:p>
            <w:pPr>
              <w:pStyle w:val="Compact"/>
              <w:jc w:val="left"/>
            </w:pPr>
            <w:r>
              <w:t xml:space="preserve">Confirmed (announced dates); Unclear (final DOF text)</w:t>
            </w:r>
          </w:p>
        </w:tc>
      </w:tr>
      <w:tr>
        <w:tc>
          <w:tcPr>
            <w:tcW w:w="905" w:type="dxa"/>
          </w:tcPr>
          <w:p>
            <w:pPr>
              <w:pStyle w:val="Compact"/>
              <w:jc w:val="left"/>
            </w:pPr>
            <w:r>
              <w:t xml:space="preserve">2026-10-01</w:t>
            </w:r>
          </w:p>
        </w:tc>
        <w:tc>
          <w:tcPr>
            <w:tcW w:w="5648" w:type="dxa"/>
          </w:tcPr>
          <w:p>
            <w:pPr>
              <w:pStyle w:val="Compact"/>
              <w:jc w:val="left"/>
            </w:pPr>
            <w:r>
              <w:t xml:space="preserve">Fiscal year 2027 MPF minimum $34.58 and maximum $670.86 in effect</w:t>
            </w:r>
          </w:p>
        </w:tc>
        <w:tc>
          <w:tcPr>
            <w:tcW w:w="905" w:type="dxa"/>
          </w:tcPr>
          <w:p>
            <w:pPr>
              <w:pStyle w:val="Compact"/>
              <w:jc w:val="left"/>
            </w:pPr>
            <w:r>
              <w:t xml:space="preserve">US-9</w:t>
            </w:r>
          </w:p>
        </w:tc>
        <w:tc>
          <w:tcPr>
            <w:tcW w:w="1900" w:type="dxa"/>
          </w:tcPr>
          <w:p>
            <w:pPr>
              <w:pStyle w:val="Compact"/>
              <w:jc w:val="left"/>
            </w:pPr>
            <w:r>
              <w:t xml:space="preserve">Confirmed</w:t>
            </w:r>
          </w:p>
        </w:tc>
      </w:tr>
      <w:tr>
        <w:tc>
          <w:tcPr>
            <w:tcW w:w="905" w:type="dxa"/>
          </w:tcPr>
          <w:p>
            <w:pPr>
              <w:pStyle w:val="Compact"/>
              <w:jc w:val="left"/>
            </w:pPr>
            <w:r>
              <w:t xml:space="preserve">2026-09-29</w:t>
            </w:r>
          </w:p>
        </w:tc>
        <w:tc>
          <w:tcPr>
            <w:tcW w:w="5648" w:type="dxa"/>
          </w:tcPr>
          <w:p>
            <w:pPr>
              <w:pStyle w:val="Compact"/>
              <w:jc w:val="left"/>
            </w:pPr>
            <w:r>
              <w:t xml:space="preserve">US import ban on some listed Canadian products (Section 338); Section 232 pharmaceutical duties now apply to all companies; Mexico publishes the list of cancelled IMMEX programs</w:t>
            </w:r>
          </w:p>
        </w:tc>
        <w:tc>
          <w:tcPr>
            <w:tcW w:w="905" w:type="dxa"/>
          </w:tcPr>
          <w:p>
            <w:pPr>
              <w:pStyle w:val="Compact"/>
              <w:jc w:val="left"/>
            </w:pPr>
            <w:r>
              <w:t xml:space="preserve">US-5, US-3, 1.4</w:t>
            </w:r>
          </w:p>
        </w:tc>
        <w:tc>
          <w:tcPr>
            <w:tcW w:w="1900" w:type="dxa"/>
          </w:tcPr>
          <w:p>
            <w:pPr>
              <w:pStyle w:val="Compact"/>
              <w:jc w:val="left"/>
            </w:pPr>
            <w:r>
              <w:t xml:space="preserve">Confirmed (ban, pharmaceuticals); Reported (IMMEX list)</w:t>
            </w:r>
          </w:p>
        </w:tc>
      </w:tr>
      <w:tr>
        <w:tc>
          <w:tcPr>
            <w:tcW w:w="905" w:type="dxa"/>
          </w:tcPr>
          <w:p>
            <w:pPr>
              <w:pStyle w:val="Compact"/>
              <w:jc w:val="left"/>
            </w:pPr>
            <w:r>
              <w:t xml:space="preserve">2026-09-15</w:t>
            </w:r>
          </w:p>
        </w:tc>
        <w:tc>
          <w:tcPr>
            <w:tcW w:w="5648" w:type="dxa"/>
          </w:tcPr>
          <w:p>
            <w:pPr>
              <w:pStyle w:val="Compact"/>
              <w:jc w:val="left"/>
            </w:pPr>
            <w:r>
              <w:t xml:space="preserve">Section 338 product lists changed: 122 HTS lines added, some removed; only dairy-list goods may still claim the Section 232 exemption line</w:t>
            </w:r>
          </w:p>
        </w:tc>
        <w:tc>
          <w:tcPr>
            <w:tcW w:w="905" w:type="dxa"/>
          </w:tcPr>
          <w:p>
            <w:pPr>
              <w:pStyle w:val="Compact"/>
              <w:jc w:val="left"/>
            </w:pPr>
            <w:r>
              <w:t xml:space="preserve">US-5, US-8</w:t>
            </w:r>
          </w:p>
        </w:tc>
        <w:tc>
          <w:tcPr>
            <w:tcW w:w="1900" w:type="dxa"/>
          </w:tcPr>
          <w:p>
            <w:pPr>
              <w:pStyle w:val="Compact"/>
              <w:jc w:val="left"/>
            </w:pPr>
            <w:r>
              <w:t xml:space="preserve">Confirmed</w:t>
            </w:r>
          </w:p>
        </w:tc>
      </w:tr>
      <w:tr>
        <w:tc>
          <w:tcPr>
            <w:tcW w:w="905" w:type="dxa"/>
          </w:tcPr>
          <w:p>
            <w:pPr>
              <w:pStyle w:val="Compact"/>
              <w:jc w:val="left"/>
            </w:pPr>
            <w:r>
              <w:t xml:space="preserve">2026-09-08</w:t>
            </w:r>
          </w:p>
        </w:tc>
        <w:tc>
          <w:tcPr>
            <w:tcW w:w="5648" w:type="dxa"/>
          </w:tcPr>
          <w:p>
            <w:pPr>
              <w:pStyle w:val="Compact"/>
              <w:jc w:val="left"/>
            </w:pPr>
            <w:r>
              <w:t xml:space="preserve">Canada: United States Surtax Order (2026) at 15%, 25% or 50% on about C$27.6 billion of US goods; steel and aluminum counter-tariff raised from 25% to 50% for most goods</w:t>
            </w:r>
          </w:p>
        </w:tc>
        <w:tc>
          <w:tcPr>
            <w:tcW w:w="905" w:type="dxa"/>
          </w:tcPr>
          <w:p>
            <w:pPr>
              <w:pStyle w:val="Compact"/>
              <w:jc w:val="left"/>
            </w:pPr>
            <w:r>
              <w:t xml:space="preserve">1.3</w:t>
            </w:r>
          </w:p>
        </w:tc>
        <w:tc>
          <w:tcPr>
            <w:tcW w:w="1900" w:type="dxa"/>
          </w:tcPr>
          <w:p>
            <w:pPr>
              <w:pStyle w:val="Compact"/>
              <w:jc w:val="left"/>
            </w:pPr>
            <w:r>
              <w:t xml:space="preserve">Confirmed</w:t>
            </w:r>
          </w:p>
        </w:tc>
      </w:tr>
      <w:tr>
        <w:tc>
          <w:tcPr>
            <w:tcW w:w="905" w:type="dxa"/>
          </w:tcPr>
          <w:p>
            <w:pPr>
              <w:pStyle w:val="Compact"/>
              <w:jc w:val="left"/>
            </w:pPr>
            <w:r>
              <w:t xml:space="preserve">2026-09-03</w:t>
            </w:r>
          </w:p>
        </w:tc>
        <w:tc>
          <w:tcPr>
            <w:tcW w:w="5648" w:type="dxa"/>
          </w:tcPr>
          <w:p>
            <w:pPr>
              <w:pStyle w:val="Compact"/>
              <w:jc w:val="left"/>
            </w:pPr>
            <w:r>
              <w:t xml:space="preserve">Section 232 duties on drones (UAS) and components start</w:t>
            </w:r>
          </w:p>
        </w:tc>
        <w:tc>
          <w:tcPr>
            <w:tcW w:w="905" w:type="dxa"/>
          </w:tcPr>
          <w:p>
            <w:pPr>
              <w:pStyle w:val="Compact"/>
              <w:jc w:val="left"/>
            </w:pPr>
            <w:r>
              <w:t xml:space="preserve">US-3</w:t>
            </w:r>
          </w:p>
        </w:tc>
        <w:tc>
          <w:tcPr>
            <w:tcW w:w="1900" w:type="dxa"/>
          </w:tcPr>
          <w:p>
            <w:pPr>
              <w:pStyle w:val="Compact"/>
              <w:jc w:val="left"/>
            </w:pPr>
            <w:r>
              <w:t xml:space="preserve">Confirmed</w:t>
            </w:r>
          </w:p>
        </w:tc>
      </w:tr>
      <w:tr>
        <w:tc>
          <w:tcPr>
            <w:tcW w:w="905" w:type="dxa"/>
          </w:tcPr>
          <w:p>
            <w:pPr>
              <w:pStyle w:val="Compact"/>
              <w:jc w:val="left"/>
            </w:pPr>
            <w:r>
              <w:t xml:space="preserve">2026-09-01</w:t>
            </w:r>
          </w:p>
        </w:tc>
        <w:tc>
          <w:tcPr>
            <w:tcW w:w="5648" w:type="dxa"/>
          </w:tcPr>
          <w:p>
            <w:pPr>
              <w:pStyle w:val="Compact"/>
              <w:jc w:val="left"/>
            </w:pPr>
            <w:r>
              <w:t xml:space="preserve">Mexico cancels IMMEX programs that did not file their 2025 annual report</w:t>
            </w:r>
          </w:p>
        </w:tc>
        <w:tc>
          <w:tcPr>
            <w:tcW w:w="905" w:type="dxa"/>
          </w:tcPr>
          <w:p>
            <w:pPr>
              <w:pStyle w:val="Compact"/>
              <w:jc w:val="left"/>
            </w:pPr>
            <w:r>
              <w:t xml:space="preserve">1.4</w:t>
            </w:r>
          </w:p>
        </w:tc>
        <w:tc>
          <w:tcPr>
            <w:tcW w:w="1900" w:type="dxa"/>
          </w:tcPr>
          <w:p>
            <w:pPr>
              <w:pStyle w:val="Compact"/>
              <w:jc w:val="left"/>
            </w:pPr>
            <w:r>
              <w:t xml:space="preserve">Confirmed</w:t>
            </w:r>
          </w:p>
        </w:tc>
      </w:tr>
    </w:tbl>
    <w:p>
      <w:pPr>
        <w:pStyle w:val="BodyText"/>
      </w:pPr>
      <w:r>
        <w:t xml:space="preserve">Earlier 2026 changes that matter most for us: IEEPA duties ended 2026-02-24 and refunds run through CBP's CAPE process (US-1); the Section 122 surcharge ran 2026-02-24 to 2026-07-24 and the Section 301 forced-labor duties replaced it (US-2); Section 232 metals duties have applied to the full customs value since 2026-04-06 (US-3); Section 338 duties of 50% on listed goods of Canada, whether or not they qualify for USMCA, started 2026-08-22 (US-5). Coming next: 1.6.</w:t>
      </w:r>
    </w:p>
    <w:bookmarkEnd w:id="20"/>
    <w:bookmarkStart w:id="21" w:name="read-this-first"/>
    <w:p>
      <w:pPr>
        <w:pStyle w:val="Heading2"/>
      </w:pPr>
      <w:r>
        <w:t xml:space="preserve">Read this first</w:t>
      </w:r>
    </w:p>
    <w:p>
      <w:pPr>
        <w:numPr>
          <w:ilvl w:val="0"/>
          <w:numId w:val="1002"/>
        </w:numPr>
        <w:pStyle w:val="Compact"/>
      </w:pPr>
      <w:r>
        <w:rPr>
          <w:bCs/>
          <w:b/>
        </w:rPr>
        <w:t xml:space="preserve">Part 1 goes stale.</w:t>
      </w:r>
      <w:r>
        <w:t xml:space="preserve"> </w:t>
      </w:r>
      <w:r>
        <w:t xml:space="preserve">Tariff actions in all three countries changed many times in 2025 and 2026. A row is only as good as the date it was last checked. Hire A updates Part 1 every Friday from W5, Fri 11/20 (the last working day of the week when Friday is a holiday; see 2.4) (until then, the Manager). The Senior spot-checks changes (see 1.7).</w:t>
      </w:r>
    </w:p>
    <w:p>
      <w:pPr>
        <w:numPr>
          <w:ilvl w:val="0"/>
          <w:numId w:val="1002"/>
        </w:numPr>
        <w:pStyle w:val="Compact"/>
      </w:pPr>
      <w:r>
        <w:rPr>
          <w:bCs/>
          <w:b/>
        </w:rPr>
        <w:t xml:space="preserve">Never cite this document as a source.</w:t>
      </w:r>
      <w:r>
        <w:t xml:space="preserve"> </w:t>
      </w:r>
      <w:r>
        <w:t xml:space="preserve">Briefs, models and cost updates cite the primary source (proclamation, Federal Register notice, CBP CSMS message, Canada Gazette order, CBSA Customs Notice, DOF decree). This document only points you to them.</w:t>
      </w:r>
    </w:p>
    <w:p>
      <w:pPr>
        <w:numPr>
          <w:ilvl w:val="0"/>
          <w:numId w:val="1002"/>
        </w:numPr>
        <w:pStyle w:val="Compact"/>
      </w:pPr>
      <w:r>
        <w:rPr>
          <w:bCs/>
          <w:b/>
        </w:rPr>
        <w:t xml:space="preserve">How this edition was checked (v0.9, rechecked 2026-10-08).</w:t>
      </w:r>
      <w:r>
        <w:t xml:space="preserve"> </w:t>
      </w:r>
      <w:r>
        <w:t xml:space="preserve">The first draft was compiled without opening any source, and a review the same day found many 2026 actions missing or wrong. Every Part 1 row was then re-checked on 2026-10-08 by web search. The official text (Federal Register, White House, CBP, USTR, USITC, Canada Gazette, Finance Canada, CBSA, DOF, Secretaría de Economía, SAT) was read in search excerpts, because the official sites could not be opened directly from the drafting environment. Where only law-firm, broker or trade-press reports were found, the row says Reported.</w:t>
      </w:r>
      <w:r>
        <w:t xml:space="preserve"> </w:t>
      </w:r>
      <w:r>
        <w:rPr>
          <w:bCs/>
          <w:b/>
        </w:rPr>
        <w:t xml:space="preserve">Do not use a row for a brief, a model input or a business decision until you have opened its primary source yourself and recorded the date (1.1).</w:t>
      </w:r>
    </w:p>
    <w:p>
      <w:pPr>
        <w:numPr>
          <w:ilvl w:val="0"/>
          <w:numId w:val="1002"/>
        </w:numPr>
        <w:pStyle w:val="Compact"/>
      </w:pPr>
      <w:r>
        <w:rPr>
          <w:bCs/>
          <w:b/>
        </w:rPr>
        <w:t xml:space="preserve">Hire A:</w:t>
      </w:r>
      <w:r>
        <w:t xml:space="preserve"> </w:t>
      </w:r>
      <w:r>
        <w:t xml:space="preserve">at the Mon 10/26 pre-read, read "What changed most recently", US-7 and Part 2 first. If the open-and-confirm checks in 1.1 are not ticked yet, treat every Part 1 row as a lead and log your questions in the question log.</w:t>
      </w:r>
    </w:p>
    <w:p>
      <w:pPr>
        <w:numPr>
          <w:ilvl w:val="0"/>
          <w:numId w:val="1002"/>
        </w:numPr>
        <w:pStyle w:val="Compact"/>
      </w:pPr>
      <w:r>
        <w:t xml:space="preserve">This is training material, not legal advice. Interpretations are confirmed with our licensed customs broker or trade counsel. Before your day-60 review, those questions go through the Senior (or the Manager); see 2.6.</w:t>
      </w:r>
    </w:p>
    <w:bookmarkEnd w:id="21"/>
    <w:bookmarkStart w:id="138" w:name="part-1-status-as-of-2026-10-08"/>
    <w:p>
      <w:pPr>
        <w:pStyle w:val="Heading2"/>
      </w:pPr>
      <w:r>
        <w:t xml:space="preserve">Part 1: Status as of 2026-10-08</w:t>
      </w:r>
    </w:p>
    <w:bookmarkStart w:id="23" w:name="X754a995a0489b7552dc4b579dc8f4af7bb95dad"/>
    <w:p>
      <w:pPr>
        <w:pStyle w:val="Heading3"/>
      </w:pPr>
      <w:r>
        <w:t xml:space="preserve">1.0 How to read the Part 1 tables</w:t>
      </w:r>
    </w:p>
    <w:p>
      <w:pPr>
        <w:pStyle w:val="FirstParagraph"/>
      </w:pPr>
      <w:r>
        <w:t xml:space="preserve">Status words:</w:t>
      </w:r>
    </w:p>
    <w:p>
      <w:pPr>
        <w:numPr>
          <w:ilvl w:val="0"/>
          <w:numId w:val="1003"/>
        </w:numPr>
        <w:pStyle w:val="Compact"/>
      </w:pPr>
      <w:r>
        <w:rPr>
          <w:bCs/>
          <w:b/>
        </w:rPr>
        <w:t xml:space="preserve">In force:</w:t>
      </w:r>
      <w:r>
        <w:t xml:space="preserve"> </w:t>
      </w:r>
      <w:r>
        <w:t xml:space="preserve">being collected on entries now.</w:t>
      </w:r>
    </w:p>
    <w:p>
      <w:pPr>
        <w:numPr>
          <w:ilvl w:val="0"/>
          <w:numId w:val="1003"/>
        </w:numPr>
        <w:pStyle w:val="Compact"/>
      </w:pPr>
      <w:r>
        <w:rPr>
          <w:bCs/>
          <w:b/>
        </w:rPr>
        <w:t xml:space="preserve">Ended:</w:t>
      </w:r>
      <w:r>
        <w:t xml:space="preserve"> </w:t>
      </w:r>
      <w:r>
        <w:t xml:space="preserve">no longer collected (may still matter for refunds, drawback or audits of past entries).</w:t>
      </w:r>
    </w:p>
    <w:p>
      <w:pPr>
        <w:numPr>
          <w:ilvl w:val="0"/>
          <w:numId w:val="1003"/>
        </w:numPr>
        <w:pStyle w:val="Compact"/>
      </w:pPr>
      <w:r>
        <w:rPr>
          <w:bCs/>
          <w:b/>
        </w:rPr>
        <w:t xml:space="preserve">Suspended:</w:t>
      </w:r>
      <w:r>
        <w:t xml:space="preserve"> </w:t>
      </w:r>
      <w:r>
        <w:t xml:space="preserve">switched off until a stated date.</w:t>
      </w:r>
    </w:p>
    <w:p>
      <w:pPr>
        <w:numPr>
          <w:ilvl w:val="0"/>
          <w:numId w:val="1003"/>
        </w:numPr>
        <w:pStyle w:val="Compact"/>
      </w:pPr>
      <w:r>
        <w:rPr>
          <w:bCs/>
          <w:b/>
        </w:rPr>
        <w:t xml:space="preserve">Announced:</w:t>
      </w:r>
      <w:r>
        <w:t xml:space="preserve"> </w:t>
      </w:r>
      <w:r>
        <w:t xml:space="preserve">stated by the government, or in a legal instrument with a future start date.</w:t>
      </w:r>
    </w:p>
    <w:p>
      <w:pPr>
        <w:numPr>
          <w:ilvl w:val="0"/>
          <w:numId w:val="1003"/>
        </w:numPr>
        <w:pStyle w:val="Compact"/>
      </w:pPr>
      <w:r>
        <w:rPr>
          <w:bCs/>
          <w:b/>
        </w:rPr>
        <w:t xml:space="preserve">Pending:</w:t>
      </w:r>
      <w:r>
        <w:t xml:space="preserve"> </w:t>
      </w:r>
      <w:r>
        <w:t xml:space="preserve">under investigation; no duty yet.</w:t>
      </w:r>
    </w:p>
    <w:p>
      <w:pPr>
        <w:pStyle w:val="FirstParagraph"/>
      </w:pPr>
      <w:r>
        <w:t xml:space="preserve">Confidence labels (use these exactly when you update a row):</w:t>
      </w:r>
    </w:p>
    <w:p>
      <w:pPr>
        <w:numPr>
          <w:ilvl w:val="0"/>
          <w:numId w:val="1004"/>
        </w:numPr>
        <w:pStyle w:val="Compact"/>
      </w:pPr>
      <w:r>
        <w:rPr>
          <w:bCs/>
          <w:b/>
        </w:rPr>
        <w:t xml:space="preserve">Confirmed:</w:t>
      </w:r>
      <w:r>
        <w:t xml:space="preserve"> </w:t>
      </w:r>
      <w:r>
        <w:t xml:space="preserve">the primary source (the legal instrument or the agency's own implementing guidance) says this. In this edition that means the official text was read in search excerpts on 2026-10-08. From your first update on, mark a row Confirmed only after you have opened the source yourself that day.</w:t>
      </w:r>
    </w:p>
    <w:p>
      <w:pPr>
        <w:numPr>
          <w:ilvl w:val="0"/>
          <w:numId w:val="1004"/>
        </w:numPr>
        <w:pStyle w:val="Compact"/>
      </w:pPr>
      <w:r>
        <w:rPr>
          <w:bCs/>
          <w:b/>
        </w:rPr>
        <w:t xml:space="preserve">Reported:</w:t>
      </w:r>
      <w:r>
        <w:t xml:space="preserve"> </w:t>
      </w:r>
      <w:r>
        <w:t xml:space="preserve">known from reputable secondary sources (law firms, brokers, trade press, Congressional Research Service) or from an official summary such as a fact sheet, but not seen in the legal text. Treat it as a lead.</w:t>
      </w:r>
    </w:p>
    <w:p>
      <w:pPr>
        <w:numPr>
          <w:ilvl w:val="0"/>
          <w:numId w:val="1004"/>
        </w:numPr>
        <w:pStyle w:val="Compact"/>
      </w:pPr>
      <w:r>
        <w:rPr>
          <w:bCs/>
          <w:b/>
        </w:rPr>
        <w:t xml:space="preserve">Unclear:</w:t>
      </w:r>
      <w:r>
        <w:t xml:space="preserve"> </w:t>
      </w:r>
      <w:r>
        <w:t xml:space="preserve">not corroborated, sources conflict, or the status is likely to change soon.</w:t>
      </w:r>
    </w:p>
    <w:p>
      <w:pPr>
        <w:pStyle w:val="FirstParagraph"/>
      </w:pPr>
      <w:r>
        <w:t xml:space="preserve">A row can carry two labels, for example "Confirmed (rate, dates); Reported (litigation)". Dates are written YYYY-MM-DD; times are US Eastern unless stated. A Federal Register link of the form</w:t>
      </w:r>
      <w:r>
        <w:t xml:space="preserve"> </w:t>
      </w:r>
      <w:hyperlink r:id="rId22">
        <w:r>
          <w:rPr>
            <w:rStyle w:val="Hyperlink"/>
          </w:rPr>
          <w:t xml:space="preserve">https://www.federalregister.gov/d/2026-06960</w:t>
        </w:r>
      </w:hyperlink>
      <w:r>
        <w:t xml:space="preserve"> </w:t>
      </w:r>
      <w:r>
        <w:t xml:space="preserve">opens the document with that number.</w:t>
      </w:r>
    </w:p>
    <w:bookmarkEnd w:id="23"/>
    <w:bookmarkStart w:id="25" w:name="X186e023c5ab3d48a05398026e68653d9eef00fb"/>
    <w:p>
      <w:pPr>
        <w:pStyle w:val="Heading3"/>
      </w:pPr>
      <w:r>
        <w:t xml:space="preserve">1.1 Open-and-confirm checks and company exposure checks</w:t>
      </w:r>
    </w:p>
    <w:p>
      <w:pPr>
        <w:pStyle w:val="FirstParagraph"/>
      </w:pPr>
      <w:r>
        <w:rPr>
          <w:bCs/>
          <w:b/>
        </w:rPr>
        <w:t xml:space="preserve">(a) Open and confirm.</w:t>
      </w:r>
      <w:r>
        <w:t xml:space="preserve"> </w:t>
      </w:r>
      <w:r>
        <w:t xml:space="preserve">Open the primary source for each row below, check the row against it, set the label and add a line to the maintenance log. Each check takes 10 to 20 minutes (about 2 hours in total).</w:t>
      </w:r>
    </w:p>
    <w:tbl>
      <w:tblPr>
        <w:tblStyle w:val="Table"/>
        <w:tblW w:type="dxa" w:w="9360"/>
        <w:tblLook w:firstRow="1" w:lastRow="0" w:firstColumn="0" w:lastColumn="0" w:noHBand="0" w:noVBand="0" w:val="0020"/>
        <w:jc w:val="start"/>
        <w:tblLayout w:type="fixed"/>
      </w:tblPr>
      <w:tblGrid>
        <w:gridCol w:w="776"/>
        <w:gridCol w:w="3156"/>
        <w:gridCol w:w="3154"/>
        <w:gridCol w:w="1496"/>
        <w:gridCol w:w="776"/>
      </w:tblGrid>
      <w:tr>
        <w:trPr>
          <w:tblHeader w:val="true"/>
        </w:trPr>
        <w:tc>
          <w:tcPr>
            <w:tcW w:w="776" w:type="dxa"/>
          </w:tcPr>
          <w:p>
            <w:pPr>
              <w:pStyle w:val="Compact"/>
              <w:jc w:val="left"/>
            </w:pPr>
            <w:r>
              <w:t xml:space="preserve">#</w:t>
            </w:r>
          </w:p>
        </w:tc>
        <w:tc>
          <w:tcPr>
            <w:tcW w:w="3156" w:type="dxa"/>
          </w:tcPr>
          <w:p>
            <w:pPr>
              <w:pStyle w:val="Compact"/>
              <w:jc w:val="left"/>
            </w:pPr>
            <w:r>
              <w:t xml:space="preserve">Row to confirm</w:t>
            </w:r>
          </w:p>
        </w:tc>
        <w:tc>
          <w:tcPr>
            <w:tcW w:w="3154" w:type="dxa"/>
          </w:tcPr>
          <w:p>
            <w:pPr>
              <w:pStyle w:val="Compact"/>
              <w:jc w:val="left"/>
            </w:pPr>
            <w:r>
              <w:t xml:space="preserve">Primary source to open</w:t>
            </w:r>
          </w:p>
        </w:tc>
        <w:tc>
          <w:tcPr>
            <w:tcW w:w="1496" w:type="dxa"/>
          </w:tcPr>
          <w:p>
            <w:pPr>
              <w:pStyle w:val="Compact"/>
              <w:jc w:val="left"/>
            </w:pPr>
            <w:r>
              <w:t xml:space="preserve">Owner and when</w:t>
            </w:r>
          </w:p>
        </w:tc>
        <w:tc>
          <w:tcPr>
            <w:tcW w:w="776" w:type="dxa"/>
          </w:tcPr>
          <w:p>
            <w:pPr>
              <w:pStyle w:val="Compact"/>
              <w:jc w:val="left"/>
            </w:pPr>
            <w:r>
              <w:t xml:space="preserve">Done</w:t>
            </w:r>
          </w:p>
        </w:tc>
      </w:tr>
      <w:tr>
        <w:tc>
          <w:tcPr>
            <w:tcW w:w="776" w:type="dxa"/>
          </w:tcPr>
          <w:p>
            <w:pPr>
              <w:pStyle w:val="Compact"/>
              <w:jc w:val="left"/>
            </w:pPr>
            <w:r>
              <w:t xml:space="preserve">C1</w:t>
            </w:r>
          </w:p>
        </w:tc>
        <w:tc>
          <w:tcPr>
            <w:tcW w:w="3156" w:type="dxa"/>
          </w:tcPr>
          <w:p>
            <w:pPr>
              <w:pStyle w:val="Compact"/>
              <w:jc w:val="left"/>
            </w:pPr>
            <w:r>
              <w:t xml:space="preserve">Section 338 on goods of Canada: current HTS list and import bans (US-5)</w:t>
            </w:r>
          </w:p>
        </w:tc>
        <w:tc>
          <w:tcPr>
            <w:tcW w:w="3154" w:type="dxa"/>
          </w:tcPr>
          <w:p>
            <w:pPr>
              <w:pStyle w:val="Compact"/>
              <w:jc w:val="left"/>
            </w:pPr>
            <w:r>
              <w:t xml:space="preserve">CBP CSMS 69851916 (scope, HTS list) and CSMS 70050970 (import bans); FR 2026-18835 to 2026-18839</w:t>
            </w:r>
          </w:p>
        </w:tc>
        <w:tc>
          <w:tcPr>
            <w:tcW w:w="1496" w:type="dxa"/>
          </w:tcPr>
          <w:p>
            <w:pPr>
              <w:pStyle w:val="Compact"/>
              <w:jc w:val="left"/>
            </w:pPr>
            <w:r>
              <w:t xml:space="preserve">Hire A, W3 self-study</w:t>
            </w:r>
          </w:p>
        </w:tc>
        <w:tc>
          <w:tcPr>
            <w:tcW w:w="776" w:type="dxa"/>
          </w:tcPr>
          <w:p>
            <w:pPr>
              <w:pStyle w:val="Compact"/>
              <w:jc w:val="left"/>
            </w:pPr>
            <w:r>
              <w:t xml:space="preserve">[ ]</w:t>
            </w:r>
          </w:p>
        </w:tc>
      </w:tr>
      <w:tr>
        <w:tc>
          <w:tcPr>
            <w:tcW w:w="776" w:type="dxa"/>
          </w:tcPr>
          <w:p>
            <w:pPr>
              <w:pStyle w:val="Compact"/>
              <w:jc w:val="left"/>
            </w:pPr>
            <w:r>
              <w:t xml:space="preserve">C2</w:t>
            </w:r>
          </w:p>
        </w:tc>
        <w:tc>
          <w:tcPr>
            <w:tcW w:w="3156" w:type="dxa"/>
          </w:tcPr>
          <w:p>
            <w:pPr>
              <w:pStyle w:val="Compact"/>
              <w:jc w:val="left"/>
            </w:pPr>
            <w:r>
              <w:t xml:space="preserve">Section 301 forced-labor duties: Canada and Mexico rates, USMCA lines, Section 232 exclusion (US-2)</w:t>
            </w:r>
          </w:p>
        </w:tc>
        <w:tc>
          <w:tcPr>
            <w:tcW w:w="3154" w:type="dxa"/>
          </w:tcPr>
          <w:p>
            <w:pPr>
              <w:pStyle w:val="Compact"/>
              <w:jc w:val="left"/>
            </w:pPr>
            <w:r>
              <w:t xml:space="preserve">FR 2026-15181; CBP CSMS 69326983</w:t>
            </w:r>
          </w:p>
        </w:tc>
        <w:tc>
          <w:tcPr>
            <w:tcW w:w="1496" w:type="dxa"/>
          </w:tcPr>
          <w:p>
            <w:pPr>
              <w:pStyle w:val="Compact"/>
              <w:jc w:val="left"/>
            </w:pPr>
            <w:r>
              <w:t xml:space="preserve">Hire A, W3 self-study</w:t>
            </w:r>
          </w:p>
        </w:tc>
        <w:tc>
          <w:tcPr>
            <w:tcW w:w="776" w:type="dxa"/>
          </w:tcPr>
          <w:p>
            <w:pPr>
              <w:pStyle w:val="Compact"/>
              <w:jc w:val="left"/>
            </w:pPr>
            <w:r>
              <w:t xml:space="preserve">[ ]</w:t>
            </w:r>
          </w:p>
        </w:tc>
      </w:tr>
      <w:tr>
        <w:tc>
          <w:tcPr>
            <w:tcW w:w="776" w:type="dxa"/>
          </w:tcPr>
          <w:p>
            <w:pPr>
              <w:pStyle w:val="Compact"/>
              <w:jc w:val="left"/>
            </w:pPr>
            <w:r>
              <w:t xml:space="preserve">C3</w:t>
            </w:r>
          </w:p>
        </w:tc>
        <w:tc>
          <w:tcPr>
            <w:tcW w:w="3156" w:type="dxa"/>
          </w:tcPr>
          <w:p>
            <w:pPr>
              <w:pStyle w:val="Compact"/>
              <w:jc w:val="left"/>
            </w:pPr>
            <w:r>
              <w:t xml:space="preserve">Section 232 metals: annex tiers, 15% weight test, full-value base, the Annex I-C list and the USMCA lines (9903.82.20 and 9903.82.21 for steel; find the aluminum lines) (US-3)</w:t>
            </w:r>
          </w:p>
        </w:tc>
        <w:tc>
          <w:tcPr>
            <w:tcW w:w="3154" w:type="dxa"/>
          </w:tcPr>
          <w:p>
            <w:pPr>
              <w:pStyle w:val="Compact"/>
              <w:jc w:val="left"/>
            </w:pPr>
            <w:r>
              <w:t xml:space="preserve">FR 2026-06960 and 2026-11314 (with the Annex I-C list); CBP CSMS 68253075 and 68855869</w:t>
            </w:r>
          </w:p>
        </w:tc>
        <w:tc>
          <w:tcPr>
            <w:tcW w:w="1496" w:type="dxa"/>
          </w:tcPr>
          <w:p>
            <w:pPr>
              <w:pStyle w:val="Compact"/>
              <w:jc w:val="left"/>
            </w:pPr>
            <w:r>
              <w:t xml:space="preserve">Hire A, W3 self-study</w:t>
            </w:r>
          </w:p>
        </w:tc>
        <w:tc>
          <w:tcPr>
            <w:tcW w:w="776" w:type="dxa"/>
          </w:tcPr>
          <w:p>
            <w:pPr>
              <w:pStyle w:val="Compact"/>
              <w:jc w:val="left"/>
            </w:pPr>
            <w:r>
              <w:t xml:space="preserve">[ ]</w:t>
            </w:r>
          </w:p>
        </w:tc>
      </w:tr>
      <w:tr>
        <w:tc>
          <w:tcPr>
            <w:tcW w:w="776" w:type="dxa"/>
          </w:tcPr>
          <w:p>
            <w:pPr>
              <w:pStyle w:val="Compact"/>
              <w:jc w:val="left"/>
            </w:pPr>
            <w:r>
              <w:t xml:space="preserve">C4</w:t>
            </w:r>
          </w:p>
        </w:tc>
        <w:tc>
          <w:tcPr>
            <w:tcW w:w="3156" w:type="dxa"/>
          </w:tcPr>
          <w:p>
            <w:pPr>
              <w:pStyle w:val="Compact"/>
              <w:jc w:val="left"/>
            </w:pPr>
            <w:r>
              <w:t xml:space="preserve">IEEPA refunds: CAPE phases, Phase 3 launch (US-1)</w:t>
            </w:r>
          </w:p>
        </w:tc>
        <w:tc>
          <w:tcPr>
            <w:tcW w:w="3154" w:type="dxa"/>
          </w:tcPr>
          <w:p>
            <w:pPr>
              <w:pStyle w:val="Compact"/>
              <w:jc w:val="left"/>
            </w:pPr>
            <w:hyperlink r:id="rId24">
              <w:r>
                <w:rPr>
                  <w:rStyle w:val="Hyperlink"/>
                </w:rPr>
                <w:t xml:space="preserve">https://www.cbp.gov/trade/programs-administration/trade-remedies/ieepa-duty-refunds</w:t>
              </w:r>
            </w:hyperlink>
          </w:p>
        </w:tc>
        <w:tc>
          <w:tcPr>
            <w:tcW w:w="1496" w:type="dxa"/>
          </w:tcPr>
          <w:p>
            <w:pPr>
              <w:pStyle w:val="Compact"/>
              <w:jc w:val="left"/>
            </w:pPr>
            <w:r>
              <w:t xml:space="preserve">Hire A, W3 self-study</w:t>
            </w:r>
          </w:p>
        </w:tc>
        <w:tc>
          <w:tcPr>
            <w:tcW w:w="776" w:type="dxa"/>
          </w:tcPr>
          <w:p>
            <w:pPr>
              <w:pStyle w:val="Compact"/>
              <w:jc w:val="left"/>
            </w:pPr>
            <w:r>
              <w:t xml:space="preserve">[ ]</w:t>
            </w:r>
          </w:p>
        </w:tc>
      </w:tr>
      <w:tr>
        <w:tc>
          <w:tcPr>
            <w:tcW w:w="776" w:type="dxa"/>
          </w:tcPr>
          <w:p>
            <w:pPr>
              <w:pStyle w:val="Compact"/>
              <w:jc w:val="left"/>
            </w:pPr>
            <w:r>
              <w:t xml:space="preserve">C5</w:t>
            </w:r>
          </w:p>
        </w:tc>
        <w:tc>
          <w:tcPr>
            <w:tcW w:w="3156" w:type="dxa"/>
          </w:tcPr>
          <w:p>
            <w:pPr>
              <w:pStyle w:val="Compact"/>
              <w:jc w:val="left"/>
            </w:pPr>
            <w:r>
              <w:t xml:space="preserve">Section 301 China exclusions ending 2026-11-09 (US-4)</w:t>
            </w:r>
          </w:p>
        </w:tc>
        <w:tc>
          <w:tcPr>
            <w:tcW w:w="3154" w:type="dxa"/>
          </w:tcPr>
          <w:p>
            <w:pPr>
              <w:pStyle w:val="Compact"/>
              <w:jc w:val="left"/>
            </w:pPr>
            <w:r>
              <w:t xml:space="preserve">FR 2025-21671; USTR Section 301 page</w:t>
            </w:r>
          </w:p>
        </w:tc>
        <w:tc>
          <w:tcPr>
            <w:tcW w:w="1496" w:type="dxa"/>
          </w:tcPr>
          <w:p>
            <w:pPr>
              <w:pStyle w:val="Compact"/>
              <w:jc w:val="left"/>
            </w:pPr>
            <w:r>
              <w:t xml:space="preserve">Hire A, by Fri 11/6</w:t>
            </w:r>
          </w:p>
        </w:tc>
        <w:tc>
          <w:tcPr>
            <w:tcW w:w="776" w:type="dxa"/>
          </w:tcPr>
          <w:p>
            <w:pPr>
              <w:pStyle w:val="Compact"/>
              <w:jc w:val="left"/>
            </w:pPr>
            <w:r>
              <w:t xml:space="preserve">[ ]</w:t>
            </w:r>
          </w:p>
        </w:tc>
      </w:tr>
      <w:tr>
        <w:tc>
          <w:tcPr>
            <w:tcW w:w="776" w:type="dxa"/>
          </w:tcPr>
          <w:p>
            <w:pPr>
              <w:pStyle w:val="Compact"/>
              <w:jc w:val="left"/>
            </w:pPr>
            <w:r>
              <w:t xml:space="preserve">C6</w:t>
            </w:r>
          </w:p>
        </w:tc>
        <w:tc>
          <w:tcPr>
            <w:tcW w:w="3156" w:type="dxa"/>
          </w:tcPr>
          <w:p>
            <w:pPr>
              <w:pStyle w:val="Compact"/>
              <w:jc w:val="left"/>
            </w:pPr>
            <w:r>
              <w:t xml:space="preserve">Canada: United States Surtax Order (2026) and the steel and aluminum increase (1.3)</w:t>
            </w:r>
          </w:p>
        </w:tc>
        <w:tc>
          <w:tcPr>
            <w:tcW w:w="3154" w:type="dxa"/>
          </w:tcPr>
          <w:p>
            <w:pPr>
              <w:pStyle w:val="Compact"/>
              <w:jc w:val="left"/>
            </w:pPr>
            <w:r>
              <w:t xml:space="preserve">SOR/2026-186; CBSA CN 26-23; Finance Canada complete list</w:t>
            </w:r>
          </w:p>
        </w:tc>
        <w:tc>
          <w:tcPr>
            <w:tcW w:w="1496" w:type="dxa"/>
          </w:tcPr>
          <w:p>
            <w:pPr>
              <w:pStyle w:val="Compact"/>
              <w:jc w:val="left"/>
            </w:pPr>
            <w:r>
              <w:t xml:space="preserve">Hire A, W3 self-study</w:t>
            </w:r>
          </w:p>
        </w:tc>
        <w:tc>
          <w:tcPr>
            <w:tcW w:w="776" w:type="dxa"/>
          </w:tcPr>
          <w:p>
            <w:pPr>
              <w:pStyle w:val="Compact"/>
              <w:jc w:val="left"/>
            </w:pPr>
            <w:r>
              <w:t xml:space="preserve">[ ]</w:t>
            </w:r>
          </w:p>
        </w:tc>
      </w:tr>
      <w:tr>
        <w:tc>
          <w:tcPr>
            <w:tcW w:w="776" w:type="dxa"/>
          </w:tcPr>
          <w:p>
            <w:pPr>
              <w:pStyle w:val="Compact"/>
              <w:jc w:val="left"/>
            </w:pPr>
            <w:r>
              <w:t xml:space="preserve">C7</w:t>
            </w:r>
          </w:p>
        </w:tc>
        <w:tc>
          <w:tcPr>
            <w:tcW w:w="3156" w:type="dxa"/>
          </w:tcPr>
          <w:p>
            <w:pPr>
              <w:pStyle w:val="Compact"/>
              <w:jc w:val="left"/>
            </w:pPr>
            <w:r>
              <w:t xml:space="preserve">Mexico: MVE dates and IMMEX cancellations (1.4)</w:t>
            </w:r>
          </w:p>
        </w:tc>
        <w:tc>
          <w:tcPr>
            <w:tcW w:w="3154" w:type="dxa"/>
          </w:tcPr>
          <w:p>
            <w:pPr>
              <w:pStyle w:val="Compact"/>
              <w:jc w:val="left"/>
            </w:pPr>
            <w:r>
              <w:t xml:space="preserve">SAT, ANAM and ATDT release on the MVE; DOF avisos of 2026-06-30 and 2026-09-29</w:t>
            </w:r>
          </w:p>
        </w:tc>
        <w:tc>
          <w:tcPr>
            <w:tcW w:w="1496" w:type="dxa"/>
          </w:tcPr>
          <w:p>
            <w:pPr>
              <w:pStyle w:val="Compact"/>
              <w:jc w:val="left"/>
            </w:pPr>
            <w:r>
              <w:t xml:space="preserve">Hire A, W3 self-study</w:t>
            </w:r>
          </w:p>
        </w:tc>
        <w:tc>
          <w:tcPr>
            <w:tcW w:w="776" w:type="dxa"/>
          </w:tcPr>
          <w:p>
            <w:pPr>
              <w:pStyle w:val="Compact"/>
              <w:jc w:val="left"/>
            </w:pPr>
            <w:r>
              <w:t xml:space="preserve">[ ]</w:t>
            </w:r>
          </w:p>
        </w:tc>
      </w:tr>
      <w:tr>
        <w:tc>
          <w:tcPr>
            <w:tcW w:w="776" w:type="dxa"/>
          </w:tcPr>
          <w:p>
            <w:pPr>
              <w:pStyle w:val="Compact"/>
              <w:jc w:val="left"/>
            </w:pPr>
            <w:r>
              <w:t xml:space="preserve">C8</w:t>
            </w:r>
          </w:p>
        </w:tc>
        <w:tc>
          <w:tcPr>
            <w:tcW w:w="3156" w:type="dxa"/>
          </w:tcPr>
          <w:p>
            <w:pPr>
              <w:pStyle w:val="Compact"/>
              <w:jc w:val="left"/>
            </w:pPr>
            <w:r>
              <w:t xml:space="preserve">USMCA 2027 review comment deadline (1.5)</w:t>
            </w:r>
          </w:p>
        </w:tc>
        <w:tc>
          <w:tcPr>
            <w:tcW w:w="3154" w:type="dxa"/>
          </w:tcPr>
          <w:p>
            <w:pPr>
              <w:pStyle w:val="Compact"/>
              <w:jc w:val="left"/>
            </w:pPr>
            <w:r>
              <w:t xml:space="preserve">FR 2026-20341</w:t>
            </w:r>
          </w:p>
        </w:tc>
        <w:tc>
          <w:tcPr>
            <w:tcW w:w="1496" w:type="dxa"/>
          </w:tcPr>
          <w:p>
            <w:pPr>
              <w:pStyle w:val="Compact"/>
              <w:jc w:val="left"/>
            </w:pPr>
            <w:r>
              <w:t xml:space="preserve">Hire A, W3 self-study</w:t>
            </w:r>
          </w:p>
        </w:tc>
        <w:tc>
          <w:tcPr>
            <w:tcW w:w="776" w:type="dxa"/>
          </w:tcPr>
          <w:p>
            <w:pPr>
              <w:pStyle w:val="Compact"/>
              <w:jc w:val="left"/>
            </w:pPr>
            <w:r>
              <w:t xml:space="preserve">[ ]</w:t>
            </w:r>
          </w:p>
        </w:tc>
      </w:tr>
      <w:tr>
        <w:tc>
          <w:tcPr>
            <w:tcW w:w="776" w:type="dxa"/>
          </w:tcPr>
          <w:p>
            <w:pPr>
              <w:pStyle w:val="Compact"/>
              <w:jc w:val="left"/>
            </w:pPr>
            <w:r>
              <w:t xml:space="preserve">C9</w:t>
            </w:r>
          </w:p>
        </w:tc>
        <w:tc>
          <w:tcPr>
            <w:tcW w:w="3156" w:type="dxa"/>
          </w:tcPr>
          <w:p>
            <w:pPr>
              <w:pStyle w:val="Compact"/>
              <w:jc w:val="left"/>
            </w:pPr>
            <w:r>
              <w:t xml:space="preserve">MPF fiscal year 2027 amounts (US-9)</w:t>
            </w:r>
          </w:p>
        </w:tc>
        <w:tc>
          <w:tcPr>
            <w:tcW w:w="3154" w:type="dxa"/>
          </w:tcPr>
          <w:p>
            <w:pPr>
              <w:pStyle w:val="Compact"/>
              <w:jc w:val="left"/>
            </w:pPr>
            <w:r>
              <w:t xml:space="preserve">FR 2026-15530</w:t>
            </w:r>
          </w:p>
        </w:tc>
        <w:tc>
          <w:tcPr>
            <w:tcW w:w="1496" w:type="dxa"/>
          </w:tcPr>
          <w:p>
            <w:pPr>
              <w:pStyle w:val="Compact"/>
              <w:jc w:val="left"/>
            </w:pPr>
            <w:r>
              <w:t xml:space="preserve">Hire B, W3 (needed for the W4 landed-cost rebuild)</w:t>
            </w:r>
          </w:p>
        </w:tc>
        <w:tc>
          <w:tcPr>
            <w:tcW w:w="776" w:type="dxa"/>
          </w:tcPr>
          <w:p>
            <w:pPr>
              <w:pStyle w:val="Compact"/>
              <w:jc w:val="left"/>
            </w:pPr>
            <w:r>
              <w:t xml:space="preserve">[ ]</w:t>
            </w:r>
          </w:p>
        </w:tc>
      </w:tr>
      <w:tr>
        <w:tc>
          <w:tcPr>
            <w:tcW w:w="776" w:type="dxa"/>
          </w:tcPr>
          <w:p>
            <w:pPr>
              <w:pStyle w:val="Compact"/>
              <w:jc w:val="left"/>
            </w:pPr>
            <w:r>
              <w:t xml:space="preserve">C10</w:t>
            </w:r>
          </w:p>
        </w:tc>
        <w:tc>
          <w:tcPr>
            <w:tcW w:w="3156" w:type="dxa"/>
          </w:tcPr>
          <w:p>
            <w:pPr>
              <w:pStyle w:val="Compact"/>
              <w:jc w:val="left"/>
            </w:pPr>
            <w:r>
              <w:t xml:space="preserve">Rows marked Unclear (for example Section 122 drawback in US-10, Nicaragua stacking in US-4, CUSMA treatment of the 2026 Canadian surtax in 1.3) and the Section 122 appeal (US-2)</w:t>
            </w:r>
          </w:p>
        </w:tc>
        <w:tc>
          <w:tcPr>
            <w:tcW w:w="3154" w:type="dxa"/>
          </w:tcPr>
          <w:p>
            <w:pPr>
              <w:pStyle w:val="Compact"/>
              <w:jc w:val="left"/>
            </w:pPr>
            <w:r>
              <w:t xml:space="preserve">Sources named in each row</w:t>
            </w:r>
          </w:p>
        </w:tc>
        <w:tc>
          <w:tcPr>
            <w:tcW w:w="1496" w:type="dxa"/>
          </w:tcPr>
          <w:p>
            <w:pPr>
              <w:pStyle w:val="Compact"/>
              <w:jc w:val="left"/>
            </w:pPr>
            <w:r>
              <w:t xml:space="preserve">Hire A, raised in Senior office hours (Wed 15:00), W3 or W4</w:t>
            </w:r>
          </w:p>
        </w:tc>
        <w:tc>
          <w:tcPr>
            <w:tcW w:w="776" w:type="dxa"/>
          </w:tcPr>
          <w:p>
            <w:pPr>
              <w:pStyle w:val="Compact"/>
              <w:jc w:val="left"/>
            </w:pPr>
            <w:r>
              <w:t xml:space="preserve">[ ]</w:t>
            </w:r>
          </w:p>
        </w:tc>
      </w:tr>
    </w:tbl>
    <w:p>
      <w:pPr>
        <w:pStyle w:val="BodyText"/>
      </w:pPr>
      <w:r>
        <w:rPr>
          <w:bCs/>
          <w:b/>
        </w:rPr>
        <w:t xml:space="preserve">(b) Company exposure checks.</w:t>
      </w:r>
      <w:r>
        <w:t xml:space="preserve"> </w:t>
      </w:r>
      <w:r>
        <w:t xml:space="preserve">These are business checks, not training. They sit outside the trainer-hour budget in</w:t>
      </w:r>
      <w:r>
        <w:t xml:space="preserve"> </w:t>
      </w:r>
      <w:r>
        <w:rPr>
          <w:rStyle w:val="VerbatimChar"/>
        </w:rPr>
        <w:t xml:space="preserve">docs/01-30-60-90-plan.md</w:t>
      </w:r>
      <w:r>
        <w:t xml:space="preserve">. The Manager assigns each one now ([COMPANY: who owns tariff exposure today]); the hires do not run them.</w:t>
      </w:r>
    </w:p>
    <w:tbl>
      <w:tblPr>
        <w:tblStyle w:val="Table"/>
        <w:tblW w:type="dxa" w:w="9360"/>
        <w:tblLook w:firstRow="1" w:lastRow="0" w:firstColumn="0" w:lastColumn="0" w:noHBand="0" w:noVBand="0" w:val="0020"/>
        <w:jc w:val="start"/>
        <w:tblLayout w:type="fixed"/>
      </w:tblPr>
      <w:tblGrid>
        <w:gridCol w:w="778"/>
        <w:gridCol w:w="4063"/>
        <w:gridCol w:w="1901"/>
        <w:gridCol w:w="1838"/>
        <w:gridCol w:w="778"/>
      </w:tblGrid>
      <w:tr>
        <w:trPr>
          <w:tblHeader w:val="true"/>
        </w:trPr>
        <w:tc>
          <w:tcPr>
            <w:tcW w:w="778" w:type="dxa"/>
          </w:tcPr>
          <w:p>
            <w:pPr>
              <w:pStyle w:val="Compact"/>
              <w:jc w:val="left"/>
            </w:pPr>
            <w:r>
              <w:t xml:space="preserve">#</w:t>
            </w:r>
          </w:p>
        </w:tc>
        <w:tc>
          <w:tcPr>
            <w:tcW w:w="4063" w:type="dxa"/>
          </w:tcPr>
          <w:p>
            <w:pPr>
              <w:pStyle w:val="Compact"/>
              <w:jc w:val="left"/>
            </w:pPr>
            <w:r>
              <w:t xml:space="preserve">Check</w:t>
            </w:r>
          </w:p>
        </w:tc>
        <w:tc>
          <w:tcPr>
            <w:tcW w:w="1901" w:type="dxa"/>
          </w:tcPr>
          <w:p>
            <w:pPr>
              <w:pStyle w:val="Compact"/>
              <w:jc w:val="left"/>
            </w:pPr>
            <w:r>
              <w:t xml:space="preserve">Why now</w:t>
            </w:r>
          </w:p>
        </w:tc>
        <w:tc>
          <w:tcPr>
            <w:tcW w:w="1838" w:type="dxa"/>
          </w:tcPr>
          <w:p>
            <w:pPr>
              <w:pStyle w:val="Compact"/>
              <w:jc w:val="left"/>
            </w:pPr>
            <w:r>
              <w:t xml:space="preserve">Owner</w:t>
            </w:r>
          </w:p>
        </w:tc>
        <w:tc>
          <w:tcPr>
            <w:tcW w:w="778" w:type="dxa"/>
          </w:tcPr>
          <w:p>
            <w:pPr>
              <w:pStyle w:val="Compact"/>
              <w:jc w:val="left"/>
            </w:pPr>
            <w:r>
              <w:t xml:space="preserve">Done</w:t>
            </w:r>
          </w:p>
        </w:tc>
      </w:tr>
      <w:tr>
        <w:tc>
          <w:tcPr>
            <w:tcW w:w="778" w:type="dxa"/>
          </w:tcPr>
          <w:p>
            <w:pPr>
              <w:pStyle w:val="Compact"/>
              <w:jc w:val="left"/>
            </w:pPr>
            <w:r>
              <w:t xml:space="preserve">E1</w:t>
            </w:r>
          </w:p>
        </w:tc>
        <w:tc>
          <w:tcPr>
            <w:tcW w:w="4063" w:type="dxa"/>
          </w:tcPr>
          <w:p>
            <w:pPr>
              <w:pStyle w:val="Compact"/>
              <w:jc w:val="left"/>
            </w:pPr>
            <w:r>
              <w:t xml:space="preserve">IEEPA refunds: CAPE declarations filed for our unliquidated and recently liquidated entries; ACH refund enrollment in ACE; any finally liquidated entries (counsel decides on protests or court action)</w:t>
            </w:r>
          </w:p>
        </w:tc>
        <w:tc>
          <w:tcPr>
            <w:tcW w:w="1901" w:type="dxa"/>
          </w:tcPr>
          <w:p>
            <w:pPr>
              <w:pStyle w:val="Compact"/>
              <w:jc w:val="left"/>
            </w:pPr>
            <w:r>
              <w:t xml:space="preserve">Phase 1 eligibility depends on liquidation timing</w:t>
            </w:r>
          </w:p>
        </w:tc>
        <w:tc>
          <w:tcPr>
            <w:tcW w:w="1838" w:type="dxa"/>
          </w:tcPr>
          <w:p>
            <w:pPr>
              <w:pStyle w:val="Compact"/>
              <w:jc w:val="left"/>
            </w:pPr>
            <w:r>
              <w:t xml:space="preserve">Manager with [COMPANY: who owns the refund project] and trade counsel</w:t>
            </w:r>
          </w:p>
        </w:tc>
        <w:tc>
          <w:tcPr>
            <w:tcW w:w="778" w:type="dxa"/>
          </w:tcPr>
          <w:p>
            <w:pPr>
              <w:pStyle w:val="Compact"/>
              <w:jc w:val="left"/>
            </w:pPr>
            <w:r>
              <w:t xml:space="preserve">[ ]</w:t>
            </w:r>
          </w:p>
        </w:tc>
      </w:tr>
      <w:tr>
        <w:tc>
          <w:tcPr>
            <w:tcW w:w="778" w:type="dxa"/>
          </w:tcPr>
          <w:p>
            <w:pPr>
              <w:pStyle w:val="Compact"/>
              <w:jc w:val="left"/>
            </w:pPr>
            <w:r>
              <w:t xml:space="preserve">E2</w:t>
            </w:r>
          </w:p>
        </w:tc>
        <w:tc>
          <w:tcPr>
            <w:tcW w:w="4063" w:type="dxa"/>
          </w:tcPr>
          <w:p>
            <w:pPr>
              <w:pStyle w:val="Compact"/>
              <w:jc w:val="left"/>
            </w:pPr>
            <w:r>
              <w:t xml:space="preserve">Section 338: do we import any listed Canadian goods into the US; is any of them banned since 2026-09-29</w:t>
            </w:r>
          </w:p>
        </w:tc>
        <w:tc>
          <w:tcPr>
            <w:tcW w:w="1901" w:type="dxa"/>
          </w:tcPr>
          <w:p>
            <w:pPr>
              <w:pStyle w:val="Compact"/>
              <w:jc w:val="left"/>
            </w:pPr>
            <w:r>
              <w:t xml:space="preserve">50% duty or no entry at all</w:t>
            </w:r>
          </w:p>
        </w:tc>
        <w:tc>
          <w:tcPr>
            <w:tcW w:w="1838" w:type="dxa"/>
          </w:tcPr>
          <w:p>
            <w:pPr>
              <w:pStyle w:val="Compact"/>
              <w:jc w:val="left"/>
            </w:pPr>
            <w:r>
              <w:t xml:space="preserve">Manager, with the US broker</w:t>
            </w:r>
          </w:p>
        </w:tc>
        <w:tc>
          <w:tcPr>
            <w:tcW w:w="778" w:type="dxa"/>
          </w:tcPr>
          <w:p>
            <w:pPr>
              <w:pStyle w:val="Compact"/>
              <w:jc w:val="left"/>
            </w:pPr>
            <w:r>
              <w:t xml:space="preserve">[ ]</w:t>
            </w:r>
          </w:p>
        </w:tc>
      </w:tr>
      <w:tr>
        <w:tc>
          <w:tcPr>
            <w:tcW w:w="778" w:type="dxa"/>
          </w:tcPr>
          <w:p>
            <w:pPr>
              <w:pStyle w:val="Compact"/>
              <w:jc w:val="left"/>
            </w:pPr>
            <w:r>
              <w:t xml:space="preserve">E3</w:t>
            </w:r>
          </w:p>
        </w:tc>
        <w:tc>
          <w:tcPr>
            <w:tcW w:w="4063" w:type="dxa"/>
          </w:tcPr>
          <w:p>
            <w:pPr>
              <w:pStyle w:val="Compact"/>
              <w:jc w:val="left"/>
            </w:pPr>
            <w:r>
              <w:t xml:space="preserve">Section 301 forced labor: our Canadian and Mexican entries since 2026-07-24 without a USMCA claim; China items now 12.5% higher</w:t>
            </w:r>
          </w:p>
        </w:tc>
        <w:tc>
          <w:tcPr>
            <w:tcW w:w="1901" w:type="dxa"/>
          </w:tcPr>
          <w:p>
            <w:pPr>
              <w:pStyle w:val="Compact"/>
              <w:jc w:val="left"/>
            </w:pPr>
            <w:r>
              <w:t xml:space="preserve">10% paid on goods that could have entered free</w:t>
            </w:r>
          </w:p>
        </w:tc>
        <w:tc>
          <w:tcPr>
            <w:tcW w:w="1838" w:type="dxa"/>
          </w:tcPr>
          <w:p>
            <w:pPr>
              <w:pStyle w:val="Compact"/>
              <w:jc w:val="left"/>
            </w:pPr>
            <w:r>
              <w:t xml:space="preserve">Manager, with the US broker</w:t>
            </w:r>
          </w:p>
        </w:tc>
        <w:tc>
          <w:tcPr>
            <w:tcW w:w="778" w:type="dxa"/>
          </w:tcPr>
          <w:p>
            <w:pPr>
              <w:pStyle w:val="Compact"/>
              <w:jc w:val="left"/>
            </w:pPr>
            <w:r>
              <w:t xml:space="preserve">[ ]</w:t>
            </w:r>
          </w:p>
        </w:tc>
      </w:tr>
      <w:tr>
        <w:tc>
          <w:tcPr>
            <w:tcW w:w="778" w:type="dxa"/>
          </w:tcPr>
          <w:p>
            <w:pPr>
              <w:pStyle w:val="Compact"/>
              <w:jc w:val="left"/>
            </w:pPr>
            <w:r>
              <w:t xml:space="preserve">E4</w:t>
            </w:r>
          </w:p>
        </w:tc>
        <w:tc>
          <w:tcPr>
            <w:tcW w:w="4063" w:type="dxa"/>
          </w:tcPr>
          <w:p>
            <w:pPr>
              <w:pStyle w:val="Compact"/>
              <w:jc w:val="left"/>
            </w:pPr>
            <w:r>
              <w:t xml:space="preserve">Canada: our imports of US-origin goods on the 2026 surtax lists; remission eligibility</w:t>
            </w:r>
          </w:p>
        </w:tc>
        <w:tc>
          <w:tcPr>
            <w:tcW w:w="1901" w:type="dxa"/>
          </w:tcPr>
          <w:p>
            <w:pPr>
              <w:pStyle w:val="Compact"/>
              <w:jc w:val="left"/>
            </w:pPr>
            <w:r>
              <w:t xml:space="preserve">Surtax of 15% to 50% since 2026-09-08</w:t>
            </w:r>
          </w:p>
        </w:tc>
        <w:tc>
          <w:tcPr>
            <w:tcW w:w="1838" w:type="dxa"/>
          </w:tcPr>
          <w:p>
            <w:pPr>
              <w:pStyle w:val="Compact"/>
              <w:jc w:val="left"/>
            </w:pPr>
            <w:r>
              <w:t xml:space="preserve">Manager, with the Canadian broker</w:t>
            </w:r>
          </w:p>
        </w:tc>
        <w:tc>
          <w:tcPr>
            <w:tcW w:w="778" w:type="dxa"/>
          </w:tcPr>
          <w:p>
            <w:pPr>
              <w:pStyle w:val="Compact"/>
              <w:jc w:val="left"/>
            </w:pPr>
            <w:r>
              <w:t xml:space="preserve">[ ]</w:t>
            </w:r>
          </w:p>
        </w:tc>
      </w:tr>
      <w:tr>
        <w:tc>
          <w:tcPr>
            <w:tcW w:w="778" w:type="dxa"/>
          </w:tcPr>
          <w:p>
            <w:pPr>
              <w:pStyle w:val="Compact"/>
              <w:jc w:val="left"/>
            </w:pPr>
            <w:r>
              <w:t xml:space="preserve">E5</w:t>
            </w:r>
          </w:p>
        </w:tc>
        <w:tc>
          <w:tcPr>
            <w:tcW w:w="4063" w:type="dxa"/>
          </w:tcPr>
          <w:p>
            <w:pPr>
              <w:pStyle w:val="Compact"/>
              <w:jc w:val="left"/>
            </w:pPr>
            <w:r>
              <w:t xml:space="preserve">Section 301 China: items relying on an exclusion that ends 2026-11-09</w:t>
            </w:r>
          </w:p>
        </w:tc>
        <w:tc>
          <w:tcPr>
            <w:tcW w:w="1901" w:type="dxa"/>
          </w:tcPr>
          <w:p>
            <w:pPr>
              <w:pStyle w:val="Compact"/>
              <w:jc w:val="left"/>
            </w:pPr>
            <w:r>
              <w:t xml:space="preserve">Duty from 2026-11-10 unless extended</w:t>
            </w:r>
          </w:p>
        </w:tc>
        <w:tc>
          <w:tcPr>
            <w:tcW w:w="1838" w:type="dxa"/>
          </w:tcPr>
          <w:p>
            <w:pPr>
              <w:pStyle w:val="Compact"/>
              <w:jc w:val="left"/>
            </w:pPr>
            <w:r>
              <w:t xml:space="preserve">Manager</w:t>
            </w:r>
          </w:p>
        </w:tc>
        <w:tc>
          <w:tcPr>
            <w:tcW w:w="778" w:type="dxa"/>
          </w:tcPr>
          <w:p>
            <w:pPr>
              <w:pStyle w:val="Compact"/>
              <w:jc w:val="left"/>
            </w:pPr>
            <w:r>
              <w:t xml:space="preserve">[ ]</w:t>
            </w:r>
          </w:p>
        </w:tc>
      </w:tr>
      <w:tr>
        <w:tc>
          <w:tcPr>
            <w:tcW w:w="778" w:type="dxa"/>
          </w:tcPr>
          <w:p>
            <w:pPr>
              <w:pStyle w:val="Compact"/>
              <w:jc w:val="left"/>
            </w:pPr>
            <w:r>
              <w:t xml:space="preserve">E6</w:t>
            </w:r>
          </w:p>
        </w:tc>
        <w:tc>
          <w:tcPr>
            <w:tcW w:w="4063" w:type="dxa"/>
          </w:tcPr>
          <w:p>
            <w:pPr>
              <w:pStyle w:val="Compact"/>
              <w:jc w:val="left"/>
            </w:pPr>
            <w:r>
              <w:t xml:space="preserve">Mexico: our IMMEX program is active, the 2025 annual report was filed, and we are not on the 2026-09-29 cancellation list; MVE readiness with the agente aduanal</w:t>
            </w:r>
          </w:p>
        </w:tc>
        <w:tc>
          <w:tcPr>
            <w:tcW w:w="1901" w:type="dxa"/>
          </w:tcPr>
          <w:p>
            <w:pPr>
              <w:pStyle w:val="Compact"/>
              <w:jc w:val="left"/>
            </w:pPr>
            <w:r>
              <w:t xml:space="preserve">Cancellations from 2026-09-01; MVE phases from 2026-11-01</w:t>
            </w:r>
          </w:p>
        </w:tc>
        <w:tc>
          <w:tcPr>
            <w:tcW w:w="1838" w:type="dxa"/>
          </w:tcPr>
          <w:p>
            <w:pPr>
              <w:pStyle w:val="Compact"/>
              <w:jc w:val="left"/>
            </w:pPr>
            <w:r>
              <w:t xml:space="preserve">Manager, with the agente aduanal</w:t>
            </w:r>
          </w:p>
        </w:tc>
        <w:tc>
          <w:tcPr>
            <w:tcW w:w="778" w:type="dxa"/>
          </w:tcPr>
          <w:p>
            <w:pPr>
              <w:pStyle w:val="Compact"/>
              <w:jc w:val="left"/>
            </w:pPr>
            <w:r>
              <w:t xml:space="preserve">[ ]</w:t>
            </w:r>
          </w:p>
        </w:tc>
      </w:tr>
    </w:tbl>
    <w:bookmarkEnd w:id="25"/>
    <w:bookmarkStart w:id="95" w:name="X3d641efda83704841b79de07ab628d8453ce49a"/>
    <w:p>
      <w:pPr>
        <w:pStyle w:val="Heading3"/>
      </w:pPr>
      <w:r>
        <w:t xml:space="preserve">1.2 United States</w:t>
      </w:r>
    </w:p>
    <w:bookmarkStart w:id="29" w:name="Xdf1031d3680bfdb266c9f7beb782c7c645ee990"/>
    <w:p>
      <w:pPr>
        <w:pStyle w:val="Heading4"/>
      </w:pPr>
      <w:r>
        <w:t xml:space="preserve">US-1 IEEPA tariffs, the court ruling and refunds</w:t>
      </w:r>
    </w:p>
    <w:tbl>
      <w:tblPr>
        <w:tblStyle w:val="Table"/>
        <w:tblW w:type="dxa" w:w="9360"/>
        <w:tblLook w:firstRow="1" w:lastRow="0" w:firstColumn="0" w:lastColumn="0" w:noHBand="0" w:noVBand="0" w:val="0020"/>
        <w:jc w:val="start"/>
        <w:tblLayout w:type="fixed"/>
      </w:tblPr>
      <w:tblGrid>
        <w:gridCol w:w="1228"/>
        <w:gridCol w:w="1536"/>
        <w:gridCol w:w="1584"/>
        <w:gridCol w:w="2503"/>
        <w:gridCol w:w="1613"/>
        <w:gridCol w:w="893"/>
      </w:tblGrid>
      <w:tr>
        <w:trPr>
          <w:tblHeader w:val="true"/>
        </w:trPr>
        <w:tc>
          <w:tcPr>
            <w:tcW w:w="1228" w:type="dxa"/>
          </w:tcPr>
          <w:p>
            <w:pPr>
              <w:pStyle w:val="Compact"/>
              <w:jc w:val="left"/>
            </w:pPr>
            <w:r>
              <w:t xml:space="preserve">Action</w:t>
            </w:r>
          </w:p>
        </w:tc>
        <w:tc>
          <w:tcPr>
            <w:tcW w:w="1536" w:type="dxa"/>
          </w:tcPr>
          <w:p>
            <w:pPr>
              <w:pStyle w:val="Compact"/>
              <w:jc w:val="left"/>
            </w:pPr>
            <w:r>
              <w:t xml:space="preserve">Authority</w:t>
            </w:r>
          </w:p>
        </w:tc>
        <w:tc>
          <w:tcPr>
            <w:tcW w:w="1584" w:type="dxa"/>
          </w:tcPr>
          <w:p>
            <w:pPr>
              <w:pStyle w:val="Compact"/>
              <w:jc w:val="left"/>
            </w:pPr>
            <w:r>
              <w:t xml:space="preserve">Scope</w:t>
            </w:r>
          </w:p>
        </w:tc>
        <w:tc>
          <w:tcPr>
            <w:tcW w:w="2503" w:type="dxa"/>
          </w:tcPr>
          <w:p>
            <w:pPr>
              <w:pStyle w:val="Compact"/>
              <w:jc w:val="left"/>
            </w:pPr>
            <w:r>
              <w:t xml:space="preserve">Status as of 2026-10-08</w:t>
            </w:r>
          </w:p>
        </w:tc>
        <w:tc>
          <w:tcPr>
            <w:tcW w:w="1613" w:type="dxa"/>
          </w:tcPr>
          <w:p>
            <w:pPr>
              <w:pStyle w:val="Compact"/>
              <w:jc w:val="left"/>
            </w:pPr>
            <w:r>
              <w:t xml:space="preserve">Source (date)</w:t>
            </w:r>
          </w:p>
        </w:tc>
        <w:tc>
          <w:tcPr>
            <w:tcW w:w="893" w:type="dxa"/>
          </w:tcPr>
          <w:p>
            <w:pPr>
              <w:pStyle w:val="Compact"/>
              <w:jc w:val="left"/>
            </w:pPr>
            <w:r>
              <w:t xml:space="preserve">Confidence</w:t>
            </w:r>
          </w:p>
        </w:tc>
      </w:tr>
      <w:tr>
        <w:tc>
          <w:tcPr>
            <w:tcW w:w="1228" w:type="dxa"/>
          </w:tcPr>
          <w:p>
            <w:pPr>
              <w:pStyle w:val="Compact"/>
              <w:jc w:val="left"/>
            </w:pPr>
            <w:r>
              <w:t xml:space="preserve">"Fentanyl and border" duties on goods of Canada and Mexico</w:t>
            </w:r>
          </w:p>
        </w:tc>
        <w:tc>
          <w:tcPr>
            <w:tcW w:w="1536" w:type="dxa"/>
          </w:tcPr>
          <w:p>
            <w:pPr>
              <w:pStyle w:val="Compact"/>
              <w:jc w:val="left"/>
            </w:pPr>
            <w:r>
              <w:t xml:space="preserve">IEEPA (50 U.S.C. 1701 and following); EO 14193 (Canada) and EO 14194 (Mexico), 2025-02-01, as amended</w:t>
            </w:r>
          </w:p>
        </w:tc>
        <w:tc>
          <w:tcPr>
            <w:tcW w:w="1584" w:type="dxa"/>
          </w:tcPr>
          <w:p>
            <w:pPr>
              <w:pStyle w:val="Compact"/>
              <w:jc w:val="left"/>
            </w:pPr>
            <w:r>
              <w:t xml:space="preserve">25% from 2025-03-04 (Canadian energy and potash 10%). USMCA-qualifying goods exempt from 2025-03-07. Canada raised to 35% from 2025-08-01</w:t>
            </w:r>
          </w:p>
        </w:tc>
        <w:tc>
          <w:tcPr>
            <w:tcW w:w="2503" w:type="dxa"/>
          </w:tcPr>
          <w:p>
            <w:pPr>
              <w:pStyle w:val="Compact"/>
              <w:jc w:val="left"/>
            </w:pPr>
            <w:r>
              <w:t xml:space="preserve">Ended: not collected on goods entered on or after 12:00 a.m. ET 2026-02-24 (EO 14389; CBP CSMS 67834313). Refunds: see the refunds row</w:t>
            </w:r>
          </w:p>
        </w:tc>
        <w:tc>
          <w:tcPr>
            <w:tcW w:w="1613" w:type="dxa"/>
          </w:tcPr>
          <w:p>
            <w:pPr>
              <w:pStyle w:val="Compact"/>
              <w:jc w:val="left"/>
            </w:pPr>
            <w:r>
              <w:t xml:space="preserve">EO 14389,</w:t>
            </w:r>
            <w:r>
              <w:t xml:space="preserve"> </w:t>
            </w:r>
            <w:hyperlink r:id="rId26">
              <w:r>
                <w:rPr>
                  <w:rStyle w:val="Hyperlink"/>
                </w:rPr>
                <w:t xml:space="preserve">https://www.federalregister.gov/d/2026-03832</w:t>
              </w:r>
            </w:hyperlink>
            <w:r>
              <w:t xml:space="preserve"> </w:t>
            </w:r>
            <w:r>
              <w:t xml:space="preserve">(2026-02-25); CBP CSMS 67834313 (2026-02)</w:t>
            </w:r>
          </w:p>
        </w:tc>
        <w:tc>
          <w:tcPr>
            <w:tcW w:w="893" w:type="dxa"/>
          </w:tcPr>
          <w:p>
            <w:pPr>
              <w:pStyle w:val="Compact"/>
              <w:jc w:val="left"/>
            </w:pPr>
            <w:r>
              <w:t xml:space="preserve">Confirmed (end); Reported (rate history)</w:t>
            </w:r>
          </w:p>
        </w:tc>
      </w:tr>
      <w:tr>
        <w:tc>
          <w:tcPr>
            <w:tcW w:w="1228" w:type="dxa"/>
          </w:tcPr>
          <w:p>
            <w:pPr>
              <w:pStyle w:val="Compact"/>
              <w:jc w:val="left"/>
            </w:pPr>
            <w:r>
              <w:t xml:space="preserve">"Fentanyl" duty on goods of China, including Hong Kong</w:t>
            </w:r>
          </w:p>
        </w:tc>
        <w:tc>
          <w:tcPr>
            <w:tcW w:w="1536" w:type="dxa"/>
          </w:tcPr>
          <w:p>
            <w:pPr>
              <w:pStyle w:val="Compact"/>
              <w:jc w:val="left"/>
            </w:pPr>
            <w:r>
              <w:t xml:space="preserve">IEEPA; EO 14195, 2025-02-01, as amended</w:t>
            </w:r>
          </w:p>
        </w:tc>
        <w:tc>
          <w:tcPr>
            <w:tcW w:w="1584" w:type="dxa"/>
          </w:tcPr>
          <w:p>
            <w:pPr>
              <w:pStyle w:val="Compact"/>
              <w:jc w:val="left"/>
            </w:pPr>
            <w:r>
              <w:t xml:space="preserve">10% from 2025-02-04; 20% from 2025-03-04; 10% from 2025-11-10 under the US-China arrangement</w:t>
            </w:r>
          </w:p>
        </w:tc>
        <w:tc>
          <w:tcPr>
            <w:tcW w:w="2503" w:type="dxa"/>
          </w:tcPr>
          <w:p>
            <w:pPr>
              <w:pStyle w:val="Compact"/>
              <w:jc w:val="left"/>
            </w:pPr>
            <w:r>
              <w:t xml:space="preserve">Ended for goods entered on or after 2026-02-24</w:t>
            </w:r>
          </w:p>
        </w:tc>
        <w:tc>
          <w:tcPr>
            <w:tcW w:w="1613" w:type="dxa"/>
          </w:tcPr>
          <w:p>
            <w:pPr>
              <w:pStyle w:val="Compact"/>
              <w:jc w:val="left"/>
            </w:pPr>
            <w:r>
              <w:t xml:space="preserve">Same</w:t>
            </w:r>
          </w:p>
        </w:tc>
        <w:tc>
          <w:tcPr>
            <w:tcW w:w="893" w:type="dxa"/>
          </w:tcPr>
          <w:p>
            <w:pPr>
              <w:pStyle w:val="Compact"/>
              <w:jc w:val="left"/>
            </w:pPr>
            <w:r>
              <w:t xml:space="preserve">Confirmed (end); Reported (rate history)</w:t>
            </w:r>
          </w:p>
        </w:tc>
      </w:tr>
      <w:tr>
        <w:tc>
          <w:tcPr>
            <w:tcW w:w="1228" w:type="dxa"/>
          </w:tcPr>
          <w:p>
            <w:pPr>
              <w:pStyle w:val="Compact"/>
              <w:jc w:val="left"/>
            </w:pPr>
            <w:r>
              <w:t xml:space="preserve">"Reciprocal" tariffs</w:t>
            </w:r>
          </w:p>
        </w:tc>
        <w:tc>
          <w:tcPr>
            <w:tcW w:w="1536" w:type="dxa"/>
          </w:tcPr>
          <w:p>
            <w:pPr>
              <w:pStyle w:val="Compact"/>
              <w:jc w:val="left"/>
            </w:pPr>
            <w:r>
              <w:t xml:space="preserve">IEEPA; EO 14257, 2025-04-02, as amended (including EO 14326)</w:t>
            </w:r>
          </w:p>
        </w:tc>
        <w:tc>
          <w:tcPr>
            <w:tcW w:w="1584" w:type="dxa"/>
          </w:tcPr>
          <w:p>
            <w:pPr>
              <w:pStyle w:val="Compact"/>
              <w:jc w:val="left"/>
            </w:pPr>
            <w:r>
              <w:t xml:space="preserve">10% baseline from 2025-04-05; country rates from 2025-08-07. Canada and Mexico not covered; goods subject to Section 232 not covered</w:t>
            </w:r>
          </w:p>
        </w:tc>
        <w:tc>
          <w:tcPr>
            <w:tcW w:w="2503" w:type="dxa"/>
          </w:tcPr>
          <w:p>
            <w:pPr>
              <w:pStyle w:val="Compact"/>
              <w:jc w:val="left"/>
            </w:pPr>
            <w:r>
              <w:t xml:space="preserve">Ended for goods entered on or after 2026-02-24</w:t>
            </w:r>
          </w:p>
        </w:tc>
        <w:tc>
          <w:tcPr>
            <w:tcW w:w="1613" w:type="dxa"/>
          </w:tcPr>
          <w:p>
            <w:pPr>
              <w:pStyle w:val="Compact"/>
              <w:jc w:val="left"/>
            </w:pPr>
            <w:r>
              <w:t xml:space="preserve">Same</w:t>
            </w:r>
          </w:p>
        </w:tc>
        <w:tc>
          <w:tcPr>
            <w:tcW w:w="893" w:type="dxa"/>
          </w:tcPr>
          <w:p>
            <w:pPr>
              <w:pStyle w:val="Compact"/>
              <w:jc w:val="left"/>
            </w:pPr>
            <w:r>
              <w:t xml:space="preserve">Confirmed (end); Reported (rate history)</w:t>
            </w:r>
          </w:p>
        </w:tc>
      </w:tr>
      <w:tr>
        <w:tc>
          <w:tcPr>
            <w:tcW w:w="1228" w:type="dxa"/>
          </w:tcPr>
          <w:p>
            <w:pPr>
              <w:pStyle w:val="Compact"/>
              <w:jc w:val="left"/>
            </w:pPr>
            <w:r>
              <w:t xml:space="preserve">Other IEEPA country duties, for example Brazil (40% from 2025-08-06) and India (25% from 2025-08-27)</w:t>
            </w:r>
          </w:p>
        </w:tc>
        <w:tc>
          <w:tcPr>
            <w:tcW w:w="1536" w:type="dxa"/>
          </w:tcPr>
          <w:p>
            <w:pPr>
              <w:pStyle w:val="Compact"/>
              <w:jc w:val="left"/>
            </w:pPr>
            <w:r>
              <w:t xml:space="preserve">IEEPA; EO 14323; EO 14329</w:t>
            </w:r>
          </w:p>
        </w:tc>
        <w:tc>
          <w:tcPr>
            <w:tcW w:w="1584" w:type="dxa"/>
          </w:tcPr>
          <w:p>
            <w:pPr>
              <w:pStyle w:val="Compact"/>
              <w:jc w:val="left"/>
            </w:pPr>
            <w:r>
              <w:t xml:space="preserve">All goods of the country, with listed exceptions</w:t>
            </w:r>
          </w:p>
        </w:tc>
        <w:tc>
          <w:tcPr>
            <w:tcW w:w="2503" w:type="dxa"/>
          </w:tcPr>
          <w:p>
            <w:pPr>
              <w:pStyle w:val="Compact"/>
              <w:jc w:val="left"/>
            </w:pPr>
            <w:r>
              <w:t xml:space="preserve">Ended for goods entered on or after 2026-02-24</w:t>
            </w:r>
          </w:p>
        </w:tc>
        <w:tc>
          <w:tcPr>
            <w:tcW w:w="1613" w:type="dxa"/>
          </w:tcPr>
          <w:p>
            <w:pPr>
              <w:pStyle w:val="Compact"/>
              <w:jc w:val="left"/>
            </w:pPr>
            <w:r>
              <w:t xml:space="preserve">Same</w:t>
            </w:r>
          </w:p>
        </w:tc>
        <w:tc>
          <w:tcPr>
            <w:tcW w:w="893" w:type="dxa"/>
          </w:tcPr>
          <w:p>
            <w:pPr>
              <w:pStyle w:val="Compact"/>
              <w:jc w:val="left"/>
            </w:pPr>
            <w:r>
              <w:t xml:space="preserve">Confirmed (end); Reported (rate history)</w:t>
            </w:r>
          </w:p>
        </w:tc>
      </w:tr>
      <w:tr>
        <w:tc>
          <w:tcPr>
            <w:tcW w:w="1228" w:type="dxa"/>
          </w:tcPr>
          <w:p>
            <w:pPr>
              <w:pStyle w:val="Compact"/>
              <w:jc w:val="left"/>
            </w:pPr>
            <w:r>
              <w:t xml:space="preserve">Supreme Court ruling on IEEPA tariffs</w:t>
            </w:r>
          </w:p>
        </w:tc>
        <w:tc>
          <w:tcPr>
            <w:tcW w:w="1536" w:type="dxa"/>
          </w:tcPr>
          <w:p>
            <w:pPr>
              <w:pStyle w:val="Compact"/>
              <w:jc w:val="left"/>
            </w:pPr>
            <w:r>
              <w:t xml:space="preserve">Learning Resources, Inc. v. Trump (No. 24-1287), decided with Trump v. V.O.S. Selections, Inc. (No. 25-250)</w:t>
            </w:r>
          </w:p>
        </w:tc>
        <w:tc>
          <w:tcPr>
            <w:tcW w:w="1584" w:type="dxa"/>
          </w:tcPr>
          <w:p>
            <w:pPr>
              <w:pStyle w:val="Compact"/>
              <w:jc w:val="left"/>
            </w:pPr>
            <w:r>
              <w:t xml:space="preserve">Whether IEEPA allows the President to impose tariffs</w:t>
            </w:r>
          </w:p>
        </w:tc>
        <w:tc>
          <w:tcPr>
            <w:tcW w:w="2503" w:type="dxa"/>
          </w:tcPr>
          <w:p>
            <w:pPr>
              <w:pStyle w:val="Compact"/>
              <w:jc w:val="left"/>
            </w:pPr>
            <w:r>
              <w:t xml:space="preserve">Decided 2026-02-20, 6-3: IEEPA does not authorize tariffs. Remedies run through CBP's CAPE process and the Court of International Trade (next row)</w:t>
            </w:r>
          </w:p>
        </w:tc>
        <w:tc>
          <w:tcPr>
            <w:tcW w:w="1613" w:type="dxa"/>
          </w:tcPr>
          <w:p>
            <w:pPr>
              <w:pStyle w:val="Compact"/>
              <w:jc w:val="left"/>
            </w:pPr>
            <w:hyperlink r:id="rId27">
              <w:r>
                <w:rPr>
                  <w:rStyle w:val="Hyperlink"/>
                </w:rPr>
                <w:t xml:space="preserve">https://www.supremecourt.gov/opinions/slipopinion/25</w:t>
              </w:r>
            </w:hyperlink>
            <w:r>
              <w:t xml:space="preserve"> </w:t>
            </w:r>
            <w:r>
              <w:t xml:space="preserve">(2026-02-20)</w:t>
            </w:r>
          </w:p>
        </w:tc>
        <w:tc>
          <w:tcPr>
            <w:tcW w:w="893" w:type="dxa"/>
          </w:tcPr>
          <w:p>
            <w:pPr>
              <w:pStyle w:val="Compact"/>
              <w:jc w:val="left"/>
            </w:pPr>
            <w:r>
              <w:t xml:space="preserve">Confirmed</w:t>
            </w:r>
          </w:p>
        </w:tc>
      </w:tr>
      <w:tr>
        <w:tc>
          <w:tcPr>
            <w:tcW w:w="1228" w:type="dxa"/>
          </w:tcPr>
          <w:p>
            <w:pPr>
              <w:pStyle w:val="Compact"/>
              <w:jc w:val="left"/>
            </w:pPr>
            <w:r>
              <w:t xml:space="preserve">Refunds of IEEPA duties already paid</w:t>
            </w:r>
          </w:p>
        </w:tc>
        <w:tc>
          <w:tcPr>
            <w:tcW w:w="1536" w:type="dxa"/>
          </w:tcPr>
          <w:p>
            <w:pPr>
              <w:pStyle w:val="Compact"/>
              <w:jc w:val="left"/>
            </w:pPr>
            <w:r>
              <w:t xml:space="preserve">CBP's CAPE (Consolidated Administration and Processing of Entries) process in ACE; Court of International Trade orders; protests (19 U.S.C. 1514)</w:t>
            </w:r>
          </w:p>
        </w:tc>
        <w:tc>
          <w:tcPr>
            <w:tcW w:w="1584" w:type="dxa"/>
          </w:tcPr>
          <w:p>
            <w:pPr>
              <w:pStyle w:val="Compact"/>
              <w:jc w:val="left"/>
            </w:pPr>
            <w:r>
              <w:t xml:space="preserve">IEEPA Chapter 99 duties on entries up to 2026-02-23</w:t>
            </w:r>
          </w:p>
        </w:tc>
        <w:tc>
          <w:tcPr>
            <w:tcW w:w="2503" w:type="dxa"/>
          </w:tcPr>
          <w:p>
            <w:pPr>
              <w:pStyle w:val="Compact"/>
              <w:jc w:val="left"/>
            </w:pPr>
            <w:r>
              <w:t xml:space="preserve">Running. Phase 1 from 2026-04-20: unliquidated entries and entries no more than 80 days past liquidation. The importer of record or its filing broker uploads a CAPE Declaration (a list of entries) in the ACE Portal; CBP removes the IEEPA lines, liquidates or reliquidates, and pays by ACH to a refund bank account set up in ACE (payment waits until the ACH refund details are in place). Phase 1 excludes finally liquidated entries, reconciliation-flagged entries, entries on a drawback claim and entries under an open protest. Phase 2 from 2026-06-29: reconciliation-flagged entries with no reconciliation filed. Phase 3 (finally liquidated entries of plaintiffs covered by a court reliquidation order) was scheduled for 2026-10-06; launch not confirmed. Other finally liquidated entries: no route confirmed; a government appeal is pending (reported)</w:t>
            </w:r>
          </w:p>
        </w:tc>
        <w:tc>
          <w:tcPr>
            <w:tcW w:w="1613" w:type="dxa"/>
          </w:tcPr>
          <w:p>
            <w:pPr>
              <w:pStyle w:val="Compact"/>
              <w:jc w:val="left"/>
            </w:pPr>
            <w:hyperlink r:id="rId24">
              <w:r>
                <w:rPr>
                  <w:rStyle w:val="Hyperlink"/>
                </w:rPr>
                <w:t xml:space="preserve">https://www.cbp.gov/trade/programs-administration/trade-remedies/ieepa-duty-refunds</w:t>
              </w:r>
            </w:hyperlink>
            <w:r>
              <w:t xml:space="preserve"> </w:t>
            </w:r>
            <w:r>
              <w:t xml:space="preserve">(updated 2026-09-02);</w:t>
            </w:r>
            <w:r>
              <w:t xml:space="preserve"> </w:t>
            </w:r>
            <w:hyperlink r:id="rId28">
              <w:r>
                <w:rPr>
                  <w:rStyle w:val="Hyperlink"/>
                </w:rPr>
                <w:t xml:space="preserve">https://www.cbp.gov/document/guidance/trade-information-notice-cape</w:t>
              </w:r>
            </w:hyperlink>
            <w:r>
              <w:t xml:space="preserve"> </w:t>
            </w:r>
            <w:r>
              <w:t xml:space="preserve">(2026-04, updated 2026-07-23)</w:t>
            </w:r>
          </w:p>
        </w:tc>
        <w:tc>
          <w:tcPr>
            <w:tcW w:w="893" w:type="dxa"/>
          </w:tcPr>
          <w:p>
            <w:pPr>
              <w:pStyle w:val="Compact"/>
              <w:jc w:val="left"/>
            </w:pPr>
            <w:r>
              <w:t xml:space="preserve">Confirmed (Phases 1 and 2); Reported (Phase 3, appeal)</w:t>
            </w:r>
          </w:p>
        </w:tc>
      </w:tr>
    </w:tbl>
    <w:p>
      <w:pPr>
        <w:pStyle w:val="BodyText"/>
      </w:pPr>
      <w:r>
        <w:t xml:space="preserve">Why the refund question matters to us: if we were importer of record on entries that paid IEEPA duties (for example non-USMCA goods of Canada or Mexico, or goods of China), there is money to recover through CAPE, and the easy route closes as entries age past liquidation. That is company check E1 in 1.1. Research identifies the mechanism and the affected entries; trade counsel decides on protests or court action; Standard Cost and Finance handle the $ ([COMPANY: who owns the refund project]).</w:t>
      </w:r>
    </w:p>
    <w:bookmarkEnd w:id="29"/>
    <w:bookmarkStart w:id="37" w:name="X35f2a7c521d4843deb215a42549f3eec3346bb5"/>
    <w:p>
      <w:pPr>
        <w:pStyle w:val="Heading4"/>
      </w:pPr>
      <w:r>
        <w:t xml:space="preserve">US-2 Measures that replaced IEEPA in 2026</w:t>
      </w:r>
    </w:p>
    <w:tbl>
      <w:tblPr>
        <w:tblStyle w:val="Table"/>
        <w:tblW w:type="dxa" w:w="9360"/>
        <w:tblLook w:firstRow="1" w:lastRow="0" w:firstColumn="0" w:lastColumn="0" w:noHBand="0" w:noVBand="0" w:val="0020"/>
        <w:jc w:val="start"/>
        <w:tblLayout w:type="fixed"/>
      </w:tblPr>
      <w:tblGrid>
        <w:gridCol w:w="1067"/>
        <w:gridCol w:w="1499"/>
        <w:gridCol w:w="2431"/>
        <w:gridCol w:w="1714"/>
        <w:gridCol w:w="1767"/>
        <w:gridCol w:w="880"/>
      </w:tblGrid>
      <w:tr>
        <w:trPr>
          <w:tblHeader w:val="true"/>
        </w:trPr>
        <w:tc>
          <w:tcPr>
            <w:tcW w:w="1067" w:type="dxa"/>
          </w:tcPr>
          <w:p>
            <w:pPr>
              <w:pStyle w:val="Compact"/>
              <w:jc w:val="left"/>
            </w:pPr>
            <w:r>
              <w:t xml:space="preserve">Action</w:t>
            </w:r>
          </w:p>
        </w:tc>
        <w:tc>
          <w:tcPr>
            <w:tcW w:w="1499" w:type="dxa"/>
          </w:tcPr>
          <w:p>
            <w:pPr>
              <w:pStyle w:val="Compact"/>
              <w:jc w:val="left"/>
            </w:pPr>
            <w:r>
              <w:t xml:space="preserve">Authority</w:t>
            </w:r>
          </w:p>
        </w:tc>
        <w:tc>
          <w:tcPr>
            <w:tcW w:w="2431" w:type="dxa"/>
          </w:tcPr>
          <w:p>
            <w:pPr>
              <w:pStyle w:val="Compact"/>
              <w:jc w:val="left"/>
            </w:pPr>
            <w:r>
              <w:t xml:space="preserve">Scope</w:t>
            </w:r>
          </w:p>
        </w:tc>
        <w:tc>
          <w:tcPr>
            <w:tcW w:w="1714" w:type="dxa"/>
          </w:tcPr>
          <w:p>
            <w:pPr>
              <w:pStyle w:val="Compact"/>
              <w:jc w:val="left"/>
            </w:pPr>
            <w:r>
              <w:t xml:space="preserve">Status as of 2026-10-08</w:t>
            </w:r>
          </w:p>
        </w:tc>
        <w:tc>
          <w:tcPr>
            <w:tcW w:w="1767" w:type="dxa"/>
          </w:tcPr>
          <w:p>
            <w:pPr>
              <w:pStyle w:val="Compact"/>
              <w:jc w:val="left"/>
            </w:pPr>
            <w:r>
              <w:t xml:space="preserve">Source (date)</w:t>
            </w:r>
          </w:p>
        </w:tc>
        <w:tc>
          <w:tcPr>
            <w:tcW w:w="880" w:type="dxa"/>
          </w:tcPr>
          <w:p>
            <w:pPr>
              <w:pStyle w:val="Compact"/>
              <w:jc w:val="left"/>
            </w:pPr>
            <w:r>
              <w:t xml:space="preserve">Confidence</w:t>
            </w:r>
          </w:p>
        </w:tc>
      </w:tr>
      <w:tr>
        <w:tc>
          <w:tcPr>
            <w:tcW w:w="1067" w:type="dxa"/>
          </w:tcPr>
          <w:p>
            <w:pPr>
              <w:pStyle w:val="Compact"/>
              <w:jc w:val="left"/>
            </w:pPr>
            <w:r>
              <w:t xml:space="preserve">Temporary import surcharge (Section 122)</w:t>
            </w:r>
          </w:p>
        </w:tc>
        <w:tc>
          <w:tcPr>
            <w:tcW w:w="1499" w:type="dxa"/>
          </w:tcPr>
          <w:p>
            <w:pPr>
              <w:pStyle w:val="Compact"/>
              <w:jc w:val="left"/>
            </w:pPr>
            <w:r>
              <w:t xml:space="preserve">Trade Act of 1974, section 122 (19 U.S.C. 2132); Proclamation 11012 of 2026-02-20</w:t>
            </w:r>
          </w:p>
        </w:tc>
        <w:tc>
          <w:tcPr>
            <w:tcW w:w="2431" w:type="dxa"/>
          </w:tcPr>
          <w:p>
            <w:pPr>
              <w:pStyle w:val="Compact"/>
              <w:jc w:val="left"/>
            </w:pPr>
            <w:r>
              <w:t xml:space="preserve">10% ad valorem on most goods entered from 12:01 a.m. EST 2026-02-24 to 12:01 a.m. EDT 2026-07-24 (the 150-day limit). Not applied to goods of Canada (9903.03.07) or Mexico (9903.03.08) entered free of duty under USMCA, to goods subject to Section 232, or to annex goods such as energy, certain critical minerals and some agricultural goods. An announced increase to 15% was not implemented (reported)</w:t>
            </w:r>
          </w:p>
        </w:tc>
        <w:tc>
          <w:tcPr>
            <w:tcW w:w="1714" w:type="dxa"/>
          </w:tcPr>
          <w:p>
            <w:pPr>
              <w:pStyle w:val="Compact"/>
              <w:jc w:val="left"/>
            </w:pPr>
            <w:r>
              <w:t xml:space="preserve">Ended 2026-07-24; Congress did not extend it. The Court of International Trade held it unlawful on 2026-05-07 (Slip Op. 26-47), with relief limited to the plaintiffs; the Federal Circuit stayed that judgment pending appeal on 2026-06-11 (reported). No CBP refund process (reported). Counsel decides on protests as entries liquidate</w:t>
            </w:r>
          </w:p>
        </w:tc>
        <w:tc>
          <w:tcPr>
            <w:tcW w:w="1767" w:type="dxa"/>
          </w:tcPr>
          <w:p>
            <w:pPr>
              <w:pStyle w:val="Compact"/>
              <w:jc w:val="left"/>
            </w:pPr>
            <w:hyperlink r:id="rId30">
              <w:r>
                <w:rPr>
                  <w:rStyle w:val="Hyperlink"/>
                </w:rPr>
                <w:t xml:space="preserve">https://www.federalregister.gov/d/2026-03824</w:t>
              </w:r>
            </w:hyperlink>
            <w:r>
              <w:t xml:space="preserve"> </w:t>
            </w:r>
            <w:r>
              <w:t xml:space="preserve">(2026-02-25); CBP CSMS 67844987,</w:t>
            </w:r>
            <w:r>
              <w:t xml:space="preserve"> </w:t>
            </w:r>
            <w:hyperlink r:id="rId31">
              <w:r>
                <w:rPr>
                  <w:rStyle w:val="Hyperlink"/>
                </w:rPr>
                <w:t xml:space="preserve">https://content.govdelivery.com/accounts/USDHSCBP/bulletins/40b3b7b</w:t>
              </w:r>
            </w:hyperlink>
            <w:r>
              <w:t xml:space="preserve"> </w:t>
            </w:r>
            <w:r>
              <w:t xml:space="preserve">(2026-02);</w:t>
            </w:r>
            <w:r>
              <w:t xml:space="preserve"> </w:t>
            </w:r>
            <w:hyperlink r:id="rId32">
              <w:r>
                <w:rPr>
                  <w:rStyle w:val="Hyperlink"/>
                </w:rPr>
                <w:t xml:space="preserve">https://www.cit.uscourts.gov/sites/cit/files/26-47.pdf</w:t>
              </w:r>
            </w:hyperlink>
            <w:r>
              <w:t xml:space="preserve"> </w:t>
            </w:r>
            <w:r>
              <w:t xml:space="preserve">(2026-05-07)</w:t>
            </w:r>
          </w:p>
        </w:tc>
        <w:tc>
          <w:tcPr>
            <w:tcW w:w="880" w:type="dxa"/>
          </w:tcPr>
          <w:p>
            <w:pPr>
              <w:pStyle w:val="Compact"/>
              <w:jc w:val="left"/>
            </w:pPr>
            <w:r>
              <w:t xml:space="preserve">Confirmed (terms, end, CIT ruling); Reported (appeal, 15%)</w:t>
            </w:r>
          </w:p>
        </w:tc>
      </w:tr>
      <w:tr>
        <w:tc>
          <w:tcPr>
            <w:tcW w:w="1067" w:type="dxa"/>
          </w:tcPr>
          <w:p>
            <w:pPr>
              <w:pStyle w:val="Compact"/>
              <w:jc w:val="left"/>
            </w:pPr>
            <w:r>
              <w:t xml:space="preserve">Section 301 forced-labor duties on 60 economies</w:t>
            </w:r>
          </w:p>
        </w:tc>
        <w:tc>
          <w:tcPr>
            <w:tcW w:w="1499" w:type="dxa"/>
          </w:tcPr>
          <w:p>
            <w:pPr>
              <w:pStyle w:val="Compact"/>
              <w:jc w:val="left"/>
            </w:pPr>
            <w:r>
              <w:t xml:space="preserve">Section 301 (19 U.S.C. 2411); investigations opened 2026-03-12; determinations 2026-06-02 (FR 2026-11296); presidential memorandum of 2026-07-23 and USTR notice of action (FR 2026-15274 and 2026-15181)</w:t>
            </w:r>
          </w:p>
        </w:tc>
        <w:tc>
          <w:tcPr>
            <w:tcW w:w="2431" w:type="dxa"/>
          </w:tcPr>
          <w:p>
            <w:pPr>
              <w:pStyle w:val="Compact"/>
              <w:jc w:val="left"/>
            </w:pPr>
            <w:r>
              <w:t xml:space="preserve">10% or 12.5% additional on goods of 60 economies entered from 12:01 a.m. ET 2026-07-24. Canada 10% (9903.05.29) and Mexico 10% (9903.05.55), but not on goods of Canada or Mexico entered free of duty under USMCA (9903.05.93, 9903.05.94). China 12.5%, on top of the existing China Section 301 duties (reported). Not applied to articles subject to Section 232, informational materials, donations, baggage and listed raw materials. In-transit relief (9903.05.85) for goods in transit before 2026-07-24 and entered before 12:01 a.m. ET 2026-07-28</w:t>
            </w:r>
          </w:p>
        </w:tc>
        <w:tc>
          <w:tcPr>
            <w:tcW w:w="1714" w:type="dxa"/>
          </w:tcPr>
          <w:p>
            <w:pPr>
              <w:pStyle w:val="Compact"/>
              <w:jc w:val="left"/>
            </w:pPr>
            <w:r>
              <w:t xml:space="preserve">In force. Replaced the Section 122 surcharge. USTR may modify the action for any economy</w:t>
            </w:r>
          </w:p>
        </w:tc>
        <w:tc>
          <w:tcPr>
            <w:tcW w:w="1767" w:type="dxa"/>
          </w:tcPr>
          <w:p>
            <w:pPr>
              <w:pStyle w:val="Compact"/>
              <w:jc w:val="left"/>
            </w:pPr>
            <w:hyperlink r:id="rId33">
              <w:r>
                <w:rPr>
                  <w:rStyle w:val="Hyperlink"/>
                </w:rPr>
                <w:t xml:space="preserve">https://www.federalregister.gov/d/2026-15181</w:t>
              </w:r>
            </w:hyperlink>
            <w:r>
              <w:t xml:space="preserve"> </w:t>
            </w:r>
            <w:r>
              <w:t xml:space="preserve">(2026-07-28); CBP CSMS 69326983,</w:t>
            </w:r>
            <w:r>
              <w:t xml:space="preserve"> </w:t>
            </w:r>
            <w:hyperlink r:id="rId34">
              <w:r>
                <w:rPr>
                  <w:rStyle w:val="Hyperlink"/>
                </w:rPr>
                <w:t xml:space="preserve">https://content.govdelivery.com/accounts/USDHSCBP/bulletins/421d887</w:t>
              </w:r>
            </w:hyperlink>
            <w:r>
              <w:t xml:space="preserve"> </w:t>
            </w:r>
            <w:r>
              <w:t xml:space="preserve">(2026-07-23)</w:t>
            </w:r>
          </w:p>
        </w:tc>
        <w:tc>
          <w:tcPr>
            <w:tcW w:w="880" w:type="dxa"/>
          </w:tcPr>
          <w:p>
            <w:pPr>
              <w:pStyle w:val="Compact"/>
              <w:jc w:val="left"/>
            </w:pPr>
            <w:r>
              <w:t xml:space="preserve">Confirmed</w:t>
            </w:r>
          </w:p>
        </w:tc>
      </w:tr>
      <w:tr>
        <w:tc>
          <w:tcPr>
            <w:tcW w:w="1067" w:type="dxa"/>
          </w:tcPr>
          <w:p>
            <w:pPr>
              <w:pStyle w:val="Compact"/>
              <w:jc w:val="left"/>
            </w:pPr>
            <w:r>
              <w:t xml:space="preserve">Section 301 structural excess capacity investigations of 16 economies, including China and Mexico</w:t>
            </w:r>
          </w:p>
        </w:tc>
        <w:tc>
          <w:tcPr>
            <w:tcW w:w="1499" w:type="dxa"/>
          </w:tcPr>
          <w:p>
            <w:pPr>
              <w:pStyle w:val="Compact"/>
              <w:jc w:val="left"/>
            </w:pPr>
            <w:r>
              <w:t xml:space="preserve">Section 301; initiated 2026-03-11 (FR 2026-05214); hearings 2026-05-05 to 2026-05-08</w:t>
            </w:r>
          </w:p>
        </w:tc>
        <w:tc>
          <w:tcPr>
            <w:tcW w:w="2431" w:type="dxa"/>
          </w:tcPr>
          <w:p>
            <w:pPr>
              <w:pStyle w:val="Compact"/>
              <w:jc w:val="left"/>
            </w:pPr>
            <w:r>
              <w:t xml:space="preserve">Possible duties on manufacturing sectors</w:t>
            </w:r>
          </w:p>
        </w:tc>
        <w:tc>
          <w:tcPr>
            <w:tcW w:w="1714" w:type="dxa"/>
          </w:tcPr>
          <w:p>
            <w:pPr>
              <w:pStyle w:val="Compact"/>
              <w:jc w:val="left"/>
            </w:pPr>
            <w:r>
              <w:t xml:space="preserve">Pending: no determination found as of 2026-10-08</w:t>
            </w:r>
          </w:p>
        </w:tc>
        <w:tc>
          <w:tcPr>
            <w:tcW w:w="1767" w:type="dxa"/>
          </w:tcPr>
          <w:p>
            <w:pPr>
              <w:pStyle w:val="Compact"/>
              <w:jc w:val="left"/>
            </w:pPr>
            <w:hyperlink r:id="rId35">
              <w:r>
                <w:rPr>
                  <w:rStyle w:val="Hyperlink"/>
                </w:rPr>
                <w:t xml:space="preserve">https://www.federalregister.gov/d/2026-05214</w:t>
              </w:r>
            </w:hyperlink>
            <w:r>
              <w:t xml:space="preserve"> </w:t>
            </w:r>
            <w:r>
              <w:t xml:space="preserve">(2026-03-17);</w:t>
            </w:r>
            <w:r>
              <w:t xml:space="preserve"> </w:t>
            </w:r>
            <w:hyperlink r:id="rId36">
              <w:r>
                <w:rPr>
                  <w:rStyle w:val="Hyperlink"/>
                </w:rPr>
                <w:t xml:space="preserve">https://ustr.gov/issue-areas/enforcement/section-301-investigations</w:t>
              </w:r>
            </w:hyperlink>
          </w:p>
        </w:tc>
        <w:tc>
          <w:tcPr>
            <w:tcW w:w="880" w:type="dxa"/>
          </w:tcPr>
          <w:p>
            <w:pPr>
              <w:pStyle w:val="Compact"/>
              <w:jc w:val="left"/>
            </w:pPr>
            <w:r>
              <w:t xml:space="preserve">Confirmed (initiation); Unclear (outcome)</w:t>
            </w:r>
          </w:p>
        </w:tc>
      </w:tr>
    </w:tbl>
    <w:p>
      <w:pPr>
        <w:pStyle w:val="BodyText"/>
      </w:pPr>
      <w:r>
        <w:t xml:space="preserve">Section 338 duties on goods of Canada are in US-5. New Section 232 actions are in US-3.</w:t>
      </w:r>
    </w:p>
    <w:bookmarkEnd w:id="37"/>
    <w:bookmarkStart w:id="56" w:name="Xf8ef408e4e4907c4be0f09d1ef3c9eaf61175cf"/>
    <w:p>
      <w:pPr>
        <w:pStyle w:val="Heading4"/>
      </w:pPr>
      <w:r>
        <w:t xml:space="preserve">US-3 Section 232 (Trade Expansion Act of 1962, 19 U.S.C. 1862)</w:t>
      </w:r>
    </w:p>
    <w:tbl>
      <w:tblPr>
        <w:tblStyle w:val="Table"/>
        <w:tblW w:type="dxa" w:w="9360"/>
        <w:tblLook w:firstRow="1" w:lastRow="0" w:firstColumn="0" w:lastColumn="0" w:noHBand="0" w:noVBand="0" w:val="0020"/>
        <w:jc w:val="start"/>
        <w:tblLayout w:type="fixed"/>
      </w:tblPr>
      <w:tblGrid>
        <w:gridCol w:w="1064"/>
        <w:gridCol w:w="1155"/>
        <w:gridCol w:w="2944"/>
        <w:gridCol w:w="1505"/>
        <w:gridCol w:w="1614"/>
        <w:gridCol w:w="1075"/>
      </w:tblGrid>
      <w:tr>
        <w:trPr>
          <w:tblHeader w:val="true"/>
        </w:trPr>
        <w:tc>
          <w:tcPr>
            <w:tcW w:w="1064" w:type="dxa"/>
          </w:tcPr>
          <w:p>
            <w:pPr>
              <w:pStyle w:val="Compact"/>
              <w:jc w:val="left"/>
            </w:pPr>
            <w:r>
              <w:t xml:space="preserve">Action</w:t>
            </w:r>
          </w:p>
        </w:tc>
        <w:tc>
          <w:tcPr>
            <w:tcW w:w="1155" w:type="dxa"/>
          </w:tcPr>
          <w:p>
            <w:pPr>
              <w:pStyle w:val="Compact"/>
              <w:jc w:val="left"/>
            </w:pPr>
            <w:r>
              <w:t xml:space="preserve">Authority</w:t>
            </w:r>
          </w:p>
        </w:tc>
        <w:tc>
          <w:tcPr>
            <w:tcW w:w="2944" w:type="dxa"/>
          </w:tcPr>
          <w:p>
            <w:pPr>
              <w:pStyle w:val="Compact"/>
              <w:jc w:val="left"/>
            </w:pPr>
            <w:r>
              <w:t xml:space="preserve">Scope</w:t>
            </w:r>
          </w:p>
        </w:tc>
        <w:tc>
          <w:tcPr>
            <w:tcW w:w="1505" w:type="dxa"/>
          </w:tcPr>
          <w:p>
            <w:pPr>
              <w:pStyle w:val="Compact"/>
              <w:jc w:val="left"/>
            </w:pPr>
            <w:r>
              <w:t xml:space="preserve">Status as of 2026-10-08</w:t>
            </w:r>
          </w:p>
        </w:tc>
        <w:tc>
          <w:tcPr>
            <w:tcW w:w="1614" w:type="dxa"/>
          </w:tcPr>
          <w:p>
            <w:pPr>
              <w:pStyle w:val="Compact"/>
              <w:jc w:val="left"/>
            </w:pPr>
            <w:r>
              <w:t xml:space="preserve">Source (date)</w:t>
            </w:r>
          </w:p>
        </w:tc>
        <w:tc>
          <w:tcPr>
            <w:tcW w:w="1075" w:type="dxa"/>
          </w:tcPr>
          <w:p>
            <w:pPr>
              <w:pStyle w:val="Compact"/>
              <w:jc w:val="left"/>
            </w:pPr>
            <w:r>
              <w:t xml:space="preserve">Confidence</w:t>
            </w:r>
          </w:p>
        </w:tc>
      </w:tr>
      <w:tr>
        <w:tc>
          <w:tcPr>
            <w:tcW w:w="1064" w:type="dxa"/>
          </w:tcPr>
          <w:p>
            <w:pPr>
              <w:pStyle w:val="Compact"/>
              <w:jc w:val="left"/>
            </w:pPr>
            <w:r>
              <w:t xml:space="preserve">Steel, aluminum and copper articles and derivatives (one regime since 2026-04-06)</w:t>
            </w:r>
          </w:p>
        </w:tc>
        <w:tc>
          <w:tcPr>
            <w:tcW w:w="1155" w:type="dxa"/>
          </w:tcPr>
          <w:p>
            <w:pPr>
              <w:pStyle w:val="Compact"/>
              <w:jc w:val="left"/>
            </w:pPr>
            <w:r>
              <w:t xml:space="preserve">Proclamations 9704 and 9705 (2018) and the copper proclamation of 2025-07-30, as amended; restructured by Proclamation 11021 (2026-04-02); amended by Proclamation 11032 (2026-06-01) and Proclamation 11045 (2026-07-20, aluminum investment incentive)</w:t>
            </w:r>
          </w:p>
        </w:tc>
        <w:tc>
          <w:tcPr>
            <w:tcW w:w="2944" w:type="dxa"/>
          </w:tcPr>
          <w:p>
            <w:pPr>
              <w:pStyle w:val="Compact"/>
              <w:jc w:val="left"/>
            </w:pPr>
            <w:r>
              <w:t xml:space="preserve">From 12:01 a.m. EDT 2026-04-06 the duty applies to the full customs value, whatever the metal content. Annex I-A goods 50% (UK 25%); Annex I-B goods 25%; lower rates for some UK goods and for goods made from US-melted or US-smelted metal (the "entirely US metal" threshold was cut from 95% to 85% by Proclamation 11032). Annex goods outside Chapters 72, 73, 74 and 76 with less than 15% of their weight in the named metals are not subject; the metal weight is reported on the entry. Annex III: temporary 15% cap on the combined column 1 and Section 232 duty for listed industrial and power grid equipment, extended by Proclamation 11032 to agricultural equipment and residential HVAC, until 2027-12-31 (reported). Annex I-C (Proclamation 11032, 2026-06-08 to 2027-12-31): 28 HTS lines of mobile industrial equipment in Chapters 84 and 87 (for example forklifts, bulldozers, graders, mobile cranes, non-agricultural tractors) moved from Annex I-B; 25%, with a 15% combined cap for listed partner countries (reported). No general USMCA exemption. Exception: USMCA-qualifying Annex I-C goods of Canada and Mexico pay 25% only on the non-US content plus any US content above 40% of value (minimum effective 15% of full value), for steel articles filed on two lines, 9903.82.20 (non-US content) and 9903.82.21 (US content up to 40%, 0%); the lines for aluminum Annex I-C articles were not identified (reported; confirm in C3)</w:t>
            </w:r>
          </w:p>
        </w:tc>
        <w:tc>
          <w:tcPr>
            <w:tcW w:w="1505" w:type="dxa"/>
          </w:tcPr>
          <w:p>
            <w:pPr>
              <w:pStyle w:val="Compact"/>
              <w:jc w:val="left"/>
            </w:pPr>
            <w:r>
              <w:t xml:space="preserve">In force. The earlier inclusions processes were terminated and a good listed for more than one metal pays once (reported). Commerce proposed more derivatives in August 2026 (request for comments, FR 2026-15961). Entries before 2026-04-06 used the content-based rules: keep them for audits and drawback</w:t>
            </w:r>
          </w:p>
        </w:tc>
        <w:tc>
          <w:tcPr>
            <w:tcW w:w="1614" w:type="dxa"/>
          </w:tcPr>
          <w:p>
            <w:pPr>
              <w:pStyle w:val="Compact"/>
              <w:jc w:val="left"/>
            </w:pPr>
            <w:hyperlink r:id="rId22">
              <w:r>
                <w:rPr>
                  <w:rStyle w:val="Hyperlink"/>
                </w:rPr>
                <w:t xml:space="preserve">https://www.federalregister.gov/d/2026-06960</w:t>
              </w:r>
            </w:hyperlink>
            <w:r>
              <w:t xml:space="preserve"> </w:t>
            </w:r>
            <w:r>
              <w:t xml:space="preserve">(2026-04-09);</w:t>
            </w:r>
            <w:r>
              <w:t xml:space="preserve"> </w:t>
            </w:r>
            <w:hyperlink r:id="rId38">
              <w:r>
                <w:rPr>
                  <w:rStyle w:val="Hyperlink"/>
                </w:rPr>
                <w:t xml:space="preserve">https://www.federalregister.gov/d/2026-11314</w:t>
              </w:r>
            </w:hyperlink>
            <w:r>
              <w:t xml:space="preserve"> </w:t>
            </w:r>
            <w:r>
              <w:t xml:space="preserve">(2026-06-04);</w:t>
            </w:r>
            <w:r>
              <w:t xml:space="preserve"> </w:t>
            </w:r>
            <w:hyperlink r:id="rId39">
              <w:r>
                <w:rPr>
                  <w:rStyle w:val="Hyperlink"/>
                </w:rPr>
                <w:t xml:space="preserve">https://www.federalregister.gov/d/2026-14990</w:t>
              </w:r>
            </w:hyperlink>
            <w:r>
              <w:t xml:space="preserve"> </w:t>
            </w:r>
            <w:r>
              <w:t xml:space="preserve">(2026-07-23); CBP CSMS 68253075 (2026-04) and 68855869 (2026-06-05)</w:t>
            </w:r>
          </w:p>
        </w:tc>
        <w:tc>
          <w:tcPr>
            <w:tcW w:w="1075" w:type="dxa"/>
          </w:tcPr>
          <w:p>
            <w:pPr>
              <w:pStyle w:val="Compact"/>
              <w:jc w:val="left"/>
            </w:pPr>
            <w:r>
              <w:t xml:space="preserve">Confirmed (base, tiers, 15% weight test, 85%); Reported (inclusions, once-only rule, Annex III cap, Annex I-C and its USMCA track)</w:t>
            </w:r>
          </w:p>
        </w:tc>
      </w:tr>
      <w:tr>
        <w:tc>
          <w:tcPr>
            <w:tcW w:w="1064" w:type="dxa"/>
          </w:tcPr>
          <w:p>
            <w:pPr>
              <w:pStyle w:val="Compact"/>
              <w:jc w:val="left"/>
            </w:pPr>
            <w:r>
              <w:t xml:space="preserve">Passenger vehicles, light trucks and auto parts</w:t>
            </w:r>
          </w:p>
        </w:tc>
        <w:tc>
          <w:tcPr>
            <w:tcW w:w="1155" w:type="dxa"/>
          </w:tcPr>
          <w:p>
            <w:pPr>
              <w:pStyle w:val="Compact"/>
              <w:jc w:val="left"/>
            </w:pPr>
            <w:r>
              <w:t xml:space="preserve">Proclamation 10908 (2025-03-26), as amended</w:t>
            </w:r>
          </w:p>
        </w:tc>
        <w:tc>
          <w:tcPr>
            <w:tcW w:w="2944" w:type="dxa"/>
          </w:tcPr>
          <w:p>
            <w:pPr>
              <w:pStyle w:val="Compact"/>
              <w:jc w:val="left"/>
            </w:pPr>
            <w:r>
              <w:t xml:space="preserve">25%: vehicles from 2025-04-03, listed parts from 2025-05-03; more parts are added through inclusion windows opening in January, April, July and October (FR 2026-05681). Partner agreements set lower all-in rates for some countries (reported). USMCA-qualifying vehicles pay only on non-US content, under Commerce-approved US-content submissions (FR 2025-08917; submission timelines aligned with the medium and heavy-duty vehicle procedures by FR 2026-16859, 2026-08-19: confirm the validity period and the submission deadline for 2027 imports in the notice). USMCA-qualifying parts are exempt until Commerce sets a process to tax their non-US content</w:t>
            </w:r>
          </w:p>
        </w:tc>
        <w:tc>
          <w:tcPr>
            <w:tcW w:w="1505" w:type="dxa"/>
          </w:tcPr>
          <w:p>
            <w:pPr>
              <w:pStyle w:val="Compact"/>
              <w:jc w:val="left"/>
            </w:pPr>
            <w:r>
              <w:t xml:space="preserve">In force. No process for USMCA parts found as of 2026-10-08</w:t>
            </w:r>
          </w:p>
        </w:tc>
        <w:tc>
          <w:tcPr>
            <w:tcW w:w="1614" w:type="dxa"/>
          </w:tcPr>
          <w:p>
            <w:pPr>
              <w:pStyle w:val="Compact"/>
              <w:jc w:val="left"/>
            </w:pPr>
            <w:hyperlink r:id="rId40">
              <w:r>
                <w:rPr>
                  <w:rStyle w:val="Hyperlink"/>
                </w:rPr>
                <w:t xml:space="preserve">https://www.federalregister.gov/d/2025-05930</w:t>
              </w:r>
            </w:hyperlink>
            <w:r>
              <w:t xml:space="preserve"> </w:t>
            </w:r>
            <w:r>
              <w:t xml:space="preserve">(2025-04-03);</w:t>
            </w:r>
            <w:r>
              <w:t xml:space="preserve"> </w:t>
            </w:r>
            <w:hyperlink r:id="rId41">
              <w:r>
                <w:rPr>
                  <w:rStyle w:val="Hyperlink"/>
                </w:rPr>
                <w:t xml:space="preserve">https://www.federalregister.gov/d/2026-16859</w:t>
              </w:r>
            </w:hyperlink>
            <w:r>
              <w:t xml:space="preserve"> </w:t>
            </w:r>
            <w:r>
              <w:t xml:space="preserve">(2026-08-19); USTR 2026 USMCA Autos Report to Congress (2026-07-01)</w:t>
            </w:r>
          </w:p>
        </w:tc>
        <w:tc>
          <w:tcPr>
            <w:tcW w:w="1075" w:type="dxa"/>
          </w:tcPr>
          <w:p>
            <w:pPr>
              <w:pStyle w:val="Compact"/>
              <w:jc w:val="left"/>
            </w:pPr>
            <w:r>
              <w:t xml:space="preserve">Confirmed (rule); Reported (amended timelines, no parts process yet)</w:t>
            </w:r>
          </w:p>
        </w:tc>
      </w:tr>
      <w:tr>
        <w:tc>
          <w:tcPr>
            <w:tcW w:w="1064" w:type="dxa"/>
          </w:tcPr>
          <w:p>
            <w:pPr>
              <w:pStyle w:val="Compact"/>
              <w:jc w:val="left"/>
            </w:pPr>
            <w:r>
              <w:t xml:space="preserve">Medium and heavy-duty trucks, their parts, and buses</w:t>
            </w:r>
          </w:p>
        </w:tc>
        <w:tc>
          <w:tcPr>
            <w:tcW w:w="1155" w:type="dxa"/>
          </w:tcPr>
          <w:p>
            <w:pPr>
              <w:pStyle w:val="Compact"/>
              <w:jc w:val="left"/>
            </w:pPr>
            <w:r>
              <w:t xml:space="preserve">Proclamation 10984 (2025-10-17; FR 2025-19639)</w:t>
            </w:r>
          </w:p>
        </w:tc>
        <w:tc>
          <w:tcPr>
            <w:tcW w:w="2944" w:type="dxa"/>
          </w:tcPr>
          <w:p>
            <w:pPr>
              <w:pStyle w:val="Compact"/>
              <w:jc w:val="left"/>
            </w:pPr>
            <w:r>
              <w:t xml:space="preserve">25% on trucks and listed parts, 10% on buses, from 2025-11-01 (rates reported). USMCA-qualifying trucks pay on non-US content for Commerce-approved models (procedures FR 2026-02049): non-US content is filed under 9903.74.03 and US content at 0% under 9903.74.06 (CSMS 68559236). Offset program extended to truck parts (FR 2026-09782)</w:t>
            </w:r>
          </w:p>
        </w:tc>
        <w:tc>
          <w:tcPr>
            <w:tcW w:w="1505" w:type="dxa"/>
          </w:tcPr>
          <w:p>
            <w:pPr>
              <w:pStyle w:val="Compact"/>
              <w:jc w:val="left"/>
            </w:pPr>
            <w:r>
              <w:t xml:space="preserve">In force. USMCA-qualifying truck parts are exempt until Commerce, with CBP, sets a process to tax their non-US content; none found as of 2026-10-08</w:t>
            </w:r>
          </w:p>
        </w:tc>
        <w:tc>
          <w:tcPr>
            <w:tcW w:w="1614" w:type="dxa"/>
          </w:tcPr>
          <w:p>
            <w:pPr>
              <w:pStyle w:val="Compact"/>
              <w:jc w:val="left"/>
            </w:pPr>
            <w:hyperlink r:id="rId42">
              <w:r>
                <w:rPr>
                  <w:rStyle w:val="Hyperlink"/>
                </w:rPr>
                <w:t xml:space="preserve">https://www.federalregister.gov/d/2025-19639</w:t>
              </w:r>
            </w:hyperlink>
            <w:r>
              <w:t xml:space="preserve"> </w:t>
            </w:r>
            <w:r>
              <w:t xml:space="preserve">(2025-10-22);</w:t>
            </w:r>
            <w:r>
              <w:t xml:space="preserve"> </w:t>
            </w:r>
            <w:hyperlink r:id="rId43">
              <w:r>
                <w:rPr>
                  <w:rStyle w:val="Hyperlink"/>
                </w:rPr>
                <w:t xml:space="preserve">https://www.federalregister.gov/d/2026-02049</w:t>
              </w:r>
            </w:hyperlink>
            <w:r>
              <w:t xml:space="preserve"> </w:t>
            </w:r>
            <w:r>
              <w:t xml:space="preserve">(2026-02-02); CBP CSMS 68559236 (2026-05-06)</w:t>
            </w:r>
          </w:p>
        </w:tc>
        <w:tc>
          <w:tcPr>
            <w:tcW w:w="1075" w:type="dxa"/>
          </w:tcPr>
          <w:p>
            <w:pPr>
              <w:pStyle w:val="Compact"/>
              <w:jc w:val="left"/>
            </w:pPr>
            <w:r>
              <w:t xml:space="preserve">Confirmed (procedures); Reported (rates, headings, parts exemption)</w:t>
            </w:r>
          </w:p>
        </w:tc>
      </w:tr>
      <w:tr>
        <w:tc>
          <w:tcPr>
            <w:tcW w:w="1064" w:type="dxa"/>
          </w:tcPr>
          <w:p>
            <w:pPr>
              <w:pStyle w:val="Compact"/>
              <w:jc w:val="left"/>
            </w:pPr>
            <w:r>
              <w:t xml:space="preserve">Timber, lumber and wood products</w:t>
            </w:r>
          </w:p>
        </w:tc>
        <w:tc>
          <w:tcPr>
            <w:tcW w:w="1155" w:type="dxa"/>
          </w:tcPr>
          <w:p>
            <w:pPr>
              <w:pStyle w:val="Compact"/>
              <w:jc w:val="left"/>
            </w:pPr>
            <w:r>
              <w:t xml:space="preserve">Proclamation 10976 (2025-09-29), amended by Proclamation 11000 (2025-12-31)</w:t>
            </w:r>
          </w:p>
        </w:tc>
        <w:tc>
          <w:tcPr>
            <w:tcW w:w="2944" w:type="dxa"/>
          </w:tcPr>
          <w:p>
            <w:pPr>
              <w:pStyle w:val="Compact"/>
              <w:jc w:val="left"/>
            </w:pPr>
            <w:r>
              <w:t xml:space="preserve">From 2025-10-14: 10% on softwood timber and lumber (9903.76.01); 25% on certain upholstered wooden furniture (9903.76.02) and on kitchen cabinets and vanities (9903.76.03). EU and Japan capped at 15%, UK at 10%. Increases to 30% (upholstered furniture) and 50% (cabinets and vanities) postponed to 2027-01-01, except for countries with an agreement. No USMCA exemption (reported)</w:t>
            </w:r>
          </w:p>
        </w:tc>
        <w:tc>
          <w:tcPr>
            <w:tcW w:w="1505" w:type="dxa"/>
          </w:tcPr>
          <w:p>
            <w:pPr>
              <w:pStyle w:val="Compact"/>
              <w:jc w:val="left"/>
            </w:pPr>
            <w:r>
              <w:t xml:space="preserve">In force; watch 2027-01-01</w:t>
            </w:r>
          </w:p>
        </w:tc>
        <w:tc>
          <w:tcPr>
            <w:tcW w:w="1614" w:type="dxa"/>
          </w:tcPr>
          <w:p>
            <w:pPr>
              <w:pStyle w:val="Compact"/>
              <w:jc w:val="left"/>
            </w:pPr>
            <w:hyperlink r:id="rId44">
              <w:r>
                <w:rPr>
                  <w:rStyle w:val="Hyperlink"/>
                </w:rPr>
                <w:t xml:space="preserve">https://www.federalregister.gov/d/2025-19482</w:t>
              </w:r>
            </w:hyperlink>
            <w:r>
              <w:t xml:space="preserve"> </w:t>
            </w:r>
            <w:r>
              <w:t xml:space="preserve">(2025-10-06);</w:t>
            </w:r>
            <w:r>
              <w:t xml:space="preserve"> </w:t>
            </w:r>
            <w:hyperlink r:id="rId45">
              <w:r>
                <w:rPr>
                  <w:rStyle w:val="Hyperlink"/>
                </w:rPr>
                <w:t xml:space="preserve">https://www.federalregister.gov/d/2026-00327</w:t>
              </w:r>
            </w:hyperlink>
            <w:r>
              <w:t xml:space="preserve"> </w:t>
            </w:r>
            <w:r>
              <w:t xml:space="preserve">(2026-01-09)</w:t>
            </w:r>
          </w:p>
        </w:tc>
        <w:tc>
          <w:tcPr>
            <w:tcW w:w="1075" w:type="dxa"/>
          </w:tcPr>
          <w:p>
            <w:pPr>
              <w:pStyle w:val="Compact"/>
              <w:jc w:val="left"/>
            </w:pPr>
            <w:r>
              <w:t xml:space="preserve">Confirmed (rates, dates); Reported (USMCA)</w:t>
            </w:r>
          </w:p>
        </w:tc>
      </w:tr>
      <w:tr>
        <w:tc>
          <w:tcPr>
            <w:tcW w:w="1064" w:type="dxa"/>
          </w:tcPr>
          <w:p>
            <w:pPr>
              <w:pStyle w:val="Compact"/>
              <w:jc w:val="left"/>
            </w:pPr>
            <w:r>
              <w:t xml:space="preserve">Semiconductors</w:t>
            </w:r>
          </w:p>
        </w:tc>
        <w:tc>
          <w:tcPr>
            <w:tcW w:w="1155" w:type="dxa"/>
          </w:tcPr>
          <w:p>
            <w:pPr>
              <w:pStyle w:val="Compact"/>
              <w:jc w:val="left"/>
            </w:pPr>
            <w:r>
              <w:t xml:space="preserve">Proclamation 11002 (2026-01-14)</w:t>
            </w:r>
          </w:p>
        </w:tc>
        <w:tc>
          <w:tcPr>
            <w:tcW w:w="2944" w:type="dxa"/>
          </w:tcPr>
          <w:p>
            <w:pPr>
              <w:pStyle w:val="Compact"/>
              <w:jc w:val="left"/>
            </w:pPr>
            <w:r>
              <w:t xml:space="preserve">25% on a narrow set of advanced computing chips from 2026-01-15, with exemptions for listed uses (for example US data centers, research and development, repairs; read the list). No drawback. Broader tariffs reserved for a second phase</w:t>
            </w:r>
          </w:p>
        </w:tc>
        <w:tc>
          <w:tcPr>
            <w:tcW w:w="1505" w:type="dxa"/>
          </w:tcPr>
          <w:p>
            <w:pPr>
              <w:pStyle w:val="Compact"/>
              <w:jc w:val="left"/>
            </w:pPr>
            <w:r>
              <w:t xml:space="preserve">In force (phase 1). No broader semiconductor tariff found as of 2026-10-08</w:t>
            </w:r>
          </w:p>
        </w:tc>
        <w:tc>
          <w:tcPr>
            <w:tcW w:w="1614" w:type="dxa"/>
          </w:tcPr>
          <w:p>
            <w:pPr>
              <w:pStyle w:val="Compact"/>
              <w:jc w:val="left"/>
            </w:pPr>
            <w:hyperlink r:id="rId46">
              <w:r>
                <w:rPr>
                  <w:rStyle w:val="Hyperlink"/>
                </w:rPr>
                <w:t xml:space="preserve">https://www.federalregister.gov/d/2026-01052</w:t>
              </w:r>
            </w:hyperlink>
            <w:r>
              <w:t xml:space="preserve"> </w:t>
            </w:r>
            <w:r>
              <w:t xml:space="preserve">(2026-01-20)</w:t>
            </w:r>
          </w:p>
        </w:tc>
        <w:tc>
          <w:tcPr>
            <w:tcW w:w="1075" w:type="dxa"/>
          </w:tcPr>
          <w:p>
            <w:pPr>
              <w:pStyle w:val="Compact"/>
              <w:jc w:val="left"/>
            </w:pPr>
            <w:r>
              <w:t xml:space="preserve">Confirmed</w:t>
            </w:r>
          </w:p>
        </w:tc>
      </w:tr>
      <w:tr>
        <w:tc>
          <w:tcPr>
            <w:tcW w:w="1064" w:type="dxa"/>
          </w:tcPr>
          <w:p>
            <w:pPr>
              <w:pStyle w:val="Compact"/>
              <w:jc w:val="left"/>
            </w:pPr>
            <w:r>
              <w:t xml:space="preserve">Patented pharmaceuticals and pharmaceutical ingredients</w:t>
            </w:r>
          </w:p>
        </w:tc>
        <w:tc>
          <w:tcPr>
            <w:tcW w:w="1155" w:type="dxa"/>
          </w:tcPr>
          <w:p>
            <w:pPr>
              <w:pStyle w:val="Compact"/>
              <w:jc w:val="left"/>
            </w:pPr>
            <w:r>
              <w:t xml:space="preserve">Proclamation 11020 (2026-04-02)</w:t>
            </w:r>
          </w:p>
        </w:tc>
        <w:tc>
          <w:tcPr>
            <w:tcW w:w="2944" w:type="dxa"/>
          </w:tcPr>
          <w:p>
            <w:pPr>
              <w:pStyle w:val="Compact"/>
              <w:jc w:val="left"/>
            </w:pPr>
            <w:r>
              <w:t xml:space="preserve">100% on patented products and ingredients in Annex I; 20% for companies with Commerce-approved onshoring plans (rising to 100% on 2030-04-02); 15% for the EU, Japan, Korea, Switzerland and Liechtenstein; UK cut to 0% (FR 2026-15799); 0% from 2026-07-31 to 2029-01-20 for companies with both a Commerce onshoring agreement and an HHS most-favored-nation pricing agreement. Generics not covered</w:t>
            </w:r>
          </w:p>
        </w:tc>
        <w:tc>
          <w:tcPr>
            <w:tcW w:w="1505" w:type="dxa"/>
          </w:tcPr>
          <w:p>
            <w:pPr>
              <w:pStyle w:val="Compact"/>
              <w:jc w:val="left"/>
            </w:pPr>
            <w:r>
              <w:t xml:space="preserve">In force: from 2026-07-31 for Annex III companies, from 2026-09-29 for all others. Specialty pharmaceuticals guidance FR 2026-19498 (2026-09-23)</w:t>
            </w:r>
          </w:p>
        </w:tc>
        <w:tc>
          <w:tcPr>
            <w:tcW w:w="1614" w:type="dxa"/>
          </w:tcPr>
          <w:p>
            <w:pPr>
              <w:pStyle w:val="Compact"/>
              <w:jc w:val="left"/>
            </w:pPr>
            <w:hyperlink r:id="rId47">
              <w:r>
                <w:rPr>
                  <w:rStyle w:val="Hyperlink"/>
                </w:rPr>
                <w:t xml:space="preserve">https://www.federalregister.gov/d/2026-06956</w:t>
              </w:r>
            </w:hyperlink>
            <w:r>
              <w:t xml:space="preserve"> </w:t>
            </w:r>
            <w:r>
              <w:t xml:space="preserve">(2026-04-09);</w:t>
            </w:r>
            <w:r>
              <w:t xml:space="preserve"> </w:t>
            </w:r>
            <w:hyperlink r:id="rId48">
              <w:r>
                <w:rPr>
                  <w:rStyle w:val="Hyperlink"/>
                </w:rPr>
                <w:t xml:space="preserve">https://www.federalregister.gov/d/2026-15799</w:t>
              </w:r>
            </w:hyperlink>
            <w:r>
              <w:t xml:space="preserve"> </w:t>
            </w:r>
            <w:r>
              <w:t xml:space="preserve">(2026-08-04); onshoring agreement procedures,</w:t>
            </w:r>
            <w:r>
              <w:t xml:space="preserve"> </w:t>
            </w:r>
            <w:hyperlink r:id="rId49">
              <w:r>
                <w:rPr>
                  <w:rStyle w:val="Hyperlink"/>
                </w:rPr>
                <w:t xml:space="preserve">https://www.federalregister.gov/d/2026-09489</w:t>
              </w:r>
            </w:hyperlink>
            <w:r>
              <w:t xml:space="preserve"> </w:t>
            </w:r>
            <w:r>
              <w:t xml:space="preserve">(2026-05-13)</w:t>
            </w:r>
          </w:p>
        </w:tc>
        <w:tc>
          <w:tcPr>
            <w:tcW w:w="1075" w:type="dxa"/>
          </w:tcPr>
          <w:p>
            <w:pPr>
              <w:pStyle w:val="Compact"/>
              <w:jc w:val="left"/>
            </w:pPr>
            <w:r>
              <w:t xml:space="preserve">Confirmed (100% default, country rates, start dates, generics excluded); Reported (agreement-based 20% and 0% terms)</w:t>
            </w:r>
          </w:p>
        </w:tc>
      </w:tr>
      <w:tr>
        <w:tc>
          <w:tcPr>
            <w:tcW w:w="1064" w:type="dxa"/>
          </w:tcPr>
          <w:p>
            <w:pPr>
              <w:pStyle w:val="Compact"/>
              <w:jc w:val="left"/>
            </w:pPr>
            <w:r>
              <w:t xml:space="preserve">Processed critical minerals</w:t>
            </w:r>
          </w:p>
        </w:tc>
        <w:tc>
          <w:tcPr>
            <w:tcW w:w="1155" w:type="dxa"/>
          </w:tcPr>
          <w:p>
            <w:pPr>
              <w:pStyle w:val="Compact"/>
              <w:jc w:val="left"/>
            </w:pPr>
            <w:r>
              <w:t xml:space="preserve">Proclamation 11001 (2026-01-14)</w:t>
            </w:r>
          </w:p>
        </w:tc>
        <w:tc>
          <w:tcPr>
            <w:tcW w:w="2944" w:type="dxa"/>
          </w:tcPr>
          <w:p>
            <w:pPr>
              <w:pStyle w:val="Compact"/>
              <w:jc w:val="left"/>
            </w:pPr>
            <w:r>
              <w:t xml:space="preserve">No tariff: negotiations with partners directed, including price floors; tariffs possible if no agreements within 180 days</w:t>
            </w:r>
          </w:p>
        </w:tc>
        <w:tc>
          <w:tcPr>
            <w:tcW w:w="1505" w:type="dxa"/>
          </w:tcPr>
          <w:p>
            <w:pPr>
              <w:pStyle w:val="Compact"/>
              <w:jc w:val="left"/>
            </w:pPr>
            <w:r>
              <w:t xml:space="preserve">No tariff found as of 2026-10-08; the 180-day window ended in mid-July 2026</w:t>
            </w:r>
          </w:p>
        </w:tc>
        <w:tc>
          <w:tcPr>
            <w:tcW w:w="1614" w:type="dxa"/>
          </w:tcPr>
          <w:p>
            <w:pPr>
              <w:pStyle w:val="Compact"/>
              <w:jc w:val="left"/>
            </w:pPr>
            <w:hyperlink r:id="rId50">
              <w:r>
                <w:rPr>
                  <w:rStyle w:val="Hyperlink"/>
                </w:rPr>
                <w:t xml:space="preserve">https://www.federalregister.gov/d/2026-01045</w:t>
              </w:r>
            </w:hyperlink>
            <w:r>
              <w:t xml:space="preserve"> </w:t>
            </w:r>
            <w:r>
              <w:t xml:space="preserve">(2026-01-20)</w:t>
            </w:r>
          </w:p>
        </w:tc>
        <w:tc>
          <w:tcPr>
            <w:tcW w:w="1075" w:type="dxa"/>
          </w:tcPr>
          <w:p>
            <w:pPr>
              <w:pStyle w:val="Compact"/>
              <w:jc w:val="left"/>
            </w:pPr>
            <w:r>
              <w:t xml:space="preserve">Confirmed (proclamation); Unclear (follow-up)</w:t>
            </w:r>
          </w:p>
        </w:tc>
      </w:tr>
      <w:tr>
        <w:tc>
          <w:tcPr>
            <w:tcW w:w="1064" w:type="dxa"/>
          </w:tcPr>
          <w:p>
            <w:pPr>
              <w:pStyle w:val="Compact"/>
              <w:jc w:val="left"/>
            </w:pPr>
            <w:r>
              <w:t xml:space="preserve">Unmanned aircraft systems (drones) and components</w:t>
            </w:r>
          </w:p>
        </w:tc>
        <w:tc>
          <w:tcPr>
            <w:tcW w:w="1155" w:type="dxa"/>
          </w:tcPr>
          <w:p>
            <w:pPr>
              <w:pStyle w:val="Compact"/>
              <w:jc w:val="left"/>
            </w:pPr>
            <w:r>
              <w:t xml:space="preserve">Proclamation 11055 (2026-08-13)</w:t>
            </w:r>
          </w:p>
        </w:tc>
        <w:tc>
          <w:tcPr>
            <w:tcW w:w="2944" w:type="dxa"/>
          </w:tcPr>
          <w:p>
            <w:pPr>
              <w:pStyle w:val="Compact"/>
              <w:jc w:val="left"/>
            </w:pPr>
            <w:r>
              <w:t xml:space="preserve">Duties on drones and components in Annexes I and II from 12:01 a.m. ET 2026-09-03 (reported: Annex I 100%, Annex II 25%; caps of 15% for the EU, Japan, Korea, Switzerland, Liechtenstein and Taiwan and 10% for the UK, only where substantially all hardware, software and technology come from those countries or the US, with certification); 25% on Annex III components from 2027-02-09; possible 180-day delay for listed approved suppliers</w:t>
            </w:r>
          </w:p>
        </w:tc>
        <w:tc>
          <w:tcPr>
            <w:tcW w:w="1505" w:type="dxa"/>
          </w:tcPr>
          <w:p>
            <w:pPr>
              <w:pStyle w:val="Compact"/>
              <w:jc w:val="left"/>
            </w:pPr>
            <w:r>
              <w:t xml:space="preserve">In force from 2026-09-03</w:t>
            </w:r>
          </w:p>
        </w:tc>
        <w:tc>
          <w:tcPr>
            <w:tcW w:w="1614" w:type="dxa"/>
          </w:tcPr>
          <w:p>
            <w:pPr>
              <w:pStyle w:val="Compact"/>
              <w:jc w:val="left"/>
            </w:pPr>
            <w:hyperlink r:id="rId51">
              <w:r>
                <w:rPr>
                  <w:rStyle w:val="Hyperlink"/>
                </w:rPr>
                <w:t xml:space="preserve">https://www.federalregister.gov/d/2026-16979</w:t>
              </w:r>
            </w:hyperlink>
            <w:r>
              <w:t xml:space="preserve"> </w:t>
            </w:r>
            <w:r>
              <w:t xml:space="preserve">(2026-08-19)</w:t>
            </w:r>
          </w:p>
        </w:tc>
        <w:tc>
          <w:tcPr>
            <w:tcW w:w="1075" w:type="dxa"/>
          </w:tcPr>
          <w:p>
            <w:pPr>
              <w:pStyle w:val="Compact"/>
              <w:jc w:val="left"/>
            </w:pPr>
            <w:r>
              <w:t xml:space="preserve">Confirmed (dates); Reported (rates)</w:t>
            </w:r>
          </w:p>
        </w:tc>
      </w:tr>
      <w:tr>
        <w:tc>
          <w:tcPr>
            <w:tcW w:w="1064" w:type="dxa"/>
          </w:tcPr>
          <w:p>
            <w:pPr>
              <w:pStyle w:val="Compact"/>
              <w:jc w:val="left"/>
            </w:pPr>
            <w:r>
              <w:t xml:space="preserve">Polysilicon and derivatives</w:t>
            </w:r>
          </w:p>
        </w:tc>
        <w:tc>
          <w:tcPr>
            <w:tcW w:w="1155" w:type="dxa"/>
          </w:tcPr>
          <w:p>
            <w:pPr>
              <w:pStyle w:val="Compact"/>
              <w:jc w:val="left"/>
            </w:pPr>
            <w:r>
              <w:t xml:space="preserve">Proclamation 11052 (2026-08-06)</w:t>
            </w:r>
          </w:p>
        </w:tc>
        <w:tc>
          <w:tcPr>
            <w:tcW w:w="2944" w:type="dxa"/>
          </w:tcPr>
          <w:p>
            <w:pPr>
              <w:pStyle w:val="Compact"/>
              <w:jc w:val="left"/>
            </w:pPr>
            <w:r>
              <w:t xml:space="preserve">From 12:01 a.m. ET 2026-12-04: minimum import prices for polysilicon products and 15% additional on ingots and derivatives in Annexes I and II. A Commerce temporary rule (2026-09-22 to 2026-12-03) restricts stockpiling and new importers</w:t>
            </w:r>
          </w:p>
        </w:tc>
        <w:tc>
          <w:tcPr>
            <w:tcW w:w="1505" w:type="dxa"/>
          </w:tcPr>
          <w:p>
            <w:pPr>
              <w:pStyle w:val="Compact"/>
              <w:jc w:val="left"/>
            </w:pPr>
            <w:r>
              <w:t xml:space="preserve">Announced, effective 2026-12-04; anti-stockpiling rule in force</w:t>
            </w:r>
          </w:p>
        </w:tc>
        <w:tc>
          <w:tcPr>
            <w:tcW w:w="1614" w:type="dxa"/>
          </w:tcPr>
          <w:p>
            <w:pPr>
              <w:pStyle w:val="Compact"/>
              <w:jc w:val="left"/>
            </w:pPr>
            <w:hyperlink r:id="rId52">
              <w:r>
                <w:rPr>
                  <w:rStyle w:val="Hyperlink"/>
                </w:rPr>
                <w:t xml:space="preserve">https://www.federalregister.gov/d/2026-16400</w:t>
              </w:r>
            </w:hyperlink>
            <w:r>
              <w:t xml:space="preserve"> </w:t>
            </w:r>
            <w:r>
              <w:t xml:space="preserve">(2026-08-11);</w:t>
            </w:r>
            <w:r>
              <w:t xml:space="preserve"> </w:t>
            </w:r>
            <w:hyperlink r:id="rId53">
              <w:r>
                <w:rPr>
                  <w:rStyle w:val="Hyperlink"/>
                </w:rPr>
                <w:t xml:space="preserve">https://www.federalregister.gov/d/2026-19537</w:t>
              </w:r>
            </w:hyperlink>
            <w:r>
              <w:t xml:space="preserve"> </w:t>
            </w:r>
            <w:r>
              <w:t xml:space="preserve">(2026-09-24)</w:t>
            </w:r>
          </w:p>
        </w:tc>
        <w:tc>
          <w:tcPr>
            <w:tcW w:w="1075" w:type="dxa"/>
          </w:tcPr>
          <w:p>
            <w:pPr>
              <w:pStyle w:val="Compact"/>
              <w:jc w:val="left"/>
            </w:pPr>
            <w:r>
              <w:t xml:space="preserve">Confirmed</w:t>
            </w:r>
          </w:p>
        </w:tc>
      </w:tr>
      <w:tr>
        <w:tc>
          <w:tcPr>
            <w:tcW w:w="1064" w:type="dxa"/>
          </w:tcPr>
          <w:p>
            <w:pPr>
              <w:pStyle w:val="Compact"/>
              <w:jc w:val="left"/>
            </w:pPr>
            <w:r>
              <w:t xml:space="preserve">Commercial aircraft, jet engines and parts</w:t>
            </w:r>
          </w:p>
        </w:tc>
        <w:tc>
          <w:tcPr>
            <w:tcW w:w="1155" w:type="dxa"/>
          </w:tcPr>
          <w:p>
            <w:pPr>
              <w:pStyle w:val="Compact"/>
              <w:jc w:val="left"/>
            </w:pPr>
            <w:r>
              <w:t xml:space="preserve">Proclamation 11040 (2026-07-09)</w:t>
            </w:r>
          </w:p>
        </w:tc>
        <w:tc>
          <w:tcPr>
            <w:tcW w:w="2944" w:type="dxa"/>
          </w:tcPr>
          <w:p>
            <w:pPr>
              <w:pStyle w:val="Compact"/>
              <w:jc w:val="left"/>
            </w:pPr>
            <w:r>
              <w:t xml:space="preserve">No tariff: negotiations directed; further action possible after 180 days</w:t>
            </w:r>
          </w:p>
        </w:tc>
        <w:tc>
          <w:tcPr>
            <w:tcW w:w="1505" w:type="dxa"/>
          </w:tcPr>
          <w:p>
            <w:pPr>
              <w:pStyle w:val="Compact"/>
              <w:jc w:val="left"/>
            </w:pPr>
            <w:r>
              <w:t xml:space="preserve">No tariff as of 2026-10-08. Commerce and USTR report on the negotiations within 180 days (about 2027-01-05); tariffs or other action possible after that (reported)</w:t>
            </w:r>
          </w:p>
        </w:tc>
        <w:tc>
          <w:tcPr>
            <w:tcW w:w="1614" w:type="dxa"/>
          </w:tcPr>
          <w:p>
            <w:pPr>
              <w:pStyle w:val="Compact"/>
              <w:jc w:val="left"/>
            </w:pPr>
            <w:hyperlink r:id="rId54">
              <w:r>
                <w:rPr>
                  <w:rStyle w:val="Hyperlink"/>
                </w:rPr>
                <w:t xml:space="preserve">https://www.federalregister.gov/d/2026-14334</w:t>
              </w:r>
            </w:hyperlink>
            <w:r>
              <w:t xml:space="preserve"> </w:t>
            </w:r>
            <w:r>
              <w:t xml:space="preserve">(2026-07-15)</w:t>
            </w:r>
          </w:p>
        </w:tc>
        <w:tc>
          <w:tcPr>
            <w:tcW w:w="1075" w:type="dxa"/>
          </w:tcPr>
          <w:p>
            <w:pPr>
              <w:pStyle w:val="Compact"/>
              <w:jc w:val="left"/>
            </w:pPr>
            <w:r>
              <w:t xml:space="preserve">Confirmed (no tariff); Reported (180-day date)</w:t>
            </w:r>
          </w:p>
        </w:tc>
      </w:tr>
      <w:tr>
        <w:tc>
          <w:tcPr>
            <w:tcW w:w="1064" w:type="dxa"/>
          </w:tcPr>
          <w:p>
            <w:pPr>
              <w:pStyle w:val="Compact"/>
              <w:jc w:val="left"/>
            </w:pPr>
            <w:r>
              <w:t xml:space="preserve">Other open investigations: wind turbines; robotics and industrial machinery; personal protective equipment, medical consumables and equipment</w:t>
            </w:r>
          </w:p>
        </w:tc>
        <w:tc>
          <w:tcPr>
            <w:tcW w:w="1155" w:type="dxa"/>
          </w:tcPr>
          <w:p>
            <w:pPr>
              <w:pStyle w:val="Compact"/>
              <w:jc w:val="left"/>
            </w:pPr>
            <w:r>
              <w:t xml:space="preserve">Section 232 investigations opened by Commerce in 2025-08 and 2025-09</w:t>
            </w:r>
          </w:p>
        </w:tc>
        <w:tc>
          <w:tcPr>
            <w:tcW w:w="2944" w:type="dxa"/>
          </w:tcPr>
          <w:p>
            <w:pPr>
              <w:pStyle w:val="Compact"/>
              <w:jc w:val="left"/>
            </w:pPr>
            <w:r>
              <w:t xml:space="preserve">Possible new duties. Some wind turbine parts and industrial machinery already pay under the metals regime</w:t>
            </w:r>
          </w:p>
        </w:tc>
        <w:tc>
          <w:tcPr>
            <w:tcW w:w="1505" w:type="dxa"/>
          </w:tcPr>
          <w:p>
            <w:pPr>
              <w:pStyle w:val="Compact"/>
              <w:jc w:val="left"/>
            </w:pPr>
            <w:r>
              <w:t xml:space="preserve">Pending: no proclamation found as of 2026-10-08</w:t>
            </w:r>
          </w:p>
        </w:tc>
        <w:tc>
          <w:tcPr>
            <w:tcW w:w="1614" w:type="dxa"/>
          </w:tcPr>
          <w:p>
            <w:pPr>
              <w:pStyle w:val="Compact"/>
              <w:jc w:val="left"/>
            </w:pPr>
            <w:hyperlink r:id="rId55">
              <w:r>
                <w:rPr>
                  <w:rStyle w:val="Hyperlink"/>
                </w:rPr>
                <w:t xml:space="preserve">https://www.bis.gov/about-bis/bis-leadership-and-offices/SIES/section-232-investigations</w:t>
              </w:r>
            </w:hyperlink>
          </w:p>
        </w:tc>
        <w:tc>
          <w:tcPr>
            <w:tcW w:w="1075" w:type="dxa"/>
          </w:tcPr>
          <w:p>
            <w:pPr>
              <w:pStyle w:val="Compact"/>
              <w:jc w:val="left"/>
            </w:pPr>
            <w:r>
              <w:t xml:space="preserve">Unclear</w:t>
            </w:r>
          </w:p>
        </w:tc>
      </w:tr>
    </w:tbl>
    <w:bookmarkEnd w:id="56"/>
    <w:bookmarkStart w:id="66" w:name="X5b25d55b5d16bcb93791abd6ba0f33cd53ef868"/>
    <w:p>
      <w:pPr>
        <w:pStyle w:val="Heading4"/>
      </w:pPr>
      <w:r>
        <w:t xml:space="preserve">US-4 Section 301 (Trade Act of 1974, 19 U.S.C. 2411)</w:t>
      </w:r>
    </w:p>
    <w:tbl>
      <w:tblPr>
        <w:tblStyle w:val="Table"/>
        <w:tblW w:type="dxa" w:w="9360"/>
        <w:tblLook w:firstRow="1" w:lastRow="0" w:firstColumn="0" w:lastColumn="0" w:noHBand="0" w:noVBand="0" w:val="0020"/>
        <w:jc w:val="start"/>
        <w:tblLayout w:type="fixed"/>
      </w:tblPr>
      <w:tblGrid>
        <w:gridCol w:w="860"/>
        <w:gridCol w:w="1467"/>
        <w:gridCol w:w="2229"/>
        <w:gridCol w:w="2191"/>
        <w:gridCol w:w="1751"/>
        <w:gridCol w:w="860"/>
      </w:tblGrid>
      <w:tr>
        <w:trPr>
          <w:tblHeader w:val="true"/>
        </w:trPr>
        <w:tc>
          <w:tcPr>
            <w:tcW w:w="860" w:type="dxa"/>
          </w:tcPr>
          <w:p>
            <w:pPr>
              <w:pStyle w:val="Compact"/>
              <w:jc w:val="left"/>
            </w:pPr>
            <w:r>
              <w:t xml:space="preserve">Action</w:t>
            </w:r>
          </w:p>
        </w:tc>
        <w:tc>
          <w:tcPr>
            <w:tcW w:w="1467" w:type="dxa"/>
          </w:tcPr>
          <w:p>
            <w:pPr>
              <w:pStyle w:val="Compact"/>
              <w:jc w:val="left"/>
            </w:pPr>
            <w:r>
              <w:t xml:space="preserve">Authority</w:t>
            </w:r>
          </w:p>
        </w:tc>
        <w:tc>
          <w:tcPr>
            <w:tcW w:w="2229" w:type="dxa"/>
          </w:tcPr>
          <w:p>
            <w:pPr>
              <w:pStyle w:val="Compact"/>
              <w:jc w:val="left"/>
            </w:pPr>
            <w:r>
              <w:t xml:space="preserve">Scope</w:t>
            </w:r>
          </w:p>
        </w:tc>
        <w:tc>
          <w:tcPr>
            <w:tcW w:w="2191" w:type="dxa"/>
          </w:tcPr>
          <w:p>
            <w:pPr>
              <w:pStyle w:val="Compact"/>
              <w:jc w:val="left"/>
            </w:pPr>
            <w:r>
              <w:t xml:space="preserve">Status as of 2026-10-08</w:t>
            </w:r>
          </w:p>
        </w:tc>
        <w:tc>
          <w:tcPr>
            <w:tcW w:w="1751" w:type="dxa"/>
          </w:tcPr>
          <w:p>
            <w:pPr>
              <w:pStyle w:val="Compact"/>
              <w:jc w:val="left"/>
            </w:pPr>
            <w:r>
              <w:t xml:space="preserve">Source (date)</w:t>
            </w:r>
          </w:p>
        </w:tc>
        <w:tc>
          <w:tcPr>
            <w:tcW w:w="860" w:type="dxa"/>
          </w:tcPr>
          <w:p>
            <w:pPr>
              <w:pStyle w:val="Compact"/>
              <w:jc w:val="left"/>
            </w:pPr>
            <w:r>
              <w:t xml:space="preserve">Confidence</w:t>
            </w:r>
          </w:p>
        </w:tc>
      </w:tr>
      <w:tr>
        <w:tc>
          <w:tcPr>
            <w:tcW w:w="860" w:type="dxa"/>
          </w:tcPr>
          <w:p>
            <w:pPr>
              <w:pStyle w:val="Compact"/>
              <w:jc w:val="left"/>
            </w:pPr>
            <w:r>
              <w:t xml:space="preserve">China, Lists 1 to 4A</w:t>
            </w:r>
          </w:p>
        </w:tc>
        <w:tc>
          <w:tcPr>
            <w:tcW w:w="1467" w:type="dxa"/>
          </w:tcPr>
          <w:p>
            <w:pPr>
              <w:pStyle w:val="Compact"/>
              <w:jc w:val="left"/>
            </w:pPr>
            <w:r>
              <w:t xml:space="preserve">USTR actions of 2018 and 2019</w:t>
            </w:r>
          </w:p>
        </w:tc>
        <w:tc>
          <w:tcPr>
            <w:tcW w:w="2229" w:type="dxa"/>
          </w:tcPr>
          <w:p>
            <w:pPr>
              <w:pStyle w:val="Compact"/>
              <w:jc w:val="left"/>
            </w:pPr>
            <w:r>
              <w:t xml:space="preserve">25% on Lists 1, 2 and 3; 7.5% on List 4A (HTSUS heading group 9903.88)</w:t>
            </w:r>
          </w:p>
        </w:tc>
        <w:tc>
          <w:tcPr>
            <w:tcW w:w="2191" w:type="dxa"/>
          </w:tcPr>
          <w:p>
            <w:pPr>
              <w:pStyle w:val="Compact"/>
              <w:jc w:val="left"/>
            </w:pPr>
            <w:r>
              <w:t xml:space="preserve">In force. USTR found the 2018 actions did not end at their 2026 anniversaries (notice of 2026-10-07); the second four-year review, opened 2026-05-06, continues</w:t>
            </w:r>
          </w:p>
        </w:tc>
        <w:tc>
          <w:tcPr>
            <w:tcW w:w="1751" w:type="dxa"/>
          </w:tcPr>
          <w:p>
            <w:pPr>
              <w:pStyle w:val="Compact"/>
              <w:jc w:val="left"/>
            </w:pPr>
            <w:hyperlink r:id="rId57">
              <w:r>
                <w:rPr>
                  <w:rStyle w:val="Hyperlink"/>
                </w:rPr>
                <w:t xml:space="preserve">https://www.federalregister.gov/d/2026-08806</w:t>
              </w:r>
            </w:hyperlink>
            <w:r>
              <w:t xml:space="preserve"> </w:t>
            </w:r>
            <w:r>
              <w:t xml:space="preserve">(2026-05-06);</w:t>
            </w:r>
            <w:r>
              <w:t xml:space="preserve"> </w:t>
            </w:r>
            <w:hyperlink r:id="rId58">
              <w:r>
                <w:rPr>
                  <w:rStyle w:val="Hyperlink"/>
                </w:rPr>
                <w:t xml:space="preserve">https://www.federalregister.gov/d/2026-20510</w:t>
              </w:r>
            </w:hyperlink>
            <w:r>
              <w:t xml:space="preserve"> </w:t>
            </w:r>
            <w:r>
              <w:t xml:space="preserve">(2026-10-07)</w:t>
            </w:r>
          </w:p>
        </w:tc>
        <w:tc>
          <w:tcPr>
            <w:tcW w:w="860" w:type="dxa"/>
          </w:tcPr>
          <w:p>
            <w:pPr>
              <w:pStyle w:val="Compact"/>
              <w:jc w:val="left"/>
            </w:pPr>
            <w:r>
              <w:t xml:space="preserve">Confirmed (continuation); Reported (rates)</w:t>
            </w:r>
          </w:p>
        </w:tc>
      </w:tr>
      <w:tr>
        <w:tc>
          <w:tcPr>
            <w:tcW w:w="860" w:type="dxa"/>
          </w:tcPr>
          <w:p>
            <w:pPr>
              <w:pStyle w:val="Compact"/>
              <w:jc w:val="left"/>
            </w:pPr>
            <w:r>
              <w:t xml:space="preserve">China, four-year review increases</w:t>
            </w:r>
          </w:p>
        </w:tc>
        <w:tc>
          <w:tcPr>
            <w:tcW w:w="1467" w:type="dxa"/>
          </w:tcPr>
          <w:p>
            <w:pPr>
              <w:pStyle w:val="Compact"/>
              <w:jc w:val="left"/>
            </w:pPr>
            <w:r>
              <w:t xml:space="preserve">USTR modification of 2024</w:t>
            </w:r>
          </w:p>
        </w:tc>
        <w:tc>
          <w:tcPr>
            <w:tcW w:w="2229" w:type="dxa"/>
          </w:tcPr>
          <w:p>
            <w:pPr>
              <w:pStyle w:val="Compact"/>
              <w:jc w:val="left"/>
            </w:pPr>
            <w:r>
              <w:t xml:space="preserve">Higher rates on strategic goods (for example electric vehicles 100%, semiconductors 50%, and increases on solar cells, batteries, critical minerals, steel and aluminum products, ship-to-shore cranes, some medical products, tungsten, wafers and polysilicon), phased in to 2026-01-01</w:t>
            </w:r>
          </w:p>
        </w:tc>
        <w:tc>
          <w:tcPr>
            <w:tcW w:w="2191" w:type="dxa"/>
          </w:tcPr>
          <w:p>
            <w:pPr>
              <w:pStyle w:val="Compact"/>
              <w:jc w:val="left"/>
            </w:pPr>
            <w:r>
              <w:t xml:space="preserve">In force (reported)</w:t>
            </w:r>
          </w:p>
        </w:tc>
        <w:tc>
          <w:tcPr>
            <w:tcW w:w="1751" w:type="dxa"/>
          </w:tcPr>
          <w:p>
            <w:pPr>
              <w:pStyle w:val="Compact"/>
              <w:jc w:val="left"/>
            </w:pPr>
            <w:hyperlink r:id="rId59">
              <w:r>
                <w:rPr>
                  <w:rStyle w:val="Hyperlink"/>
                </w:rPr>
                <w:t xml:space="preserve">https://www.federalregister.gov/d/2024-21217</w:t>
              </w:r>
            </w:hyperlink>
            <w:r>
              <w:t xml:space="preserve"> </w:t>
            </w:r>
            <w:r>
              <w:t xml:space="preserve">(2024-09-18)</w:t>
            </w:r>
          </w:p>
        </w:tc>
        <w:tc>
          <w:tcPr>
            <w:tcW w:w="860" w:type="dxa"/>
          </w:tcPr>
          <w:p>
            <w:pPr>
              <w:pStyle w:val="Compact"/>
              <w:jc w:val="left"/>
            </w:pPr>
            <w:r>
              <w:t xml:space="preserve">Reported</w:t>
            </w:r>
          </w:p>
        </w:tc>
      </w:tr>
      <w:tr>
        <w:tc>
          <w:tcPr>
            <w:tcW w:w="860" w:type="dxa"/>
          </w:tcPr>
          <w:p>
            <w:pPr>
              <w:pStyle w:val="Compact"/>
              <w:jc w:val="left"/>
            </w:pPr>
            <w:r>
              <w:t xml:space="preserve">China, product exclusions</w:t>
            </w:r>
          </w:p>
        </w:tc>
        <w:tc>
          <w:tcPr>
            <w:tcW w:w="1467" w:type="dxa"/>
          </w:tcPr>
          <w:p>
            <w:pPr>
              <w:pStyle w:val="Compact"/>
              <w:jc w:val="left"/>
            </w:pPr>
            <w:r>
              <w:t xml:space="preserve">USTR extension notice (FR 2025-21671)</w:t>
            </w:r>
          </w:p>
        </w:tc>
        <w:tc>
          <w:tcPr>
            <w:tcW w:w="2229" w:type="dxa"/>
          </w:tcPr>
          <w:p>
            <w:pPr>
              <w:pStyle w:val="Compact"/>
              <w:jc w:val="left"/>
            </w:pPr>
            <w:r>
              <w:t xml:space="preserve">178 exclusions</w:t>
            </w:r>
          </w:p>
        </w:tc>
        <w:tc>
          <w:tcPr>
            <w:tcW w:w="2191" w:type="dxa"/>
          </w:tcPr>
          <w:p>
            <w:pPr>
              <w:pStyle w:val="Compact"/>
              <w:jc w:val="left"/>
            </w:pPr>
            <w:r>
              <w:t xml:space="preserve">Expire after 11:59 p.m. EDT 2026-11-09 (entries from 2026-11-10 pay) unless extended. No extension found as of 2026-10-08; the 2026-10-07 conforming amendment (FR 2026-20511) is technical and does not extend them</w:t>
            </w:r>
          </w:p>
        </w:tc>
        <w:tc>
          <w:tcPr>
            <w:tcW w:w="1751" w:type="dxa"/>
          </w:tcPr>
          <w:p>
            <w:pPr>
              <w:pStyle w:val="Compact"/>
              <w:jc w:val="left"/>
            </w:pPr>
            <w:hyperlink r:id="rId60">
              <w:r>
                <w:rPr>
                  <w:rStyle w:val="Hyperlink"/>
                </w:rPr>
                <w:t xml:space="preserve">https://www.federalregister.gov/d/2025-21671</w:t>
              </w:r>
            </w:hyperlink>
            <w:r>
              <w:t xml:space="preserve"> </w:t>
            </w:r>
            <w:r>
              <w:t xml:space="preserve">(2025-12-01);</w:t>
            </w:r>
            <w:r>
              <w:t xml:space="preserve"> </w:t>
            </w:r>
            <w:hyperlink r:id="rId61">
              <w:r>
                <w:rPr>
                  <w:rStyle w:val="Hyperlink"/>
                </w:rPr>
                <w:t xml:space="preserve">https://www.federalregister.gov/d/2026-20511</w:t>
              </w:r>
            </w:hyperlink>
            <w:r>
              <w:t xml:space="preserve"> </w:t>
            </w:r>
            <w:r>
              <w:t xml:space="preserve">(2026-10-07)</w:t>
            </w:r>
          </w:p>
        </w:tc>
        <w:tc>
          <w:tcPr>
            <w:tcW w:w="860" w:type="dxa"/>
          </w:tcPr>
          <w:p>
            <w:pPr>
              <w:pStyle w:val="Compact"/>
              <w:jc w:val="left"/>
            </w:pPr>
            <w:r>
              <w:t xml:space="preserve">Confirmed</w:t>
            </w:r>
          </w:p>
        </w:tc>
      </w:tr>
      <w:tr>
        <w:tc>
          <w:tcPr>
            <w:tcW w:w="860" w:type="dxa"/>
          </w:tcPr>
          <w:p>
            <w:pPr>
              <w:pStyle w:val="Compact"/>
              <w:jc w:val="left"/>
            </w:pPr>
            <w:r>
              <w:t xml:space="preserve">China, maritime, logistics and shipbuilding</w:t>
            </w:r>
          </w:p>
        </w:tc>
        <w:tc>
          <w:tcPr>
            <w:tcW w:w="1467" w:type="dxa"/>
          </w:tcPr>
          <w:p>
            <w:pPr>
              <w:pStyle w:val="Compact"/>
              <w:jc w:val="left"/>
            </w:pPr>
            <w:r>
              <w:t xml:space="preserve">USTR action of 2025, as modified; suspension notice (FR 2025-19873)</w:t>
            </w:r>
          </w:p>
        </w:tc>
        <w:tc>
          <w:tcPr>
            <w:tcW w:w="2229" w:type="dxa"/>
          </w:tcPr>
          <w:p>
            <w:pPr>
              <w:pStyle w:val="Compact"/>
              <w:jc w:val="left"/>
            </w:pPr>
            <w:r>
              <w:t xml:space="preserve">Fees on vessels linked to China; duties on ship-to-shore cranes and certain cargo-handling equipment</w:t>
            </w:r>
          </w:p>
        </w:tc>
        <w:tc>
          <w:tcPr>
            <w:tcW w:w="2191" w:type="dxa"/>
          </w:tcPr>
          <w:p>
            <w:pPr>
              <w:pStyle w:val="Compact"/>
              <w:jc w:val="left"/>
            </w:pPr>
            <w:r>
              <w:t xml:space="preserve">Suspended from 12:01 a.m. EST 2025-11-10 through 11:59 p.m. EST 2026-11-09. USTR will decide before then whether to continue the suspension</w:t>
            </w:r>
          </w:p>
        </w:tc>
        <w:tc>
          <w:tcPr>
            <w:tcW w:w="1751" w:type="dxa"/>
          </w:tcPr>
          <w:p>
            <w:pPr>
              <w:pStyle w:val="Compact"/>
              <w:jc w:val="left"/>
            </w:pPr>
            <w:hyperlink r:id="rId62">
              <w:r>
                <w:rPr>
                  <w:rStyle w:val="Hyperlink"/>
                </w:rPr>
                <w:t xml:space="preserve">https://www.federalregister.gov/d/2025-19873</w:t>
              </w:r>
            </w:hyperlink>
            <w:r>
              <w:t xml:space="preserve"> </w:t>
            </w:r>
            <w:r>
              <w:t xml:space="preserve">(2025-11-13)</w:t>
            </w:r>
          </w:p>
        </w:tc>
        <w:tc>
          <w:tcPr>
            <w:tcW w:w="860" w:type="dxa"/>
          </w:tcPr>
          <w:p>
            <w:pPr>
              <w:pStyle w:val="Compact"/>
              <w:jc w:val="left"/>
            </w:pPr>
            <w:r>
              <w:t xml:space="preserve">Confirmed</w:t>
            </w:r>
          </w:p>
        </w:tc>
      </w:tr>
      <w:tr>
        <w:tc>
          <w:tcPr>
            <w:tcW w:w="860" w:type="dxa"/>
          </w:tcPr>
          <w:p>
            <w:pPr>
              <w:pStyle w:val="Compact"/>
              <w:jc w:val="left"/>
            </w:pPr>
            <w:r>
              <w:t xml:space="preserve">China, legacy semiconductors</w:t>
            </w:r>
          </w:p>
        </w:tc>
        <w:tc>
          <w:tcPr>
            <w:tcW w:w="1467" w:type="dxa"/>
          </w:tcPr>
          <w:p>
            <w:pPr>
              <w:pStyle w:val="Compact"/>
              <w:jc w:val="left"/>
            </w:pPr>
            <w:r>
              <w:t xml:space="preserve">USTR notice of action (FR 2025-23912)</w:t>
            </w:r>
          </w:p>
        </w:tc>
        <w:tc>
          <w:tcPr>
            <w:tcW w:w="2229" w:type="dxa"/>
          </w:tcPr>
          <w:p>
            <w:pPr>
              <w:pStyle w:val="Compact"/>
              <w:jc w:val="left"/>
            </w:pPr>
            <w:r>
              <w:t xml:space="preserve">Additional duty on Chinese semiconductors, on top of the existing 50% Section 301 rate</w:t>
            </w:r>
          </w:p>
        </w:tc>
        <w:tc>
          <w:tcPr>
            <w:tcW w:w="2191" w:type="dxa"/>
          </w:tcPr>
          <w:p>
            <w:pPr>
              <w:pStyle w:val="Compact"/>
              <w:jc w:val="left"/>
            </w:pPr>
            <w:r>
              <w:t xml:space="preserve">In force at 0%. Increases on 2027-06-23 to a rate USTR will announce at least 30 days before</w:t>
            </w:r>
          </w:p>
        </w:tc>
        <w:tc>
          <w:tcPr>
            <w:tcW w:w="1751" w:type="dxa"/>
          </w:tcPr>
          <w:p>
            <w:pPr>
              <w:pStyle w:val="Compact"/>
              <w:jc w:val="left"/>
            </w:pPr>
            <w:hyperlink r:id="rId63">
              <w:r>
                <w:rPr>
                  <w:rStyle w:val="Hyperlink"/>
                </w:rPr>
                <w:t xml:space="preserve">https://www.federalregister.gov/d/2025-23912</w:t>
              </w:r>
            </w:hyperlink>
            <w:r>
              <w:t xml:space="preserve"> </w:t>
            </w:r>
            <w:r>
              <w:t xml:space="preserve">(2025-12-29)</w:t>
            </w:r>
          </w:p>
        </w:tc>
        <w:tc>
          <w:tcPr>
            <w:tcW w:w="860" w:type="dxa"/>
          </w:tcPr>
          <w:p>
            <w:pPr>
              <w:pStyle w:val="Compact"/>
              <w:jc w:val="left"/>
            </w:pPr>
            <w:r>
              <w:t xml:space="preserve">Confirmed</w:t>
            </w:r>
          </w:p>
        </w:tc>
      </w:tr>
      <w:tr>
        <w:tc>
          <w:tcPr>
            <w:tcW w:w="860" w:type="dxa"/>
          </w:tcPr>
          <w:p>
            <w:pPr>
              <w:pStyle w:val="Compact"/>
              <w:jc w:val="left"/>
            </w:pPr>
            <w:r>
              <w:t xml:space="preserve">Nicaragua</w:t>
            </w:r>
          </w:p>
        </w:tc>
        <w:tc>
          <w:tcPr>
            <w:tcW w:w="1467" w:type="dxa"/>
          </w:tcPr>
          <w:p>
            <w:pPr>
              <w:pStyle w:val="Compact"/>
              <w:jc w:val="left"/>
            </w:pPr>
            <w:r>
              <w:t xml:space="preserve">USTR notice of implementation (FR 2025-23892)</w:t>
            </w:r>
          </w:p>
        </w:tc>
        <w:tc>
          <w:tcPr>
            <w:tcW w:w="2229" w:type="dxa"/>
          </w:tcPr>
          <w:p>
            <w:pPr>
              <w:pStyle w:val="Compact"/>
              <w:jc w:val="left"/>
            </w:pPr>
            <w:r>
              <w:t xml:space="preserve">All goods of Nicaragua not originating under CAFTA-DR</w:t>
            </w:r>
          </w:p>
        </w:tc>
        <w:tc>
          <w:tcPr>
            <w:tcW w:w="2191" w:type="dxa"/>
          </w:tcPr>
          <w:p>
            <w:pPr>
              <w:pStyle w:val="Compact"/>
              <w:jc w:val="left"/>
            </w:pPr>
            <w:r>
              <w:t xml:space="preserve">0% in 2026; 10% from 2027-01-01; 15% from 2028-01-01. Nicaragua is also at 12.5% under the forced-labor action (US-2); how the two interact: verify</w:t>
            </w:r>
          </w:p>
        </w:tc>
        <w:tc>
          <w:tcPr>
            <w:tcW w:w="1751" w:type="dxa"/>
          </w:tcPr>
          <w:p>
            <w:pPr>
              <w:pStyle w:val="Compact"/>
              <w:jc w:val="left"/>
            </w:pPr>
            <w:hyperlink r:id="rId64">
              <w:r>
                <w:rPr>
                  <w:rStyle w:val="Hyperlink"/>
                </w:rPr>
                <w:t xml:space="preserve">https://www.federalregister.gov/d/2025-23892</w:t>
              </w:r>
            </w:hyperlink>
            <w:r>
              <w:t xml:space="preserve"> </w:t>
            </w:r>
            <w:r>
              <w:t xml:space="preserve">(2025-12-29)</w:t>
            </w:r>
          </w:p>
        </w:tc>
        <w:tc>
          <w:tcPr>
            <w:tcW w:w="860" w:type="dxa"/>
          </w:tcPr>
          <w:p>
            <w:pPr>
              <w:pStyle w:val="Compact"/>
              <w:jc w:val="left"/>
            </w:pPr>
            <w:r>
              <w:t xml:space="preserve">Confirmed (schedule); Unclear (interaction)</w:t>
            </w:r>
          </w:p>
        </w:tc>
      </w:tr>
      <w:tr>
        <w:tc>
          <w:tcPr>
            <w:tcW w:w="860" w:type="dxa"/>
          </w:tcPr>
          <w:p>
            <w:pPr>
              <w:pStyle w:val="Compact"/>
              <w:jc w:val="left"/>
            </w:pPr>
            <w:r>
              <w:t xml:space="preserve">Brazil</w:t>
            </w:r>
          </w:p>
        </w:tc>
        <w:tc>
          <w:tcPr>
            <w:tcW w:w="1467" w:type="dxa"/>
          </w:tcPr>
          <w:p>
            <w:pPr>
              <w:pStyle w:val="Compact"/>
              <w:jc w:val="left"/>
            </w:pPr>
            <w:r>
              <w:t xml:space="preserve">USTR determination 2026-06-01 (FR 2026-11158); notice of action (FR 2026-14542) and presidential memorandum (FR 2026-14654)</w:t>
            </w:r>
          </w:p>
        </w:tc>
        <w:tc>
          <w:tcPr>
            <w:tcW w:w="2229" w:type="dxa"/>
          </w:tcPr>
          <w:p>
            <w:pPr>
              <w:pStyle w:val="Compact"/>
              <w:jc w:val="left"/>
            </w:pPr>
            <w:r>
              <w:t xml:space="preserve">25% additional on goods of Brazil (9903.05.01), with listed exemptions (for example civil aircraft and pharmaceutical-use articles); goods subject to Section 232 excluded; in-transit relief (9903.05.02) for goods entered before 12:01 a.m. 2026-07-29</w:t>
            </w:r>
          </w:p>
        </w:tc>
        <w:tc>
          <w:tcPr>
            <w:tcW w:w="2191" w:type="dxa"/>
          </w:tcPr>
          <w:p>
            <w:pPr>
              <w:pStyle w:val="Compact"/>
              <w:jc w:val="left"/>
            </w:pPr>
            <w:r>
              <w:t xml:space="preserve">In force from 12:01 a.m. ET 2026-07-22</w:t>
            </w:r>
          </w:p>
        </w:tc>
        <w:tc>
          <w:tcPr>
            <w:tcW w:w="1751" w:type="dxa"/>
          </w:tcPr>
          <w:p>
            <w:pPr>
              <w:pStyle w:val="Compact"/>
              <w:jc w:val="left"/>
            </w:pPr>
            <w:hyperlink r:id="rId65">
              <w:r>
                <w:rPr>
                  <w:rStyle w:val="Hyperlink"/>
                </w:rPr>
                <w:t xml:space="preserve">https://www.federalregister.gov/d/2026-14542</w:t>
              </w:r>
            </w:hyperlink>
            <w:r>
              <w:t xml:space="preserve"> </w:t>
            </w:r>
            <w:r>
              <w:t xml:space="preserve">(2026-07-20)</w:t>
            </w:r>
          </w:p>
        </w:tc>
        <w:tc>
          <w:tcPr>
            <w:tcW w:w="860" w:type="dxa"/>
          </w:tcPr>
          <w:p>
            <w:pPr>
              <w:pStyle w:val="Compact"/>
              <w:jc w:val="left"/>
            </w:pPr>
            <w:r>
              <w:t xml:space="preserve">Confirmed</w:t>
            </w:r>
          </w:p>
        </w:tc>
      </w:tr>
    </w:tbl>
    <w:bookmarkEnd w:id="66"/>
    <w:bookmarkStart w:id="76" w:name="us-5-other-us-authorities"/>
    <w:p>
      <w:pPr>
        <w:pStyle w:val="Heading4"/>
      </w:pPr>
      <w:r>
        <w:t xml:space="preserve">US-5 Other US authorities</w:t>
      </w:r>
    </w:p>
    <w:tbl>
      <w:tblPr>
        <w:tblStyle w:val="Table"/>
        <w:tblW w:type="dxa" w:w="9360"/>
        <w:tblLook w:firstRow="1" w:lastRow="0" w:firstColumn="0" w:lastColumn="0" w:noHBand="0" w:noVBand="0" w:val="0020"/>
        <w:jc w:val="start"/>
        <w:tblLayout w:type="fixed"/>
      </w:tblPr>
      <w:tblGrid>
        <w:gridCol w:w="865"/>
        <w:gridCol w:w="1652"/>
        <w:gridCol w:w="2182"/>
        <w:gridCol w:w="1505"/>
        <w:gridCol w:w="2096"/>
        <w:gridCol w:w="1058"/>
      </w:tblGrid>
      <w:tr>
        <w:trPr>
          <w:tblHeader w:val="true"/>
        </w:trPr>
        <w:tc>
          <w:tcPr>
            <w:tcW w:w="865" w:type="dxa"/>
          </w:tcPr>
          <w:p>
            <w:pPr>
              <w:pStyle w:val="Compact"/>
              <w:jc w:val="left"/>
            </w:pPr>
            <w:r>
              <w:t xml:space="preserve">Action</w:t>
            </w:r>
          </w:p>
        </w:tc>
        <w:tc>
          <w:tcPr>
            <w:tcW w:w="1652" w:type="dxa"/>
          </w:tcPr>
          <w:p>
            <w:pPr>
              <w:pStyle w:val="Compact"/>
              <w:jc w:val="left"/>
            </w:pPr>
            <w:r>
              <w:t xml:space="preserve">Authority</w:t>
            </w:r>
          </w:p>
        </w:tc>
        <w:tc>
          <w:tcPr>
            <w:tcW w:w="2182" w:type="dxa"/>
          </w:tcPr>
          <w:p>
            <w:pPr>
              <w:pStyle w:val="Compact"/>
              <w:jc w:val="left"/>
            </w:pPr>
            <w:r>
              <w:t xml:space="preserve">Scope</w:t>
            </w:r>
          </w:p>
        </w:tc>
        <w:tc>
          <w:tcPr>
            <w:tcW w:w="1505" w:type="dxa"/>
          </w:tcPr>
          <w:p>
            <w:pPr>
              <w:pStyle w:val="Compact"/>
              <w:jc w:val="left"/>
            </w:pPr>
            <w:r>
              <w:t xml:space="preserve">Status as of 2026-10-08</w:t>
            </w:r>
          </w:p>
        </w:tc>
        <w:tc>
          <w:tcPr>
            <w:tcW w:w="2096" w:type="dxa"/>
          </w:tcPr>
          <w:p>
            <w:pPr>
              <w:pStyle w:val="Compact"/>
              <w:jc w:val="left"/>
            </w:pPr>
            <w:r>
              <w:t xml:space="preserve">Source (date)</w:t>
            </w:r>
          </w:p>
        </w:tc>
        <w:tc>
          <w:tcPr>
            <w:tcW w:w="1058" w:type="dxa"/>
          </w:tcPr>
          <w:p>
            <w:pPr>
              <w:pStyle w:val="Compact"/>
              <w:jc w:val="left"/>
            </w:pPr>
            <w:r>
              <w:t xml:space="preserve">Confidence</w:t>
            </w:r>
          </w:p>
        </w:tc>
      </w:tr>
      <w:tr>
        <w:tc>
          <w:tcPr>
            <w:tcW w:w="865" w:type="dxa"/>
          </w:tcPr>
          <w:p>
            <w:pPr>
              <w:pStyle w:val="Compact"/>
              <w:jc w:val="left"/>
            </w:pPr>
            <w:r>
              <w:t xml:space="preserve">Section 338 duties on goods of Canada</w:t>
            </w:r>
          </w:p>
        </w:tc>
        <w:tc>
          <w:tcPr>
            <w:tcW w:w="1652" w:type="dxa"/>
          </w:tcPr>
          <w:p>
            <w:pPr>
              <w:pStyle w:val="Compact"/>
              <w:jc w:val="left"/>
            </w:pPr>
            <w:r>
              <w:t xml:space="preserve">Tariff Act of 1930, section 338 (19 U.S.C. 1338); Proclamations 11046 (alcoholic beverages), 11047 (dairy) and 11048 (motor vehicles) of 2026-07-20; three-day suspension by Proclamation 11056 (2026-08-18); five proclamations of 2026-09-08: scope changes by Proclamations 11064 (alcoholic beverages) and 11065 (motor vehicles), import exclusions by Proclamations 11061 to 11063</w:t>
            </w:r>
          </w:p>
        </w:tc>
        <w:tc>
          <w:tcPr>
            <w:tcW w:w="2182" w:type="dxa"/>
          </w:tcPr>
          <w:p>
            <w:pPr>
              <w:pStyle w:val="Compact"/>
              <w:jc w:val="left"/>
            </w:pPr>
            <w:r>
              <w:t xml:space="preserve">50% additional on listed goods of Canada (9903.03.12 to 9903.03.14, HTSUS U.S. note 51), about C$27.6 billion of trade. No USMCA exemption: the White House fact sheet says the duties apply whether or not the good originates under USMCA, and none was seen in the text. The lists go beyond their titles (the motor vehicle annex includes, for example, plastic tableware, knitted apparel, hand tools and toys). From 2026-09-15: 122 HTS lines added and some removed (for example rock salt and cement). From 2026-09-29: the products in the annexes to Proclamations 11061 to 11063, a subset of the duty lists, are excluded from importation (CSMS 70050970); the rest of the lists still pay 50%. Stacks on AD/CVD and other duties (US-8 for Section 232)</w:t>
            </w:r>
          </w:p>
        </w:tc>
        <w:tc>
          <w:tcPr>
            <w:tcW w:w="1505" w:type="dxa"/>
          </w:tcPr>
          <w:p>
            <w:pPr>
              <w:pStyle w:val="Compact"/>
              <w:jc w:val="left"/>
            </w:pPr>
            <w:r>
              <w:t xml:space="preserve">In force from 12:01 a.m. ET 2026-08-22 (start moved from 2026-08-19 by the suspension); import bans from 2026-09-29. Drawback available on 9903.03.12 to 9903.03.14</w:t>
            </w:r>
          </w:p>
        </w:tc>
        <w:tc>
          <w:tcPr>
            <w:tcW w:w="2096" w:type="dxa"/>
          </w:tcPr>
          <w:p>
            <w:pPr>
              <w:pStyle w:val="Compact"/>
              <w:jc w:val="left"/>
            </w:pPr>
            <w:hyperlink r:id="rId67">
              <w:r>
                <w:rPr>
                  <w:rStyle w:val="Hyperlink"/>
                </w:rPr>
                <w:t xml:space="preserve">https://www.federalregister.gov/d/2026-14997</w:t>
              </w:r>
            </w:hyperlink>
            <w:r>
              <w:t xml:space="preserve"> </w:t>
            </w:r>
            <w:r>
              <w:t xml:space="preserve">(2026-07-23);</w:t>
            </w:r>
            <w:r>
              <w:t xml:space="preserve"> </w:t>
            </w:r>
            <w:hyperlink r:id="rId68">
              <w:r>
                <w:rPr>
                  <w:rStyle w:val="Hyperlink"/>
                </w:rPr>
                <w:t xml:space="preserve">https://www.federalregister.gov/d/2026-17294</w:t>
              </w:r>
            </w:hyperlink>
            <w:r>
              <w:t xml:space="preserve"> </w:t>
            </w:r>
            <w:r>
              <w:t xml:space="preserve">(2026-08-24);</w:t>
            </w:r>
            <w:r>
              <w:t xml:space="preserve"> </w:t>
            </w:r>
            <w:hyperlink r:id="rId69">
              <w:r>
                <w:rPr>
                  <w:rStyle w:val="Hyperlink"/>
                </w:rPr>
                <w:t xml:space="preserve">https://www.federalregister.gov/d/2026-18837</w:t>
              </w:r>
            </w:hyperlink>
            <w:r>
              <w:t xml:space="preserve"> </w:t>
            </w:r>
            <w:r>
              <w:t xml:space="preserve">and</w:t>
            </w:r>
            <w:r>
              <w:t xml:space="preserve"> </w:t>
            </w:r>
            <w:hyperlink r:id="rId70">
              <w:r>
                <w:rPr>
                  <w:rStyle w:val="Hyperlink"/>
                </w:rPr>
                <w:t xml:space="preserve">https://www.federalregister.gov/d/2026-18839</w:t>
              </w:r>
            </w:hyperlink>
            <w:r>
              <w:t xml:space="preserve"> </w:t>
            </w:r>
            <w:r>
              <w:t xml:space="preserve">(2026-09-14); CBP CSMS 69606660 (2026-08-21) and 69851916,</w:t>
            </w:r>
            <w:r>
              <w:t xml:space="preserve"> </w:t>
            </w:r>
            <w:hyperlink r:id="rId71">
              <w:r>
                <w:rPr>
                  <w:rStyle w:val="Hyperlink"/>
                </w:rPr>
                <w:t xml:space="preserve">https://content.govdelivery.com/accounts/USDHSCBP/bulletins/429db0c</w:t>
              </w:r>
            </w:hyperlink>
            <w:r>
              <w:t xml:space="preserve"> </w:t>
            </w:r>
            <w:r>
              <w:t xml:space="preserve">(2026-09); import bans: CBP CSMS 70050970,</w:t>
            </w:r>
            <w:r>
              <w:t xml:space="preserve"> </w:t>
            </w:r>
            <w:hyperlink r:id="rId72">
              <w:r>
                <w:rPr>
                  <w:rStyle w:val="Hyperlink"/>
                </w:rPr>
                <w:t xml:space="preserve">https://content.govdelivery.com/accounts/USDHSCBP/bulletins/42ce49a</w:t>
              </w:r>
            </w:hyperlink>
            <w:r>
              <w:t xml:space="preserve"> </w:t>
            </w:r>
            <w:r>
              <w:t xml:space="preserve">(2026-09-28)</w:t>
            </w:r>
          </w:p>
        </w:tc>
        <w:tc>
          <w:tcPr>
            <w:tcW w:w="1058" w:type="dxa"/>
          </w:tcPr>
          <w:p>
            <w:pPr>
              <w:pStyle w:val="Compact"/>
              <w:jc w:val="left"/>
            </w:pPr>
            <w:r>
              <w:t xml:space="preserve">Confirmed (rate, dates, bans, numbers); Reported (USMCA, from the fact sheet and CRS)</w:t>
            </w:r>
          </w:p>
        </w:tc>
      </w:tr>
      <w:tr>
        <w:tc>
          <w:tcPr>
            <w:tcW w:w="865" w:type="dxa"/>
          </w:tcPr>
          <w:p>
            <w:pPr>
              <w:pStyle w:val="Compact"/>
              <w:jc w:val="left"/>
            </w:pPr>
            <w:r>
              <w:t xml:space="preserve">Solar cells and modules safeguard</w:t>
            </w:r>
          </w:p>
        </w:tc>
        <w:tc>
          <w:tcPr>
            <w:tcW w:w="1652" w:type="dxa"/>
          </w:tcPr>
          <w:p>
            <w:pPr>
              <w:pStyle w:val="Compact"/>
              <w:jc w:val="left"/>
            </w:pPr>
            <w:r>
              <w:t xml:space="preserve">Section 201, Trade Act of 1974 (19 U.S.C. 2251); Proclamations 9693 (2018) and 10339 (2022)</w:t>
            </w:r>
          </w:p>
        </w:tc>
        <w:tc>
          <w:tcPr>
            <w:tcW w:w="2182" w:type="dxa"/>
          </w:tcPr>
          <w:p>
            <w:pPr>
              <w:pStyle w:val="Compact"/>
              <w:jc w:val="left"/>
            </w:pPr>
            <w:r>
              <w:t xml:space="preserve">Safeguard on crystalline silicon solar cells and modules</w:t>
            </w:r>
          </w:p>
        </w:tc>
        <w:tc>
          <w:tcPr>
            <w:tcW w:w="1505" w:type="dxa"/>
          </w:tcPr>
          <w:p>
            <w:pPr>
              <w:pStyle w:val="Compact"/>
              <w:jc w:val="left"/>
            </w:pPr>
            <w:r>
              <w:t xml:space="preserve">Ended: terminated 2026-02-06 at the eight-year limit. Solar products now face the Section 232 polysilicon action from 2026-12-04 (US-3); AD/CVD orders continue</w:t>
            </w:r>
          </w:p>
        </w:tc>
        <w:tc>
          <w:tcPr>
            <w:tcW w:w="2096" w:type="dxa"/>
          </w:tcPr>
          <w:p>
            <w:pPr>
              <w:pStyle w:val="Compact"/>
              <w:jc w:val="left"/>
            </w:pPr>
            <w:r>
              <w:t xml:space="preserve">Proclamation 10339 (2022-02-04; extended the safeguard through 2026-02-06); USITC notice opening the post-termination evaluation,</w:t>
            </w:r>
            <w:r>
              <w:t xml:space="preserve"> </w:t>
            </w:r>
            <w:hyperlink r:id="rId73">
              <w:r>
                <w:rPr>
                  <w:rStyle w:val="Hyperlink"/>
                </w:rPr>
                <w:t xml:space="preserve">https://www.federalregister.gov/d/2026-05170</w:t>
              </w:r>
            </w:hyperlink>
            <w:r>
              <w:t xml:space="preserve"> </w:t>
            </w:r>
            <w:r>
              <w:t xml:space="preserve">(2026-03-17); USITC Pub. 5773, the evaluation report,</w:t>
            </w:r>
            <w:r>
              <w:t xml:space="preserve"> </w:t>
            </w:r>
            <w:hyperlink r:id="rId74">
              <w:r>
                <w:rPr>
                  <w:rStyle w:val="Hyperlink"/>
                </w:rPr>
                <w:t xml:space="preserve">https://www.usitc.gov/publications/safeguards/pub5773.pdf</w:t>
              </w:r>
            </w:hyperlink>
            <w:r>
              <w:t xml:space="preserve"> </w:t>
            </w:r>
            <w:r>
              <w:t xml:space="preserve">(2026-08)</w:t>
            </w:r>
          </w:p>
        </w:tc>
        <w:tc>
          <w:tcPr>
            <w:tcW w:w="1058" w:type="dxa"/>
          </w:tcPr>
          <w:p>
            <w:pPr>
              <w:pStyle w:val="Compact"/>
              <w:jc w:val="left"/>
            </w:pPr>
            <w:r>
              <w:t xml:space="preserve">Confirmed (end date). The USITC documents evaluate the measure after it ended; they did not end it</w:t>
            </w:r>
          </w:p>
        </w:tc>
      </w:tr>
      <w:tr>
        <w:tc>
          <w:tcPr>
            <w:tcW w:w="865" w:type="dxa"/>
          </w:tcPr>
          <w:p>
            <w:pPr>
              <w:pStyle w:val="Compact"/>
              <w:jc w:val="left"/>
            </w:pPr>
            <w:r>
              <w:t xml:space="preserve">Antidumping and countervailing duties</w:t>
            </w:r>
          </w:p>
        </w:tc>
        <w:tc>
          <w:tcPr>
            <w:tcW w:w="1652" w:type="dxa"/>
          </w:tcPr>
          <w:p>
            <w:pPr>
              <w:pStyle w:val="Compact"/>
              <w:jc w:val="left"/>
            </w:pPr>
            <w:r>
              <w:t xml:space="preserve">Tariff Act of 1930, Title VII</w:t>
            </w:r>
          </w:p>
        </w:tc>
        <w:tc>
          <w:tcPr>
            <w:tcW w:w="2182" w:type="dxa"/>
          </w:tcPr>
          <w:p>
            <w:pPr>
              <w:pStyle w:val="Compact"/>
              <w:jc w:val="left"/>
            </w:pPr>
            <w:r>
              <w:t xml:space="preserve">Orders on specific products from specific countries, producer-specific rates</w:t>
            </w:r>
          </w:p>
        </w:tc>
        <w:tc>
          <w:tcPr>
            <w:tcW w:w="1505" w:type="dxa"/>
          </w:tcPr>
          <w:p>
            <w:pPr>
              <w:pStyle w:val="Compact"/>
              <w:jc w:val="left"/>
            </w:pPr>
            <w:r>
              <w:t xml:space="preserve">Case by case: check orders on our product lines ([COMPANY: product lines])</w:t>
            </w:r>
          </w:p>
        </w:tc>
        <w:tc>
          <w:tcPr>
            <w:tcW w:w="2096" w:type="dxa"/>
          </w:tcPr>
          <w:p>
            <w:pPr>
              <w:pStyle w:val="Compact"/>
              <w:jc w:val="left"/>
            </w:pPr>
            <w:hyperlink r:id="rId75">
              <w:r>
                <w:rPr>
                  <w:rStyle w:val="Hyperlink"/>
                </w:rPr>
                <w:t xml:space="preserve">https://www.trade.gov/</w:t>
              </w:r>
            </w:hyperlink>
            <w:r>
              <w:t xml:space="preserve"> </w:t>
            </w:r>
            <w:r>
              <w:t xml:space="preserve">; Federal Register</w:t>
            </w:r>
          </w:p>
        </w:tc>
        <w:tc>
          <w:tcPr>
            <w:tcW w:w="1058" w:type="dxa"/>
          </w:tcPr>
          <w:p>
            <w:pPr>
              <w:pStyle w:val="Compact"/>
              <w:jc w:val="left"/>
            </w:pPr>
            <w:r>
              <w:t xml:space="preserve">Not applicable</w:t>
            </w:r>
          </w:p>
        </w:tc>
      </w:tr>
    </w:tbl>
    <w:bookmarkEnd w:id="76"/>
    <w:bookmarkStart w:id="81" w:name="us-6-de-minimis-section-321-19-usc-1321"/>
    <w:p>
      <w:pPr>
        <w:pStyle w:val="Heading4"/>
      </w:pPr>
      <w:r>
        <w:t xml:space="preserve">US-6 De minimis (Section 321, 19 U.S.C. 1321)</w:t>
      </w:r>
    </w:p>
    <w:tbl>
      <w:tblPr>
        <w:tblStyle w:val="Table"/>
        <w:tblW w:type="dxa" w:w="9360"/>
        <w:tblLook w:firstRow="1" w:lastRow="0" w:firstColumn="0" w:lastColumn="0" w:noHBand="0" w:noVBand="0" w:val="0020"/>
        <w:jc w:val="start"/>
        <w:tblLayout w:type="fixed"/>
      </w:tblPr>
      <w:tblGrid>
        <w:gridCol w:w="882"/>
        <w:gridCol w:w="2048"/>
        <w:gridCol w:w="957"/>
        <w:gridCol w:w="1912"/>
        <w:gridCol w:w="2677"/>
        <w:gridCol w:w="882"/>
      </w:tblGrid>
      <w:tr>
        <w:trPr>
          <w:tblHeader w:val="true"/>
        </w:trPr>
        <w:tc>
          <w:tcPr>
            <w:tcW w:w="882" w:type="dxa"/>
          </w:tcPr>
          <w:p>
            <w:pPr>
              <w:pStyle w:val="Compact"/>
              <w:jc w:val="left"/>
            </w:pPr>
            <w:r>
              <w:t xml:space="preserve">Action</w:t>
            </w:r>
          </w:p>
        </w:tc>
        <w:tc>
          <w:tcPr>
            <w:tcW w:w="2048" w:type="dxa"/>
          </w:tcPr>
          <w:p>
            <w:pPr>
              <w:pStyle w:val="Compact"/>
              <w:jc w:val="left"/>
            </w:pPr>
            <w:r>
              <w:t xml:space="preserve">Authority</w:t>
            </w:r>
          </w:p>
        </w:tc>
        <w:tc>
          <w:tcPr>
            <w:tcW w:w="957" w:type="dxa"/>
          </w:tcPr>
          <w:p>
            <w:pPr>
              <w:pStyle w:val="Compact"/>
              <w:jc w:val="left"/>
            </w:pPr>
            <w:r>
              <w:t xml:space="preserve">Scope</w:t>
            </w:r>
          </w:p>
        </w:tc>
        <w:tc>
          <w:tcPr>
            <w:tcW w:w="1912" w:type="dxa"/>
          </w:tcPr>
          <w:p>
            <w:pPr>
              <w:pStyle w:val="Compact"/>
              <w:jc w:val="left"/>
            </w:pPr>
            <w:r>
              <w:t xml:space="preserve">Status as of 2026-10-08</w:t>
            </w:r>
          </w:p>
        </w:tc>
        <w:tc>
          <w:tcPr>
            <w:tcW w:w="2677" w:type="dxa"/>
          </w:tcPr>
          <w:p>
            <w:pPr>
              <w:pStyle w:val="Compact"/>
              <w:jc w:val="left"/>
            </w:pPr>
            <w:r>
              <w:t xml:space="preserve">Source (date)</w:t>
            </w:r>
          </w:p>
        </w:tc>
        <w:tc>
          <w:tcPr>
            <w:tcW w:w="882" w:type="dxa"/>
          </w:tcPr>
          <w:p>
            <w:pPr>
              <w:pStyle w:val="Compact"/>
              <w:jc w:val="left"/>
            </w:pPr>
            <w:r>
              <w:t xml:space="preserve">Confidence</w:t>
            </w:r>
          </w:p>
        </w:tc>
      </w:tr>
      <w:tr>
        <w:tc>
          <w:tcPr>
            <w:tcW w:w="882" w:type="dxa"/>
          </w:tcPr>
          <w:p>
            <w:pPr>
              <w:pStyle w:val="Compact"/>
              <w:jc w:val="left"/>
            </w:pPr>
            <w:r>
              <w:t xml:space="preserve">End of de minimis for China and Hong Kong</w:t>
            </w:r>
          </w:p>
        </w:tc>
        <w:tc>
          <w:tcPr>
            <w:tcW w:w="2048" w:type="dxa"/>
          </w:tcPr>
          <w:p>
            <w:pPr>
              <w:pStyle w:val="Compact"/>
              <w:jc w:val="left"/>
            </w:pPr>
            <w:r>
              <w:t xml:space="preserve">IEEPA; EO 14256 (2025-04-02)</w:t>
            </w:r>
          </w:p>
        </w:tc>
        <w:tc>
          <w:tcPr>
            <w:tcW w:w="957" w:type="dxa"/>
          </w:tcPr>
          <w:p>
            <w:pPr>
              <w:pStyle w:val="Compact"/>
              <w:jc w:val="left"/>
            </w:pPr>
            <w:r>
              <w:t xml:space="preserve">Low-value shipments of China and Hong Kong origin</w:t>
            </w:r>
          </w:p>
        </w:tc>
        <w:tc>
          <w:tcPr>
            <w:tcW w:w="1912" w:type="dxa"/>
          </w:tcPr>
          <w:p>
            <w:pPr>
              <w:pStyle w:val="Compact"/>
              <w:jc w:val="left"/>
            </w:pPr>
            <w:r>
              <w:t xml:space="preserve">Ended from 2025-05-02; now covered by the global suspension below</w:t>
            </w:r>
          </w:p>
        </w:tc>
        <w:tc>
          <w:tcPr>
            <w:tcW w:w="2677" w:type="dxa"/>
          </w:tcPr>
          <w:p>
            <w:pPr>
              <w:pStyle w:val="Compact"/>
              <w:jc w:val="left"/>
            </w:pPr>
            <w:r>
              <w:t xml:space="preserve">Federal Register (2025-04)</w:t>
            </w:r>
          </w:p>
        </w:tc>
        <w:tc>
          <w:tcPr>
            <w:tcW w:w="882" w:type="dxa"/>
          </w:tcPr>
          <w:p>
            <w:pPr>
              <w:pStyle w:val="Compact"/>
              <w:jc w:val="left"/>
            </w:pPr>
            <w:r>
              <w:t xml:space="preserve">Reported</w:t>
            </w:r>
          </w:p>
        </w:tc>
      </w:tr>
      <w:tr>
        <w:tc>
          <w:tcPr>
            <w:tcW w:w="882" w:type="dxa"/>
          </w:tcPr>
          <w:p>
            <w:pPr>
              <w:pStyle w:val="Compact"/>
              <w:jc w:val="left"/>
            </w:pPr>
            <w:r>
              <w:t xml:space="preserve">Global suspension of duty-free de minimis</w:t>
            </w:r>
          </w:p>
        </w:tc>
        <w:tc>
          <w:tcPr>
            <w:tcW w:w="2048" w:type="dxa"/>
          </w:tcPr>
          <w:p>
            <w:pPr>
              <w:pStyle w:val="Compact"/>
              <w:jc w:val="left"/>
            </w:pPr>
            <w:r>
              <w:t xml:space="preserve">EO 14324 (2025-07-30); continued after the IEEPA ruling by the executive order of 2026-02-20 "Continuing the Suspension of Duty-Free De Minimis Treatment for All Countries" (EO 14388, number reported); CBP interim final rules published 2026-06-24 under 19 U.S.C. 1321(b): CBP Dec. 26-12 (19 CFR 10.151, non-postal, effective 2026-06-24) and CBP Dec. 26-13 (19 CFR Part 145, postal, effective 2026-07-24)</w:t>
            </w:r>
          </w:p>
        </w:tc>
        <w:tc>
          <w:tcPr>
            <w:tcW w:w="957" w:type="dxa"/>
          </w:tcPr>
          <w:p>
            <w:pPr>
              <w:pStyle w:val="Compact"/>
              <w:jc w:val="left"/>
            </w:pPr>
            <w:r>
              <w:t xml:space="preserve">Shipments valued at $800 or less, all countries and modes</w:t>
            </w:r>
          </w:p>
        </w:tc>
        <w:tc>
          <w:tcPr>
            <w:tcW w:w="1912" w:type="dxa"/>
          </w:tcPr>
          <w:p>
            <w:pPr>
              <w:pStyle w:val="Compact"/>
              <w:jc w:val="left"/>
            </w:pPr>
            <w:r>
              <w:t xml:space="preserve">In force: no duty-free Section 321 treatment. Since 2026-06-24 (non-postal) and 2026-07-24 (postal) the suspension also rests on CBP's own regulations, so it no longer depends on IEEPA. New postal informal entry process from 2026-07-24; some postal compliance requirements from 2026-10-22 (reported)</w:t>
            </w:r>
          </w:p>
        </w:tc>
        <w:tc>
          <w:tcPr>
            <w:tcW w:w="2677" w:type="dxa"/>
          </w:tcPr>
          <w:p>
            <w:pPr>
              <w:pStyle w:val="Compact"/>
              <w:jc w:val="left"/>
            </w:pPr>
            <w:hyperlink r:id="rId77">
              <w:r>
                <w:rPr>
                  <w:rStyle w:val="Hyperlink"/>
                </w:rPr>
                <w:t xml:space="preserve">https://www.whitehouse.gov/presidential-actions/2026/02/continuing-the-suspension-of-duty-free-de-minimis-treatment-for-all-countries/</w:t>
              </w:r>
            </w:hyperlink>
            <w:r>
              <w:t xml:space="preserve"> </w:t>
            </w:r>
            <w:r>
              <w:t xml:space="preserve">(2026-02-20);</w:t>
            </w:r>
            <w:r>
              <w:t xml:space="preserve"> </w:t>
            </w:r>
            <w:hyperlink r:id="rId78">
              <w:r>
                <w:rPr>
                  <w:rStyle w:val="Hyperlink"/>
                </w:rPr>
                <w:t xml:space="preserve">https://www.federalregister.gov/d/2026-12670</w:t>
              </w:r>
            </w:hyperlink>
            <w:r>
              <w:t xml:space="preserve"> </w:t>
            </w:r>
            <w:r>
              <w:t xml:space="preserve">and</w:t>
            </w:r>
            <w:r>
              <w:t xml:space="preserve"> </w:t>
            </w:r>
            <w:hyperlink r:id="rId79">
              <w:r>
                <w:rPr>
                  <w:rStyle w:val="Hyperlink"/>
                </w:rPr>
                <w:t xml:space="preserve">https://www.federalregister.gov/d/2026-12669</w:t>
              </w:r>
            </w:hyperlink>
            <w:r>
              <w:t xml:space="preserve"> </w:t>
            </w:r>
            <w:r>
              <w:t xml:space="preserve">(2026-06-24)</w:t>
            </w:r>
          </w:p>
        </w:tc>
        <w:tc>
          <w:tcPr>
            <w:tcW w:w="882" w:type="dxa"/>
          </w:tcPr>
          <w:p>
            <w:pPr>
              <w:pStyle w:val="Compact"/>
              <w:jc w:val="left"/>
            </w:pPr>
            <w:r>
              <w:t xml:space="preserve">Confirmed (rules, effective dates); Reported (2026-10-22 compliance date)</w:t>
            </w:r>
          </w:p>
        </w:tc>
      </w:tr>
      <w:tr>
        <w:tc>
          <w:tcPr>
            <w:tcW w:w="882" w:type="dxa"/>
          </w:tcPr>
          <w:p>
            <w:pPr>
              <w:pStyle w:val="Compact"/>
              <w:jc w:val="left"/>
            </w:pPr>
            <w:r>
              <w:t xml:space="preserve">Statutory repeal for commercial shipments</w:t>
            </w:r>
          </w:p>
        </w:tc>
        <w:tc>
          <w:tcPr>
            <w:tcW w:w="2048" w:type="dxa"/>
          </w:tcPr>
          <w:p>
            <w:pPr>
              <w:pStyle w:val="Compact"/>
              <w:jc w:val="left"/>
            </w:pPr>
            <w:r>
              <w:t xml:space="preserve">Pub. L. 119-21 (2025-07-04)</w:t>
            </w:r>
          </w:p>
        </w:tc>
        <w:tc>
          <w:tcPr>
            <w:tcW w:w="957" w:type="dxa"/>
          </w:tcPr>
          <w:p>
            <w:pPr>
              <w:pStyle w:val="Compact"/>
              <w:jc w:val="left"/>
            </w:pPr>
            <w:r>
              <w:t xml:space="preserve">Removes de minimis for commercial shipments by law</w:t>
            </w:r>
          </w:p>
        </w:tc>
        <w:tc>
          <w:tcPr>
            <w:tcW w:w="1912" w:type="dxa"/>
          </w:tcPr>
          <w:p>
            <w:pPr>
              <w:pStyle w:val="Compact"/>
              <w:jc w:val="left"/>
            </w:pPr>
            <w:r>
              <w:t xml:space="preserve">Effective 2027-07-01</w:t>
            </w:r>
          </w:p>
        </w:tc>
        <w:tc>
          <w:tcPr>
            <w:tcW w:w="2677" w:type="dxa"/>
          </w:tcPr>
          <w:p>
            <w:pPr>
              <w:pStyle w:val="Compact"/>
              <w:jc w:val="left"/>
            </w:pPr>
            <w:hyperlink r:id="rId80">
              <w:r>
                <w:rPr>
                  <w:rStyle w:val="Hyperlink"/>
                </w:rPr>
                <w:t xml:space="preserve">https://www.congress.gov/bill/119th-congress/house-bill/1</w:t>
              </w:r>
            </w:hyperlink>
            <w:r>
              <w:t xml:space="preserve"> </w:t>
            </w:r>
            <w:r>
              <w:t xml:space="preserve">; cited in CBP Dec. 26-12</w:t>
            </w:r>
          </w:p>
        </w:tc>
        <w:tc>
          <w:tcPr>
            <w:tcW w:w="882" w:type="dxa"/>
          </w:tcPr>
          <w:p>
            <w:pPr>
              <w:pStyle w:val="Compact"/>
              <w:jc w:val="left"/>
            </w:pPr>
            <w:r>
              <w:t xml:space="preserve">Confirmed</w:t>
            </w:r>
          </w:p>
        </w:tc>
      </w:tr>
    </w:tbl>
    <w:p>
      <w:pPr>
        <w:pStyle w:val="BodyText"/>
      </w:pPr>
      <w:r>
        <w:t xml:space="preserve">For us: [COMPANY: do any of our flows use Section 321 or type 86 entries? If not, record "not used" in every brief].</w:t>
      </w:r>
    </w:p>
    <w:bookmarkEnd w:id="81"/>
    <w:bookmarkStart w:id="82" w:name="X9f47aa9b11532bd38a3c271ae780b43bbeb738d"/>
    <w:p>
      <w:pPr>
        <w:pStyle w:val="Heading4"/>
      </w:pPr>
      <w:r>
        <w:t xml:space="preserve">US-7 Goods of Canada and Mexico across US actions</w:t>
      </w:r>
    </w:p>
    <w:p>
      <w:pPr>
        <w:pStyle w:val="FirstParagraph"/>
      </w:pPr>
      <w:r>
        <w:t xml:space="preserve">The column that matters is whether the good was</w:t>
      </w:r>
      <w:r>
        <w:t xml:space="preserve"> </w:t>
      </w:r>
      <w:r>
        <w:rPr>
          <w:bCs/>
          <w:b/>
        </w:rPr>
        <w:t xml:space="preserve">entered free of duty under USMCA</w:t>
      </w:r>
      <w:r>
        <w:t xml:space="preserve">: the USMCA preference is claimed on that entry line. A qualifying good entered without the claim pays. A USMCA-originating good can still pay Section 232, Section 338 or both.</w:t>
      </w:r>
    </w:p>
    <w:tbl>
      <w:tblPr>
        <w:tblStyle w:val="Table"/>
        <w:tblW w:type="dxa" w:w="9360"/>
        <w:tblLook w:firstRow="1" w:lastRow="0" w:firstColumn="0" w:lastColumn="0" w:noHBand="0" w:noVBand="0" w:val="0020"/>
        <w:jc w:val="start"/>
        <w:tblLayout w:type="fixed"/>
      </w:tblPr>
      <w:tblGrid>
        <w:gridCol w:w="2009"/>
        <w:gridCol w:w="3866"/>
        <w:gridCol w:w="2011"/>
        <w:gridCol w:w="1472"/>
      </w:tblGrid>
      <w:tr>
        <w:trPr>
          <w:tblHeader w:val="true"/>
        </w:trPr>
        <w:tc>
          <w:tcPr>
            <w:tcW w:w="2009" w:type="dxa"/>
          </w:tcPr>
          <w:p>
            <w:pPr>
              <w:pStyle w:val="Compact"/>
              <w:jc w:val="left"/>
            </w:pPr>
            <w:r>
              <w:t xml:space="preserve">Action</w:t>
            </w:r>
          </w:p>
        </w:tc>
        <w:tc>
          <w:tcPr>
            <w:tcW w:w="3866" w:type="dxa"/>
          </w:tcPr>
          <w:p>
            <w:pPr>
              <w:pStyle w:val="Compact"/>
              <w:jc w:val="left"/>
            </w:pPr>
            <w:r>
              <w:t xml:space="preserve">Entered free of duty under USMCA (claim on the entry)</w:t>
            </w:r>
          </w:p>
        </w:tc>
        <w:tc>
          <w:tcPr>
            <w:tcW w:w="2011" w:type="dxa"/>
          </w:tcPr>
          <w:p>
            <w:pPr>
              <w:pStyle w:val="Compact"/>
              <w:jc w:val="left"/>
            </w:pPr>
            <w:r>
              <w:t xml:space="preserve">No USMCA claim, or the good does not qualify</w:t>
            </w:r>
          </w:p>
        </w:tc>
        <w:tc>
          <w:tcPr>
            <w:tcW w:w="1472" w:type="dxa"/>
          </w:tcPr>
          <w:p>
            <w:pPr>
              <w:pStyle w:val="Compact"/>
              <w:jc w:val="left"/>
            </w:pPr>
            <w:r>
              <w:t xml:space="preserve">Confidence</w:t>
            </w:r>
          </w:p>
        </w:tc>
      </w:tr>
      <w:tr>
        <w:tc>
          <w:tcPr>
            <w:tcW w:w="2009" w:type="dxa"/>
          </w:tcPr>
          <w:p>
            <w:pPr>
              <w:pStyle w:val="Compact"/>
              <w:jc w:val="left"/>
            </w:pPr>
            <w:r>
              <w:t xml:space="preserve">IEEPA duties (ended for goods entered on or after 2026-02-24)</w:t>
            </w:r>
          </w:p>
        </w:tc>
        <w:tc>
          <w:tcPr>
            <w:tcW w:w="3866" w:type="dxa"/>
          </w:tcPr>
          <w:p>
            <w:pPr>
              <w:pStyle w:val="Compact"/>
              <w:jc w:val="left"/>
            </w:pPr>
            <w:r>
              <w:t xml:space="preserve">Exempt from 2025-03-07</w:t>
            </w:r>
          </w:p>
        </w:tc>
        <w:tc>
          <w:tcPr>
            <w:tcW w:w="2011" w:type="dxa"/>
          </w:tcPr>
          <w:p>
            <w:pPr>
              <w:pStyle w:val="Compact"/>
              <w:jc w:val="left"/>
            </w:pPr>
            <w:r>
              <w:t xml:space="preserve">Covered: 25%; Canada 35% from 2025-08-01; Canadian energy and potash 10%. Refunds through CAPE (US-1)</w:t>
            </w:r>
          </w:p>
        </w:tc>
        <w:tc>
          <w:tcPr>
            <w:tcW w:w="1472" w:type="dxa"/>
          </w:tcPr>
          <w:p>
            <w:pPr>
              <w:pStyle w:val="Compact"/>
              <w:jc w:val="left"/>
            </w:pPr>
            <w:r>
              <w:t xml:space="preserve">Confirmed (end); Reported (history)</w:t>
            </w:r>
          </w:p>
        </w:tc>
      </w:tr>
      <w:tr>
        <w:tc>
          <w:tcPr>
            <w:tcW w:w="2009" w:type="dxa"/>
          </w:tcPr>
          <w:p>
            <w:pPr>
              <w:pStyle w:val="Compact"/>
              <w:jc w:val="left"/>
            </w:pPr>
            <w:r>
              <w:t xml:space="preserve">Section 122 surcharge (2026-02-24 to 2026-07-24, ended)</w:t>
            </w:r>
          </w:p>
        </w:tc>
        <w:tc>
          <w:tcPr>
            <w:tcW w:w="3866" w:type="dxa"/>
          </w:tcPr>
          <w:p>
            <w:pPr>
              <w:pStyle w:val="Compact"/>
              <w:jc w:val="left"/>
            </w:pPr>
            <w:r>
              <w:t xml:space="preserve">Exempt (9903.03.07 Canada, 9903.03.08 Mexico)</w:t>
            </w:r>
          </w:p>
        </w:tc>
        <w:tc>
          <w:tcPr>
            <w:tcW w:w="2011" w:type="dxa"/>
          </w:tcPr>
          <w:p>
            <w:pPr>
              <w:pStyle w:val="Compact"/>
              <w:jc w:val="left"/>
            </w:pPr>
            <w:r>
              <w:t xml:space="preserve">10%</w:t>
            </w:r>
          </w:p>
        </w:tc>
        <w:tc>
          <w:tcPr>
            <w:tcW w:w="1472" w:type="dxa"/>
          </w:tcPr>
          <w:p>
            <w:pPr>
              <w:pStyle w:val="Compact"/>
              <w:jc w:val="left"/>
            </w:pPr>
            <w:r>
              <w:t xml:space="preserve">Confirmed</w:t>
            </w:r>
          </w:p>
        </w:tc>
      </w:tr>
      <w:tr>
        <w:tc>
          <w:tcPr>
            <w:tcW w:w="2009" w:type="dxa"/>
          </w:tcPr>
          <w:p>
            <w:pPr>
              <w:pStyle w:val="Compact"/>
              <w:jc w:val="left"/>
            </w:pPr>
            <w:r>
              <w:t xml:space="preserve">Section 301 forced labor (from 2026-07-24)</w:t>
            </w:r>
          </w:p>
        </w:tc>
        <w:tc>
          <w:tcPr>
            <w:tcW w:w="3866" w:type="dxa"/>
          </w:tcPr>
          <w:p>
            <w:pPr>
              <w:pStyle w:val="Compact"/>
              <w:jc w:val="left"/>
            </w:pPr>
            <w:r>
              <w:t xml:space="preserve">Exempt (9903.05.93 Canada, 9903.05.94 Mexico)</w:t>
            </w:r>
          </w:p>
        </w:tc>
        <w:tc>
          <w:tcPr>
            <w:tcW w:w="2011" w:type="dxa"/>
          </w:tcPr>
          <w:p>
            <w:pPr>
              <w:pStyle w:val="Compact"/>
              <w:jc w:val="left"/>
            </w:pPr>
            <w:r>
              <w:t xml:space="preserve">10% (9903.05.29 Canada, 9903.05.55 Mexico); articles subject to Section 232 not covered</w:t>
            </w:r>
          </w:p>
        </w:tc>
        <w:tc>
          <w:tcPr>
            <w:tcW w:w="1472" w:type="dxa"/>
          </w:tcPr>
          <w:p>
            <w:pPr>
              <w:pStyle w:val="Compact"/>
              <w:jc w:val="left"/>
            </w:pPr>
            <w:r>
              <w:t xml:space="preserve">Confirmed</w:t>
            </w:r>
          </w:p>
        </w:tc>
      </w:tr>
      <w:tr>
        <w:tc>
          <w:tcPr>
            <w:tcW w:w="2009" w:type="dxa"/>
          </w:tcPr>
          <w:p>
            <w:pPr>
              <w:pStyle w:val="Compact"/>
              <w:jc w:val="left"/>
            </w:pPr>
            <w:r>
              <w:t xml:space="preserve">Section 338 on goods of Canada (from 2026-08-22)</w:t>
            </w:r>
          </w:p>
        </w:tc>
        <w:tc>
          <w:tcPr>
            <w:tcW w:w="3866" w:type="dxa"/>
          </w:tcPr>
          <w:p>
            <w:pPr>
              <w:pStyle w:val="Compact"/>
              <w:jc w:val="left"/>
            </w:pPr>
            <w:r>
              <w:t xml:space="preserve">No exemption: 50% on listed goods; some listed goods banned from 2026-09-29</w:t>
            </w:r>
          </w:p>
        </w:tc>
        <w:tc>
          <w:tcPr>
            <w:tcW w:w="2011" w:type="dxa"/>
          </w:tcPr>
          <w:p>
            <w:pPr>
              <w:pStyle w:val="Compact"/>
              <w:jc w:val="left"/>
            </w:pPr>
            <w:r>
              <w:t xml:space="preserve">Same</w:t>
            </w:r>
          </w:p>
        </w:tc>
        <w:tc>
          <w:tcPr>
            <w:tcW w:w="1472" w:type="dxa"/>
          </w:tcPr>
          <w:p>
            <w:pPr>
              <w:pStyle w:val="Compact"/>
              <w:jc w:val="left"/>
            </w:pPr>
            <w:r>
              <w:t xml:space="preserve">Reported (fact sheet and CRS; no exemption seen in the text)</w:t>
            </w:r>
          </w:p>
        </w:tc>
      </w:tr>
      <w:tr>
        <w:tc>
          <w:tcPr>
            <w:tcW w:w="2009" w:type="dxa"/>
          </w:tcPr>
          <w:p>
            <w:pPr>
              <w:pStyle w:val="Compact"/>
              <w:jc w:val="left"/>
            </w:pPr>
            <w:r>
              <w:t xml:space="preserve">Section 232 steel, aluminum and copper</w:t>
            </w:r>
          </w:p>
        </w:tc>
        <w:tc>
          <w:tcPr>
            <w:tcW w:w="3866" w:type="dxa"/>
          </w:tcPr>
          <w:p>
            <w:pPr>
              <w:pStyle w:val="Compact"/>
              <w:jc w:val="left"/>
            </w:pPr>
            <w:r>
              <w:t xml:space="preserve">No general exemption: full customs value from 2026-04-06. Exception, 2026-06-08 to 2027-12-31: USMCA-qualifying Annex I-C mobile industrial equipment pays 25% only on the non-US content plus any US content above 40% of value (minimum effective 15%; steel articles on 9903.82.20 and 9903.82.21)</w:t>
            </w:r>
          </w:p>
        </w:tc>
        <w:tc>
          <w:tcPr>
            <w:tcW w:w="2011" w:type="dxa"/>
          </w:tcPr>
          <w:p>
            <w:pPr>
              <w:pStyle w:val="Compact"/>
              <w:jc w:val="left"/>
            </w:pPr>
            <w:r>
              <w:t xml:space="preserve">Full customs value; Annex I-C goods at 25%</w:t>
            </w:r>
          </w:p>
        </w:tc>
        <w:tc>
          <w:tcPr>
            <w:tcW w:w="1472" w:type="dxa"/>
          </w:tcPr>
          <w:p>
            <w:pPr>
              <w:pStyle w:val="Compact"/>
              <w:jc w:val="left"/>
            </w:pPr>
            <w:r>
              <w:t xml:space="preserve">Confirmed (full value); Reported (Annex I-C USMCA track)</w:t>
            </w:r>
          </w:p>
        </w:tc>
      </w:tr>
      <w:tr>
        <w:tc>
          <w:tcPr>
            <w:tcW w:w="2009" w:type="dxa"/>
          </w:tcPr>
          <w:p>
            <w:pPr>
              <w:pStyle w:val="Compact"/>
              <w:jc w:val="left"/>
            </w:pPr>
            <w:r>
              <w:t xml:space="preserve">Section 232 autos and auto parts</w:t>
            </w:r>
          </w:p>
        </w:tc>
        <w:tc>
          <w:tcPr>
            <w:tcW w:w="3866" w:type="dxa"/>
          </w:tcPr>
          <w:p>
            <w:pPr>
              <w:pStyle w:val="Compact"/>
              <w:jc w:val="left"/>
            </w:pPr>
            <w:r>
              <w:t xml:space="preserve">Vehicles: duty on non-US content only, under Commerce-approved US content. Parts: exempt until Commerce publishes a non-US-content process (none found)</w:t>
            </w:r>
          </w:p>
        </w:tc>
        <w:tc>
          <w:tcPr>
            <w:tcW w:w="2011" w:type="dxa"/>
          </w:tcPr>
          <w:p>
            <w:pPr>
              <w:pStyle w:val="Compact"/>
              <w:jc w:val="left"/>
            </w:pPr>
            <w:r>
              <w:t xml:space="preserve">Full duty</w:t>
            </w:r>
          </w:p>
        </w:tc>
        <w:tc>
          <w:tcPr>
            <w:tcW w:w="1472" w:type="dxa"/>
          </w:tcPr>
          <w:p>
            <w:pPr>
              <w:pStyle w:val="Compact"/>
              <w:jc w:val="left"/>
            </w:pPr>
            <w:r>
              <w:t xml:space="preserve">Confirmed (rule); Reported (no parts process)</w:t>
            </w:r>
          </w:p>
        </w:tc>
      </w:tr>
      <w:tr>
        <w:tc>
          <w:tcPr>
            <w:tcW w:w="2009" w:type="dxa"/>
          </w:tcPr>
          <w:p>
            <w:pPr>
              <w:pStyle w:val="Compact"/>
              <w:jc w:val="left"/>
            </w:pPr>
            <w:r>
              <w:t xml:space="preserve">Section 232 medium and heavy trucks</w:t>
            </w:r>
          </w:p>
        </w:tc>
        <w:tc>
          <w:tcPr>
            <w:tcW w:w="3866" w:type="dxa"/>
          </w:tcPr>
          <w:p>
            <w:pPr>
              <w:pStyle w:val="Compact"/>
              <w:jc w:val="left"/>
            </w:pPr>
            <w:r>
              <w:t xml:space="preserve">Approved models: duty on non-US content only (9903.74.03; US content 9903.74.06 at 0%). Parts: exempt until Commerce sets a non-US-content process (none found)</w:t>
            </w:r>
          </w:p>
        </w:tc>
        <w:tc>
          <w:tcPr>
            <w:tcW w:w="2011" w:type="dxa"/>
          </w:tcPr>
          <w:p>
            <w:pPr>
              <w:pStyle w:val="Compact"/>
              <w:jc w:val="left"/>
            </w:pPr>
            <w:r>
              <w:t xml:space="preserve">Full duty</w:t>
            </w:r>
          </w:p>
        </w:tc>
        <w:tc>
          <w:tcPr>
            <w:tcW w:w="1472" w:type="dxa"/>
          </w:tcPr>
          <w:p>
            <w:pPr>
              <w:pStyle w:val="Compact"/>
              <w:jc w:val="left"/>
            </w:pPr>
            <w:r>
              <w:t xml:space="preserve">Reported</w:t>
            </w:r>
          </w:p>
        </w:tc>
      </w:tr>
      <w:tr>
        <w:tc>
          <w:tcPr>
            <w:tcW w:w="2009" w:type="dxa"/>
          </w:tcPr>
          <w:p>
            <w:pPr>
              <w:pStyle w:val="Compact"/>
              <w:jc w:val="left"/>
            </w:pPr>
            <w:r>
              <w:t xml:space="preserve">Section 232 timber, lumber, furniture, cabinets</w:t>
            </w:r>
          </w:p>
        </w:tc>
        <w:tc>
          <w:tcPr>
            <w:tcW w:w="3866" w:type="dxa"/>
          </w:tcPr>
          <w:p>
            <w:pPr>
              <w:pStyle w:val="Compact"/>
              <w:jc w:val="left"/>
            </w:pPr>
            <w:r>
              <w:t xml:space="preserve">No exemption (reported)</w:t>
            </w:r>
          </w:p>
        </w:tc>
        <w:tc>
          <w:tcPr>
            <w:tcW w:w="2011" w:type="dxa"/>
          </w:tcPr>
          <w:p>
            <w:pPr>
              <w:pStyle w:val="Compact"/>
              <w:jc w:val="left"/>
            </w:pPr>
            <w:r>
              <w:t xml:space="preserve">Covered</w:t>
            </w:r>
          </w:p>
        </w:tc>
        <w:tc>
          <w:tcPr>
            <w:tcW w:w="1472" w:type="dxa"/>
          </w:tcPr>
          <w:p>
            <w:pPr>
              <w:pStyle w:val="Compact"/>
              <w:jc w:val="left"/>
            </w:pPr>
            <w:r>
              <w:t xml:space="preserve">Reported</w:t>
            </w:r>
          </w:p>
        </w:tc>
      </w:tr>
      <w:tr>
        <w:tc>
          <w:tcPr>
            <w:tcW w:w="2009" w:type="dxa"/>
          </w:tcPr>
          <w:p>
            <w:pPr>
              <w:pStyle w:val="Compact"/>
              <w:jc w:val="left"/>
            </w:pPr>
            <w:r>
              <w:t xml:space="preserve">Section 232 pharmaceuticals, semiconductors, drones, polysilicon</w:t>
            </w:r>
          </w:p>
        </w:tc>
        <w:tc>
          <w:tcPr>
            <w:tcW w:w="3866" w:type="dxa"/>
          </w:tcPr>
          <w:p>
            <w:pPr>
              <w:pStyle w:val="Compact"/>
              <w:jc w:val="left"/>
            </w:pPr>
            <w:r>
              <w:t xml:space="preserve">No USMCA exemption seen in this check: read each proclamation</w:t>
            </w:r>
          </w:p>
        </w:tc>
        <w:tc>
          <w:tcPr>
            <w:tcW w:w="2011" w:type="dxa"/>
          </w:tcPr>
          <w:p>
            <w:pPr>
              <w:pStyle w:val="Compact"/>
              <w:jc w:val="left"/>
            </w:pPr>
            <w:r>
              <w:t xml:space="preserve">Covered</w:t>
            </w:r>
          </w:p>
        </w:tc>
        <w:tc>
          <w:tcPr>
            <w:tcW w:w="1472" w:type="dxa"/>
          </w:tcPr>
          <w:p>
            <w:pPr>
              <w:pStyle w:val="Compact"/>
              <w:jc w:val="left"/>
            </w:pPr>
            <w:r>
              <w:t xml:space="preserve">Unclear</w:t>
            </w:r>
          </w:p>
        </w:tc>
      </w:tr>
      <w:tr>
        <w:tc>
          <w:tcPr>
            <w:tcW w:w="2009" w:type="dxa"/>
          </w:tcPr>
          <w:p>
            <w:pPr>
              <w:pStyle w:val="Compact"/>
              <w:jc w:val="left"/>
            </w:pPr>
            <w:r>
              <w:t xml:space="preserve">Section 301 China</w:t>
            </w:r>
          </w:p>
        </w:tc>
        <w:tc>
          <w:tcPr>
            <w:tcW w:w="3866" w:type="dxa"/>
          </w:tcPr>
          <w:p>
            <w:pPr>
              <w:pStyle w:val="Compact"/>
              <w:jc w:val="left"/>
            </w:pPr>
            <w:r>
              <w:t xml:space="preserve">Not applicable: covers goods of China origin only. Goods made in Canada or Mexico from Chinese inputs are covered if the Chinese input is not substantially transformed there (CBP applies its substantial transformation test; confirm case by case)</w:t>
            </w:r>
          </w:p>
        </w:tc>
        <w:tc>
          <w:tcPr>
            <w:tcW w:w="2011" w:type="dxa"/>
          </w:tcPr>
          <w:p>
            <w:pPr>
              <w:pStyle w:val="Compact"/>
              <w:jc w:val="left"/>
            </w:pPr>
            <w:r>
              <w:t xml:space="preserve">Same</w:t>
            </w:r>
          </w:p>
        </w:tc>
        <w:tc>
          <w:tcPr>
            <w:tcW w:w="1472" w:type="dxa"/>
          </w:tcPr>
          <w:p>
            <w:pPr>
              <w:pStyle w:val="Compact"/>
              <w:jc w:val="left"/>
            </w:pPr>
            <w:r>
              <w:t xml:space="preserve">Reported</w:t>
            </w:r>
          </w:p>
        </w:tc>
      </w:tr>
    </w:tbl>
    <w:p>
      <w:pPr>
        <w:pStyle w:val="BodyText"/>
      </w:pPr>
      <w:r>
        <w:t xml:space="preserve">Origin rules differ by action (substantial transformation, melt-and-pour, smelt-and-cast, marking rules). Flag every item made in Canada or Mexico from Chinese or other third-country inputs to the Senior.</w:t>
      </w:r>
    </w:p>
    <w:bookmarkEnd w:id="82"/>
    <w:bookmarkStart w:id="84" w:name="us-8-stacking-and-reporting-order"/>
    <w:p>
      <w:pPr>
        <w:pStyle w:val="Heading4"/>
      </w:pPr>
      <w:r>
        <w:t xml:space="preserve">US-8 Stacking and reporting order</w:t>
      </w:r>
    </w:p>
    <w:p>
      <w:pPr>
        <w:numPr>
          <w:ilvl w:val="0"/>
          <w:numId w:val="1005"/>
        </w:numPr>
        <w:pStyle w:val="Compact"/>
      </w:pPr>
      <w:r>
        <w:rPr>
          <w:bCs/>
          <w:b/>
        </w:rPr>
        <w:t xml:space="preserve">Default:</w:t>
      </w:r>
      <w:r>
        <w:t xml:space="preserve"> </w:t>
      </w:r>
      <w:r>
        <w:t xml:space="preserve">additional duties add to the base rate and to each other, unless the instrument says otherwise. Every instrument has to be read for its own "does not apply to" or interaction paragraph.</w:t>
      </w:r>
    </w:p>
    <w:p>
      <w:pPr>
        <w:numPr>
          <w:ilvl w:val="0"/>
          <w:numId w:val="1005"/>
        </w:numPr>
        <w:pStyle w:val="Compact"/>
      </w:pPr>
      <w:r>
        <w:rPr>
          <w:bCs/>
          <w:b/>
        </w:rPr>
        <w:t xml:space="preserve">Section 232 metals:</w:t>
      </w:r>
      <w:r>
        <w:t xml:space="preserve"> </w:t>
      </w:r>
      <w:r>
        <w:t xml:space="preserve">full customs value from 2026-04-06. A good listed for more than one metal pays once (reported). Separate metal-content and non-metal lines apply only to entries before 2026-04-06.</w:t>
      </w:r>
    </w:p>
    <w:p>
      <w:pPr>
        <w:numPr>
          <w:ilvl w:val="0"/>
          <w:numId w:val="1005"/>
        </w:numPr>
        <w:pStyle w:val="Compact"/>
      </w:pPr>
      <w:r>
        <w:rPr>
          <w:bCs/>
          <w:b/>
        </w:rPr>
        <w:t xml:space="preserve">Section 301 forced labor:</w:t>
      </w:r>
      <w:r>
        <w:t xml:space="preserve"> </w:t>
      </w:r>
      <w:r>
        <w:t xml:space="preserve">not applied to articles subject to Section 232 (CSMS 69326983). For China it adds to the existing Section 301 duties on Lists 1 to 4A (reported).</w:t>
      </w:r>
    </w:p>
    <w:p>
      <w:pPr>
        <w:numPr>
          <w:ilvl w:val="0"/>
          <w:numId w:val="1005"/>
        </w:numPr>
        <w:pStyle w:val="Compact"/>
      </w:pPr>
      <w:r>
        <w:rPr>
          <w:bCs/>
          <w:b/>
        </w:rPr>
        <w:t xml:space="preserve">Section 122 (ended):</w:t>
      </w:r>
      <w:r>
        <w:t xml:space="preserve"> </w:t>
      </w:r>
      <w:r>
        <w:t xml:space="preserve">did not apply to goods subject to Section 232.</w:t>
      </w:r>
    </w:p>
    <w:p>
      <w:pPr>
        <w:numPr>
          <w:ilvl w:val="0"/>
          <w:numId w:val="1005"/>
        </w:numPr>
        <w:pStyle w:val="Compact"/>
      </w:pPr>
      <w:r>
        <w:rPr>
          <w:bCs/>
          <w:b/>
        </w:rPr>
        <w:t xml:space="preserve">Section 338 on goods of Canada:</w:t>
      </w:r>
      <w:r>
        <w:t xml:space="preserve"> </w:t>
      </w:r>
      <w:r>
        <w:t xml:space="preserve">adds to the column 1 rate, AD/CVD and other duties, including the forced-labor duty where that applies (CSMS 69606660). Interaction with Section 232: at launch, goods subject to listed Section 232 duties could claim the 0% line 9903.03.15 on all three lists. For entries from 12:01 a.m. ET 2026-09-15, only goods under 9903.03.13 (the dairy list) may claim it, so goods under 9903.03.12 (the alcoholic beverage list) and 9903.03.14 (the motor vehicle list) that are also subject to Section 232 pay both (CSMS 69851916; Proclamations 11064 and 11065) (Confirmed). 9903.03.16 is a separate 0% exclusion for qualifying Canadian civil aircraft, engines and parts, not a Section 232 line (reported).</w:t>
      </w:r>
    </w:p>
    <w:p>
      <w:pPr>
        <w:numPr>
          <w:ilvl w:val="0"/>
          <w:numId w:val="1005"/>
        </w:numPr>
        <w:pStyle w:val="Compact"/>
      </w:pPr>
      <w:r>
        <w:rPr>
          <w:bCs/>
          <w:b/>
        </w:rPr>
        <w:t xml:space="preserve">Partial-value bases still live:</w:t>
      </w:r>
      <w:r>
        <w:t xml:space="preserve"> </w:t>
      </w:r>
      <w:r>
        <w:t xml:space="preserve">the non-US content of Commerce-approved USMCA vehicles and trucks under Section 232, and the non-US content (plus any US content above 40% of value) of USMCA-qualifying Annex I-C equipment under the Section 232 metals regime (Proclamation 11032, to 2027-12-31).</w:t>
      </w:r>
    </w:p>
    <w:p>
      <w:pPr>
        <w:numPr>
          <w:ilvl w:val="0"/>
          <w:numId w:val="1005"/>
        </w:numPr>
        <w:pStyle w:val="Compact"/>
      </w:pPr>
      <w:r>
        <w:rPr>
          <w:bCs/>
          <w:b/>
        </w:rPr>
        <w:t xml:space="preserve">2025 non-stacking rules:</w:t>
      </w:r>
      <w:r>
        <w:t xml:space="preserve"> </w:t>
      </w:r>
      <w:r>
        <w:t xml:space="preserve">EO 14289 (2025-04-29) kept the auto Section 232 duties from stacking with the IEEPA duties and the metals Section 232 duties (reported). The IEEPA part is moot; whether the auto-versus-metals rule still applies after Proclamation 11021: verify.</w:t>
      </w:r>
    </w:p>
    <w:p>
      <w:pPr>
        <w:numPr>
          <w:ilvl w:val="0"/>
          <w:numId w:val="1005"/>
        </w:numPr>
        <w:pStyle w:val="Compact"/>
      </w:pPr>
      <w:r>
        <w:rPr>
          <w:bCs/>
          <w:b/>
        </w:rPr>
        <w:t xml:space="preserve">Reporting order:</w:t>
      </w:r>
      <w:r>
        <w:t xml:space="preserve"> </w:t>
      </w:r>
      <w:r>
        <w:t xml:space="preserve">CBP's order-of-reporting page (updated by CSMS 69668138) sets the sequence on an entry summary line: Chapter 98 first, then Chapter 99 trade remedies in the order Section 301, Section 338, Section 232, Section 201, then other Chapter 99 numbers, and the Chapter 1 to 97 classification last, carrying the entered value.</w:t>
      </w:r>
    </w:p>
    <w:tbl>
      <w:tblPr>
        <w:tblStyle w:val="Table"/>
        <w:tblW w:type="dxa" w:w="9360"/>
        <w:tblLook w:firstRow="1" w:lastRow="0" w:firstColumn="0" w:lastColumn="0" w:noHBand="0" w:noVBand="0" w:val="0020"/>
        <w:jc w:val="start"/>
        <w:tblLayout w:type="fixed"/>
      </w:tblPr>
      <w:tblGrid>
        <w:gridCol w:w="1318"/>
        <w:gridCol w:w="2295"/>
        <w:gridCol w:w="4882"/>
        <w:gridCol w:w="863"/>
      </w:tblGrid>
      <w:tr>
        <w:trPr>
          <w:tblHeader w:val="true"/>
        </w:trPr>
        <w:tc>
          <w:tcPr>
            <w:tcW w:w="1318" w:type="dxa"/>
          </w:tcPr>
          <w:p>
            <w:pPr>
              <w:pStyle w:val="Compact"/>
              <w:jc w:val="left"/>
            </w:pPr>
            <w:r>
              <w:t xml:space="preserve">Item</w:t>
            </w:r>
          </w:p>
        </w:tc>
        <w:tc>
          <w:tcPr>
            <w:tcW w:w="2295" w:type="dxa"/>
          </w:tcPr>
          <w:p>
            <w:pPr>
              <w:pStyle w:val="Compact"/>
              <w:jc w:val="left"/>
            </w:pPr>
            <w:r>
              <w:t xml:space="preserve">Last known</w:t>
            </w:r>
          </w:p>
        </w:tc>
        <w:tc>
          <w:tcPr>
            <w:tcW w:w="4882" w:type="dxa"/>
          </w:tcPr>
          <w:p>
            <w:pPr>
              <w:pStyle w:val="Compact"/>
              <w:jc w:val="left"/>
            </w:pPr>
            <w:r>
              <w:t xml:space="preserve">Source</w:t>
            </w:r>
          </w:p>
        </w:tc>
        <w:tc>
          <w:tcPr>
            <w:tcW w:w="863" w:type="dxa"/>
          </w:tcPr>
          <w:p>
            <w:pPr>
              <w:pStyle w:val="Compact"/>
              <w:jc w:val="left"/>
            </w:pPr>
            <w:r>
              <w:t xml:space="preserve">Confidence</w:t>
            </w:r>
          </w:p>
        </w:tc>
      </w:tr>
      <w:tr>
        <w:tc>
          <w:tcPr>
            <w:tcW w:w="1318" w:type="dxa"/>
          </w:tcPr>
          <w:p>
            <w:pPr>
              <w:pStyle w:val="Compact"/>
              <w:jc w:val="left"/>
            </w:pPr>
            <w:r>
              <w:t xml:space="preserve">Latest CBP order-of-reporting message</w:t>
            </w:r>
          </w:p>
        </w:tc>
        <w:tc>
          <w:tcPr>
            <w:tcW w:w="2295" w:type="dxa"/>
          </w:tcPr>
          <w:p>
            <w:pPr>
              <w:pStyle w:val="Compact"/>
              <w:jc w:val="left"/>
            </w:pPr>
            <w:r>
              <w:t xml:space="preserve">CSMS 69668138 (2026): Section 301, then 338, then 232, then 201</w:t>
            </w:r>
          </w:p>
        </w:tc>
        <w:tc>
          <w:tcPr>
            <w:tcW w:w="4882" w:type="dxa"/>
          </w:tcPr>
          <w:p>
            <w:pPr>
              <w:pStyle w:val="Compact"/>
              <w:jc w:val="left"/>
            </w:pPr>
            <w:hyperlink r:id="rId83">
              <w:r>
                <w:rPr>
                  <w:rStyle w:val="Hyperlink"/>
                </w:rPr>
                <w:t xml:space="preserve">https://www.cbp.gov/trade/programs-administration/entry-summary/order-of-reporting-multiple-hts-in-ace</w:t>
              </w:r>
            </w:hyperlink>
          </w:p>
        </w:tc>
        <w:tc>
          <w:tcPr>
            <w:tcW w:w="863" w:type="dxa"/>
          </w:tcPr>
          <w:p>
            <w:pPr>
              <w:pStyle w:val="Compact"/>
              <w:jc w:val="left"/>
            </w:pPr>
            <w:r>
              <w:t xml:space="preserve">Confirmed</w:t>
            </w:r>
          </w:p>
        </w:tc>
      </w:tr>
    </w:tbl>
    <w:bookmarkEnd w:id="84"/>
    <w:bookmarkStart w:id="89" w:name="us-9-customs-fees-used-in-landed-cost"/>
    <w:p>
      <w:pPr>
        <w:pStyle w:val="Heading4"/>
      </w:pPr>
      <w:r>
        <w:t xml:space="preserve">US-9 Customs fees used in landed cost</w:t>
      </w:r>
    </w:p>
    <w:tbl>
      <w:tblPr>
        <w:tblStyle w:val="Table"/>
        <w:tblW w:type="dxa" w:w="9360"/>
        <w:tblLook w:firstRow="1" w:lastRow="0" w:firstColumn="0" w:lastColumn="0" w:noHBand="0" w:noVBand="0" w:val="0020"/>
        <w:jc w:val="start"/>
        <w:tblLayout w:type="fixed"/>
      </w:tblPr>
      <w:tblGrid>
        <w:gridCol w:w="886"/>
        <w:gridCol w:w="866"/>
        <w:gridCol w:w="2192"/>
        <w:gridCol w:w="2419"/>
        <w:gridCol w:w="2128"/>
        <w:gridCol w:w="866"/>
      </w:tblGrid>
      <w:tr>
        <w:trPr>
          <w:tblHeader w:val="true"/>
        </w:trPr>
        <w:tc>
          <w:tcPr>
            <w:tcW w:w="886" w:type="dxa"/>
          </w:tcPr>
          <w:p>
            <w:pPr>
              <w:pStyle w:val="Compact"/>
              <w:jc w:val="left"/>
            </w:pPr>
            <w:r>
              <w:t xml:space="preserve">Fee</w:t>
            </w:r>
          </w:p>
        </w:tc>
        <w:tc>
          <w:tcPr>
            <w:tcW w:w="866" w:type="dxa"/>
          </w:tcPr>
          <w:p>
            <w:pPr>
              <w:pStyle w:val="Compact"/>
              <w:jc w:val="left"/>
            </w:pPr>
            <w:r>
              <w:t xml:space="preserve">Authority</w:t>
            </w:r>
          </w:p>
        </w:tc>
        <w:tc>
          <w:tcPr>
            <w:tcW w:w="2192" w:type="dxa"/>
          </w:tcPr>
          <w:p>
            <w:pPr>
              <w:pStyle w:val="Compact"/>
              <w:jc w:val="left"/>
            </w:pPr>
            <w:r>
              <w:t xml:space="preserve">Basis</w:t>
            </w:r>
          </w:p>
        </w:tc>
        <w:tc>
          <w:tcPr>
            <w:tcW w:w="2419" w:type="dxa"/>
          </w:tcPr>
          <w:p>
            <w:pPr>
              <w:pStyle w:val="Compact"/>
              <w:jc w:val="left"/>
            </w:pPr>
            <w:r>
              <w:t xml:space="preserve">Status as of 2026-10-08</w:t>
            </w:r>
          </w:p>
        </w:tc>
        <w:tc>
          <w:tcPr>
            <w:tcW w:w="2128" w:type="dxa"/>
          </w:tcPr>
          <w:p>
            <w:pPr>
              <w:pStyle w:val="Compact"/>
              <w:jc w:val="left"/>
            </w:pPr>
            <w:r>
              <w:t xml:space="preserve">Source</w:t>
            </w:r>
          </w:p>
        </w:tc>
        <w:tc>
          <w:tcPr>
            <w:tcW w:w="866" w:type="dxa"/>
          </w:tcPr>
          <w:p>
            <w:pPr>
              <w:pStyle w:val="Compact"/>
              <w:jc w:val="left"/>
            </w:pPr>
            <w:r>
              <w:t xml:space="preserve">Confidence</w:t>
            </w:r>
          </w:p>
        </w:tc>
      </w:tr>
      <w:tr>
        <w:tc>
          <w:tcPr>
            <w:tcW w:w="886" w:type="dxa"/>
          </w:tcPr>
          <w:p>
            <w:pPr>
              <w:pStyle w:val="Compact"/>
              <w:jc w:val="left"/>
            </w:pPr>
            <w:r>
              <w:t xml:space="preserve">Merchandise Processing Fee (MPF), formal entries</w:t>
            </w:r>
          </w:p>
        </w:tc>
        <w:tc>
          <w:tcPr>
            <w:tcW w:w="866" w:type="dxa"/>
          </w:tcPr>
          <w:p>
            <w:pPr>
              <w:pStyle w:val="Compact"/>
              <w:jc w:val="left"/>
            </w:pPr>
            <w:r>
              <w:t xml:space="preserve">19 U.S.C. 58c; 19 CFR 24.23</w:t>
            </w:r>
          </w:p>
        </w:tc>
        <w:tc>
          <w:tcPr>
            <w:tcW w:w="2192" w:type="dxa"/>
          </w:tcPr>
          <w:p>
            <w:pPr>
              <w:pStyle w:val="Compact"/>
              <w:jc w:val="left"/>
            </w:pPr>
            <w:r>
              <w:t xml:space="preserve">0.3464% ad valorem, with a per-entry minimum and maximum adjusted every fiscal year. USMCA-originating goods properly claimed are exempt</w:t>
            </w:r>
          </w:p>
        </w:tc>
        <w:tc>
          <w:tcPr>
            <w:tcW w:w="2419" w:type="dxa"/>
          </w:tcPr>
          <w:p>
            <w:pPr>
              <w:pStyle w:val="Compact"/>
              <w:jc w:val="left"/>
            </w:pPr>
            <w:r>
              <w:t xml:space="preserve">Fiscal year 2027 (formal entries from 2026-10-01): minimum $34.58, maximum $670.86. Do not reuse the fiscal year 2026 amounts ($33.58 and $651.50). The 0.3464% rate was not shown as changed: confirm in the notice. CBP's user-fee table may still show the 2026 amounts</w:t>
            </w:r>
          </w:p>
        </w:tc>
        <w:tc>
          <w:tcPr>
            <w:tcW w:w="2128" w:type="dxa"/>
          </w:tcPr>
          <w:p>
            <w:pPr>
              <w:pStyle w:val="Compact"/>
              <w:jc w:val="left"/>
            </w:pPr>
            <w:hyperlink r:id="rId85">
              <w:r>
                <w:rPr>
                  <w:rStyle w:val="Hyperlink"/>
                </w:rPr>
                <w:t xml:space="preserve">https://www.federalregister.gov/d/2026-15530</w:t>
              </w:r>
            </w:hyperlink>
            <w:r>
              <w:t xml:space="preserve"> </w:t>
            </w:r>
            <w:r>
              <w:t xml:space="preserve">(2026-07-31, 91 FR 48398);</w:t>
            </w:r>
            <w:r>
              <w:t xml:space="preserve"> </w:t>
            </w:r>
            <w:hyperlink r:id="rId86">
              <w:r>
                <w:rPr>
                  <w:rStyle w:val="Hyperlink"/>
                </w:rPr>
                <w:t xml:space="preserve">https://www.cbp.gov/trade/basic-import-export/user-fee-table</w:t>
              </w:r>
            </w:hyperlink>
            <w:r>
              <w:t xml:space="preserve"> </w:t>
            </w:r>
            <w:r>
              <w:t xml:space="preserve">;</w:t>
            </w:r>
            <w:r>
              <w:t xml:space="preserve"> </w:t>
            </w:r>
            <w:hyperlink r:id="rId87">
              <w:r>
                <w:rPr>
                  <w:rStyle w:val="Hyperlink"/>
                </w:rPr>
                <w:t xml:space="preserve">https://www.ecfr.gov/current/title-19/section-24.23</w:t>
              </w:r>
            </w:hyperlink>
          </w:p>
        </w:tc>
        <w:tc>
          <w:tcPr>
            <w:tcW w:w="866" w:type="dxa"/>
          </w:tcPr>
          <w:p>
            <w:pPr>
              <w:pStyle w:val="Compact"/>
              <w:jc w:val="left"/>
            </w:pPr>
            <w:r>
              <w:t xml:space="preserve">Confirmed (amounts); Reported (rate unchanged)</w:t>
            </w:r>
          </w:p>
        </w:tc>
      </w:tr>
      <w:tr>
        <w:tc>
          <w:tcPr>
            <w:tcW w:w="886" w:type="dxa"/>
          </w:tcPr>
          <w:p>
            <w:pPr>
              <w:pStyle w:val="Compact"/>
              <w:jc w:val="left"/>
            </w:pPr>
            <w:r>
              <w:t xml:space="preserve">Harbor Maintenance Fee (HMF)</w:t>
            </w:r>
          </w:p>
        </w:tc>
        <w:tc>
          <w:tcPr>
            <w:tcW w:w="866" w:type="dxa"/>
          </w:tcPr>
          <w:p>
            <w:pPr>
              <w:pStyle w:val="Compact"/>
              <w:jc w:val="left"/>
            </w:pPr>
            <w:r>
              <w:t xml:space="preserve">26 U.S.C. 4461; 19 CFR 24.24</w:t>
            </w:r>
          </w:p>
        </w:tc>
        <w:tc>
          <w:tcPr>
            <w:tcW w:w="2192" w:type="dxa"/>
          </w:tcPr>
          <w:p>
            <w:pPr>
              <w:pStyle w:val="Compact"/>
              <w:jc w:val="left"/>
            </w:pPr>
            <w:r>
              <w:t xml:space="preserve">0.125% of the value of commercial cargo loaded or unloaded at covered ports; vessel shipments only; no minimum or cap</w:t>
            </w:r>
          </w:p>
        </w:tc>
        <w:tc>
          <w:tcPr>
            <w:tcW w:w="2419" w:type="dxa"/>
          </w:tcPr>
          <w:p>
            <w:pPr>
              <w:pStyle w:val="Compact"/>
              <w:jc w:val="left"/>
            </w:pPr>
            <w:r>
              <w:t xml:space="preserve">In force; no change found</w:t>
            </w:r>
          </w:p>
        </w:tc>
        <w:tc>
          <w:tcPr>
            <w:tcW w:w="2128" w:type="dxa"/>
          </w:tcPr>
          <w:p>
            <w:pPr>
              <w:pStyle w:val="Compact"/>
              <w:jc w:val="left"/>
            </w:pPr>
            <w:hyperlink r:id="rId88">
              <w:r>
                <w:rPr>
                  <w:rStyle w:val="Hyperlink"/>
                </w:rPr>
                <w:t xml:space="preserve">https://www.ecfr.gov/current/title-19/section-24.24</w:t>
              </w:r>
            </w:hyperlink>
          </w:p>
        </w:tc>
        <w:tc>
          <w:tcPr>
            <w:tcW w:w="866" w:type="dxa"/>
          </w:tcPr>
          <w:p>
            <w:pPr>
              <w:pStyle w:val="Compact"/>
              <w:jc w:val="left"/>
            </w:pPr>
            <w:r>
              <w:t xml:space="preserve">Reported</w:t>
            </w:r>
          </w:p>
        </w:tc>
      </w:tr>
    </w:tbl>
    <w:bookmarkEnd w:id="89"/>
    <w:bookmarkStart w:id="94" w:name="us-10-drawback-eligibility-last-known"/>
    <w:p>
      <w:pPr>
        <w:pStyle w:val="Heading4"/>
      </w:pPr>
      <w:r>
        <w:t xml:space="preserve">US-10 Drawback eligibility (last known)</w:t>
      </w:r>
    </w:p>
    <w:p>
      <w:pPr>
        <w:pStyle w:val="FirstParagraph"/>
      </w:pPr>
      <w:r>
        <w:t xml:space="preserve">US duty drawback stays with the Senior (M9). Research reports what each instrument says.</w:t>
      </w:r>
    </w:p>
    <w:tbl>
      <w:tblPr>
        <w:tblStyle w:val="Table"/>
        <w:tblW w:type="dxa" w:w="9360"/>
        <w:tblLook w:firstRow="1" w:lastRow="0" w:firstColumn="0" w:lastColumn="0" w:noHBand="0" w:noVBand="0" w:val="0020"/>
        <w:jc w:val="start"/>
        <w:tblLayout w:type="fixed"/>
      </w:tblPr>
      <w:tblGrid>
        <w:gridCol w:w="2100"/>
        <w:gridCol w:w="2959"/>
        <w:gridCol w:w="3408"/>
        <w:gridCol w:w="892"/>
      </w:tblGrid>
      <w:tr>
        <w:trPr>
          <w:tblHeader w:val="true"/>
        </w:trPr>
        <w:tc>
          <w:tcPr>
            <w:tcW w:w="2100" w:type="dxa"/>
          </w:tcPr>
          <w:p>
            <w:pPr>
              <w:pStyle w:val="Compact"/>
              <w:jc w:val="left"/>
            </w:pPr>
            <w:r>
              <w:t xml:space="preserve">Duty</w:t>
            </w:r>
          </w:p>
        </w:tc>
        <w:tc>
          <w:tcPr>
            <w:tcW w:w="2959" w:type="dxa"/>
          </w:tcPr>
          <w:p>
            <w:pPr>
              <w:pStyle w:val="Compact"/>
              <w:jc w:val="left"/>
            </w:pPr>
            <w:r>
              <w:t xml:space="preserve">Drawback (last known)</w:t>
            </w:r>
          </w:p>
        </w:tc>
        <w:tc>
          <w:tcPr>
            <w:tcW w:w="3408" w:type="dxa"/>
          </w:tcPr>
          <w:p>
            <w:pPr>
              <w:pStyle w:val="Compact"/>
              <w:jc w:val="left"/>
            </w:pPr>
            <w:r>
              <w:t xml:space="preserve">Source</w:t>
            </w:r>
          </w:p>
        </w:tc>
        <w:tc>
          <w:tcPr>
            <w:tcW w:w="892" w:type="dxa"/>
          </w:tcPr>
          <w:p>
            <w:pPr>
              <w:pStyle w:val="Compact"/>
              <w:jc w:val="left"/>
            </w:pPr>
            <w:r>
              <w:t xml:space="preserve">Confidence</w:t>
            </w:r>
          </w:p>
        </w:tc>
      </w:tr>
      <w:tr>
        <w:tc>
          <w:tcPr>
            <w:tcW w:w="2100" w:type="dxa"/>
          </w:tcPr>
          <w:p>
            <w:pPr>
              <w:pStyle w:val="Compact"/>
              <w:jc w:val="left"/>
            </w:pPr>
            <w:r>
              <w:t xml:space="preserve">Section 301 China</w:t>
            </w:r>
          </w:p>
        </w:tc>
        <w:tc>
          <w:tcPr>
            <w:tcW w:w="2959" w:type="dxa"/>
          </w:tcPr>
          <w:p>
            <w:pPr>
              <w:pStyle w:val="Compact"/>
              <w:jc w:val="left"/>
            </w:pPr>
            <w:r>
              <w:t xml:space="preserve">Eligible under normal drawback rules</w:t>
            </w:r>
          </w:p>
        </w:tc>
        <w:tc>
          <w:tcPr>
            <w:tcW w:w="3408" w:type="dxa"/>
          </w:tcPr>
          <w:p>
            <w:pPr>
              <w:pStyle w:val="Compact"/>
              <w:jc w:val="left"/>
            </w:pPr>
            <w:r>
              <w:t xml:space="preserve">CBP Section 301 FAQs,</w:t>
            </w:r>
            <w:r>
              <w:t xml:space="preserve"> </w:t>
            </w:r>
            <w:hyperlink r:id="rId90">
              <w:r>
                <w:rPr>
                  <w:rStyle w:val="Hyperlink"/>
                </w:rPr>
                <w:t xml:space="preserve">https://www.cbp.gov/trade/programs-administration/entry-summary/section-301-trade-remedies/faqs</w:t>
              </w:r>
            </w:hyperlink>
          </w:p>
        </w:tc>
        <w:tc>
          <w:tcPr>
            <w:tcW w:w="892" w:type="dxa"/>
          </w:tcPr>
          <w:p>
            <w:pPr>
              <w:pStyle w:val="Compact"/>
              <w:jc w:val="left"/>
            </w:pPr>
            <w:r>
              <w:t xml:space="preserve">Reported</w:t>
            </w:r>
          </w:p>
        </w:tc>
      </w:tr>
      <w:tr>
        <w:tc>
          <w:tcPr>
            <w:tcW w:w="2100" w:type="dxa"/>
          </w:tcPr>
          <w:p>
            <w:pPr>
              <w:pStyle w:val="Compact"/>
              <w:jc w:val="left"/>
            </w:pPr>
            <w:r>
              <w:t xml:space="preserve">Section 301 forced labor (9903.05.20 to 9903.05.84) and Brazil (9903.05.01)</w:t>
            </w:r>
          </w:p>
        </w:tc>
        <w:tc>
          <w:tcPr>
            <w:tcW w:w="2959" w:type="dxa"/>
          </w:tcPr>
          <w:p>
            <w:pPr>
              <w:pStyle w:val="Compact"/>
              <w:jc w:val="left"/>
            </w:pPr>
            <w:r>
              <w:t xml:space="preserve">Eligible. CBP's ACE drawback validation (FD07) rejected these lines from 2026-08-12 (CSMS 69535943); CBP then corrected the validation to allow drawback and updated the CATAIR drawback error dictionary (CSMS 69567203, 2026-08-18). The Senior reviews any claim rejected on these lines since 2026-08-12</w:t>
            </w:r>
          </w:p>
        </w:tc>
        <w:tc>
          <w:tcPr>
            <w:tcW w:w="3408" w:type="dxa"/>
          </w:tcPr>
          <w:p>
            <w:pPr>
              <w:pStyle w:val="Compact"/>
              <w:jc w:val="left"/>
            </w:pPr>
            <w:r>
              <w:t xml:space="preserve">CBP CSMS 69535943,</w:t>
            </w:r>
            <w:r>
              <w:t xml:space="preserve"> </w:t>
            </w:r>
            <w:hyperlink r:id="rId91">
              <w:r>
                <w:rPr>
                  <w:rStyle w:val="Hyperlink"/>
                </w:rPr>
                <w:t xml:space="preserve">https://content.govdelivery.com/accounts/USDHSCBP/bulletins/42508c7</w:t>
              </w:r>
            </w:hyperlink>
            <w:r>
              <w:t xml:space="preserve"> </w:t>
            </w:r>
            <w:r>
              <w:t xml:space="preserve">; CSMS 69567203,</w:t>
            </w:r>
            <w:r>
              <w:t xml:space="preserve"> </w:t>
            </w:r>
            <w:hyperlink r:id="rId92">
              <w:r>
                <w:rPr>
                  <w:rStyle w:val="Hyperlink"/>
                </w:rPr>
                <w:t xml:space="preserve">https://content.govdelivery.com/accounts/USDHSCBP/bulletins/42582e3</w:t>
              </w:r>
            </w:hyperlink>
          </w:p>
        </w:tc>
        <w:tc>
          <w:tcPr>
            <w:tcW w:w="892" w:type="dxa"/>
          </w:tcPr>
          <w:p>
            <w:pPr>
              <w:pStyle w:val="Compact"/>
              <w:jc w:val="left"/>
            </w:pPr>
            <w:r>
              <w:t xml:space="preserve">Confirmed (CSMS text in search excerpts)</w:t>
            </w:r>
          </w:p>
        </w:tc>
      </w:tr>
      <w:tr>
        <w:tc>
          <w:tcPr>
            <w:tcW w:w="2100" w:type="dxa"/>
          </w:tcPr>
          <w:p>
            <w:pPr>
              <w:pStyle w:val="Compact"/>
              <w:jc w:val="left"/>
            </w:pPr>
            <w:r>
              <w:t xml:space="preserve">Section 338 on goods of Canada (9903.03.12 to 9903.03.14)</w:t>
            </w:r>
          </w:p>
        </w:tc>
        <w:tc>
          <w:tcPr>
            <w:tcW w:w="2959" w:type="dxa"/>
          </w:tcPr>
          <w:p>
            <w:pPr>
              <w:pStyle w:val="Compact"/>
              <w:jc w:val="left"/>
            </w:pPr>
            <w:r>
              <w:t xml:space="preserve">Eligible</w:t>
            </w:r>
          </w:p>
        </w:tc>
        <w:tc>
          <w:tcPr>
            <w:tcW w:w="3408" w:type="dxa"/>
          </w:tcPr>
          <w:p>
            <w:pPr>
              <w:pStyle w:val="Compact"/>
              <w:jc w:val="left"/>
            </w:pPr>
            <w:r>
              <w:t xml:space="preserve">CBP CSMS 69606660 and 69851916</w:t>
            </w:r>
          </w:p>
        </w:tc>
        <w:tc>
          <w:tcPr>
            <w:tcW w:w="892" w:type="dxa"/>
          </w:tcPr>
          <w:p>
            <w:pPr>
              <w:pStyle w:val="Compact"/>
              <w:jc w:val="left"/>
            </w:pPr>
            <w:r>
              <w:t xml:space="preserve">Confirmed</w:t>
            </w:r>
          </w:p>
        </w:tc>
      </w:tr>
      <w:tr>
        <w:tc>
          <w:tcPr>
            <w:tcW w:w="2100" w:type="dxa"/>
          </w:tcPr>
          <w:p>
            <w:pPr>
              <w:pStyle w:val="Compact"/>
              <w:jc w:val="left"/>
            </w:pPr>
            <w:r>
              <w:t xml:space="preserve">Section 232 metals from 2026-04-06</w:t>
            </w:r>
          </w:p>
        </w:tc>
        <w:tc>
          <w:tcPr>
            <w:tcW w:w="2959" w:type="dxa"/>
          </w:tcPr>
          <w:p>
            <w:pPr>
              <w:pStyle w:val="Compact"/>
              <w:jc w:val="left"/>
            </w:pPr>
            <w:r>
              <w:t xml:space="preserve">Manufacturing drawback only (19 U.S.C. 1313(a) and (b)) for articles meeting the conditions in clause 13 of Proclamation 11021; no other drawback</w:t>
            </w:r>
          </w:p>
        </w:tc>
        <w:tc>
          <w:tcPr>
            <w:tcW w:w="3408" w:type="dxa"/>
          </w:tcPr>
          <w:p>
            <w:pPr>
              <w:pStyle w:val="Compact"/>
              <w:jc w:val="left"/>
            </w:pPr>
            <w:r>
              <w:t xml:space="preserve">Proclamation 11021,</w:t>
            </w:r>
            <w:r>
              <w:t xml:space="preserve"> </w:t>
            </w:r>
            <w:hyperlink r:id="rId22">
              <w:r>
                <w:rPr>
                  <w:rStyle w:val="Hyperlink"/>
                </w:rPr>
                <w:t xml:space="preserve">https://www.federalregister.gov/d/2026-06960</w:t>
              </w:r>
            </w:hyperlink>
          </w:p>
        </w:tc>
        <w:tc>
          <w:tcPr>
            <w:tcW w:w="892" w:type="dxa"/>
          </w:tcPr>
          <w:p>
            <w:pPr>
              <w:pStyle w:val="Compact"/>
              <w:jc w:val="left"/>
            </w:pPr>
            <w:r>
              <w:t xml:space="preserve">Confirmed</w:t>
            </w:r>
          </w:p>
        </w:tc>
      </w:tr>
      <w:tr>
        <w:tc>
          <w:tcPr>
            <w:tcW w:w="2100" w:type="dxa"/>
          </w:tcPr>
          <w:p>
            <w:pPr>
              <w:pStyle w:val="Compact"/>
              <w:jc w:val="left"/>
            </w:pPr>
            <w:r>
              <w:t xml:space="preserve">Section 232 semiconductors</w:t>
            </w:r>
          </w:p>
        </w:tc>
        <w:tc>
          <w:tcPr>
            <w:tcW w:w="2959" w:type="dxa"/>
          </w:tcPr>
          <w:p>
            <w:pPr>
              <w:pStyle w:val="Compact"/>
              <w:jc w:val="left"/>
            </w:pPr>
            <w:r>
              <w:t xml:space="preserve">Not eligible</w:t>
            </w:r>
          </w:p>
        </w:tc>
        <w:tc>
          <w:tcPr>
            <w:tcW w:w="3408" w:type="dxa"/>
          </w:tcPr>
          <w:p>
            <w:pPr>
              <w:pStyle w:val="Compact"/>
              <w:jc w:val="left"/>
            </w:pPr>
            <w:r>
              <w:t xml:space="preserve">Proclamation 11002</w:t>
            </w:r>
          </w:p>
        </w:tc>
        <w:tc>
          <w:tcPr>
            <w:tcW w:w="892" w:type="dxa"/>
          </w:tcPr>
          <w:p>
            <w:pPr>
              <w:pStyle w:val="Compact"/>
              <w:jc w:val="left"/>
            </w:pPr>
            <w:r>
              <w:t xml:space="preserve">Confirmed</w:t>
            </w:r>
          </w:p>
        </w:tc>
      </w:tr>
      <w:tr>
        <w:tc>
          <w:tcPr>
            <w:tcW w:w="2100" w:type="dxa"/>
          </w:tcPr>
          <w:p>
            <w:pPr>
              <w:pStyle w:val="Compact"/>
              <w:jc w:val="left"/>
            </w:pPr>
            <w:r>
              <w:t xml:space="preserve">Other Section 232 actions (autos, trucks, timber, pharmaceuticals, drones, polysilicon)</w:t>
            </w:r>
          </w:p>
        </w:tc>
        <w:tc>
          <w:tcPr>
            <w:tcW w:w="2959" w:type="dxa"/>
          </w:tcPr>
          <w:p>
            <w:pPr>
              <w:pStyle w:val="Compact"/>
              <w:jc w:val="left"/>
            </w:pPr>
            <w:r>
              <w:t xml:space="preserve">Read each proclamation's drawback clause</w:t>
            </w:r>
          </w:p>
        </w:tc>
        <w:tc>
          <w:tcPr>
            <w:tcW w:w="3408" w:type="dxa"/>
          </w:tcPr>
          <w:p>
            <w:pPr>
              <w:pStyle w:val="Compact"/>
              <w:jc w:val="left"/>
            </w:pPr>
            <w:r>
              <w:t xml:space="preserve">Each proclamation</w:t>
            </w:r>
          </w:p>
        </w:tc>
        <w:tc>
          <w:tcPr>
            <w:tcW w:w="892" w:type="dxa"/>
          </w:tcPr>
          <w:p>
            <w:pPr>
              <w:pStyle w:val="Compact"/>
              <w:jc w:val="left"/>
            </w:pPr>
            <w:r>
              <w:t xml:space="preserve">Unclear</w:t>
            </w:r>
          </w:p>
        </w:tc>
      </w:tr>
      <w:tr>
        <w:tc>
          <w:tcPr>
            <w:tcW w:w="2100" w:type="dxa"/>
          </w:tcPr>
          <w:p>
            <w:pPr>
              <w:pStyle w:val="Compact"/>
              <w:jc w:val="left"/>
            </w:pPr>
            <w:r>
              <w:t xml:space="preserve">IEEPA duties on past entries</w:t>
            </w:r>
          </w:p>
        </w:tc>
        <w:tc>
          <w:tcPr>
            <w:tcW w:w="2959" w:type="dxa"/>
          </w:tcPr>
          <w:p>
            <w:pPr>
              <w:pStyle w:val="Compact"/>
              <w:jc w:val="left"/>
            </w:pPr>
            <w:r>
              <w:t xml:space="preserve">Refunds run through CAPE; entries on a drawback claim were excluded from CAPE Phase 1. Interaction with drawback: the Senior</w:t>
            </w:r>
          </w:p>
        </w:tc>
        <w:tc>
          <w:tcPr>
            <w:tcW w:w="3408" w:type="dxa"/>
          </w:tcPr>
          <w:p>
            <w:pPr>
              <w:pStyle w:val="Compact"/>
              <w:jc w:val="left"/>
            </w:pPr>
            <w:r>
              <w:t xml:space="preserve">CBP CAPE notice</w:t>
            </w:r>
          </w:p>
        </w:tc>
        <w:tc>
          <w:tcPr>
            <w:tcW w:w="892" w:type="dxa"/>
          </w:tcPr>
          <w:p>
            <w:pPr>
              <w:pStyle w:val="Compact"/>
              <w:jc w:val="left"/>
            </w:pPr>
            <w:r>
              <w:t xml:space="preserve">Confirmed (exclusion)</w:t>
            </w:r>
          </w:p>
        </w:tc>
      </w:tr>
      <w:tr>
        <w:tc>
          <w:tcPr>
            <w:tcW w:w="2100" w:type="dxa"/>
          </w:tcPr>
          <w:p>
            <w:pPr>
              <w:pStyle w:val="Compact"/>
              <w:jc w:val="left"/>
            </w:pPr>
            <w:r>
              <w:t xml:space="preserve">Section 122 surcharge (ended)</w:t>
            </w:r>
          </w:p>
        </w:tc>
        <w:tc>
          <w:tcPr>
            <w:tcW w:w="2959" w:type="dxa"/>
          </w:tcPr>
          <w:p>
            <w:pPr>
              <w:pStyle w:val="Compact"/>
              <w:jc w:val="left"/>
            </w:pPr>
            <w:r>
              <w:t xml:space="preserve">Not established: read Proclamation 11012</w:t>
            </w:r>
          </w:p>
        </w:tc>
        <w:tc>
          <w:tcPr>
            <w:tcW w:w="3408" w:type="dxa"/>
          </w:tcPr>
          <w:p>
            <w:pPr>
              <w:pStyle w:val="Compact"/>
              <w:jc w:val="left"/>
            </w:pPr>
            <w:r>
              <w:t xml:space="preserve">Proclamation 11012</w:t>
            </w:r>
          </w:p>
        </w:tc>
        <w:tc>
          <w:tcPr>
            <w:tcW w:w="892" w:type="dxa"/>
          </w:tcPr>
          <w:p>
            <w:pPr>
              <w:pStyle w:val="Compact"/>
              <w:jc w:val="left"/>
            </w:pPr>
            <w:r>
              <w:t xml:space="preserve">Unclear</w:t>
            </w:r>
          </w:p>
        </w:tc>
      </w:tr>
      <w:tr>
        <w:tc>
          <w:tcPr>
            <w:tcW w:w="2100" w:type="dxa"/>
          </w:tcPr>
          <w:p>
            <w:pPr>
              <w:pStyle w:val="Compact"/>
              <w:jc w:val="left"/>
            </w:pPr>
            <w:r>
              <w:t xml:space="preserve">Antidumping and countervailing duties</w:t>
            </w:r>
          </w:p>
        </w:tc>
        <w:tc>
          <w:tcPr>
            <w:tcW w:w="2959" w:type="dxa"/>
          </w:tcPr>
          <w:p>
            <w:pPr>
              <w:pStyle w:val="Compact"/>
              <w:jc w:val="left"/>
            </w:pPr>
            <w:r>
              <w:t xml:space="preserve">Not eligible (19 U.S.C. 1677h)</w:t>
            </w:r>
          </w:p>
        </w:tc>
        <w:tc>
          <w:tcPr>
            <w:tcW w:w="3408" w:type="dxa"/>
          </w:tcPr>
          <w:p>
            <w:pPr>
              <w:pStyle w:val="Compact"/>
              <w:jc w:val="left"/>
            </w:pPr>
            <w:hyperlink r:id="rId93">
              <w:r>
                <w:rPr>
                  <w:rStyle w:val="Hyperlink"/>
                </w:rPr>
                <w:t xml:space="preserve">https://uscode.house.gov/</w:t>
              </w:r>
            </w:hyperlink>
          </w:p>
        </w:tc>
        <w:tc>
          <w:tcPr>
            <w:tcW w:w="892" w:type="dxa"/>
          </w:tcPr>
          <w:p>
            <w:pPr>
              <w:pStyle w:val="Compact"/>
              <w:jc w:val="left"/>
            </w:pPr>
            <w:r>
              <w:t xml:space="preserve">Reported</w:t>
            </w:r>
          </w:p>
        </w:tc>
      </w:tr>
    </w:tbl>
    <w:bookmarkEnd w:id="94"/>
    <w:bookmarkEnd w:id="95"/>
    <w:bookmarkStart w:id="114" w:name="X4c5d038cb16461c4a7a94df30521694f400d4ab"/>
    <w:p>
      <w:pPr>
        <w:pStyle w:val="Heading3"/>
      </w:pPr>
      <w:r>
        <w:t xml:space="preserve">1.3 Canada</w:t>
      </w:r>
    </w:p>
    <w:tbl>
      <w:tblPr>
        <w:tblStyle w:val="Table"/>
        <w:tblW w:type="dxa" w:w="9360"/>
        <w:tblLook w:firstRow="1" w:lastRow="0" w:firstColumn="0" w:lastColumn="0" w:noHBand="0" w:noVBand="0" w:val="0020"/>
        <w:jc w:val="start"/>
        <w:tblLayout w:type="fixed"/>
      </w:tblPr>
      <w:tblGrid>
        <w:gridCol w:w="851"/>
        <w:gridCol w:w="1332"/>
        <w:gridCol w:w="1992"/>
        <w:gridCol w:w="2153"/>
        <w:gridCol w:w="2178"/>
        <w:gridCol w:w="851"/>
      </w:tblGrid>
      <w:tr>
        <w:trPr>
          <w:tblHeader w:val="true"/>
        </w:trPr>
        <w:tc>
          <w:tcPr>
            <w:tcW w:w="851" w:type="dxa"/>
          </w:tcPr>
          <w:p>
            <w:pPr>
              <w:pStyle w:val="Compact"/>
              <w:jc w:val="left"/>
            </w:pPr>
            <w:r>
              <w:t xml:space="preserve">Action</w:t>
            </w:r>
          </w:p>
        </w:tc>
        <w:tc>
          <w:tcPr>
            <w:tcW w:w="1332" w:type="dxa"/>
          </w:tcPr>
          <w:p>
            <w:pPr>
              <w:pStyle w:val="Compact"/>
              <w:jc w:val="left"/>
            </w:pPr>
            <w:r>
              <w:t xml:space="preserve">Authority</w:t>
            </w:r>
          </w:p>
        </w:tc>
        <w:tc>
          <w:tcPr>
            <w:tcW w:w="1992" w:type="dxa"/>
          </w:tcPr>
          <w:p>
            <w:pPr>
              <w:pStyle w:val="Compact"/>
              <w:jc w:val="left"/>
            </w:pPr>
            <w:r>
              <w:t xml:space="preserve">Scope</w:t>
            </w:r>
          </w:p>
        </w:tc>
        <w:tc>
          <w:tcPr>
            <w:tcW w:w="2153" w:type="dxa"/>
          </w:tcPr>
          <w:p>
            <w:pPr>
              <w:pStyle w:val="Compact"/>
              <w:jc w:val="left"/>
            </w:pPr>
            <w:r>
              <w:t xml:space="preserve">Status as of 2026-10-08</w:t>
            </w:r>
          </w:p>
        </w:tc>
        <w:tc>
          <w:tcPr>
            <w:tcW w:w="2178" w:type="dxa"/>
          </w:tcPr>
          <w:p>
            <w:pPr>
              <w:pStyle w:val="Compact"/>
              <w:jc w:val="left"/>
            </w:pPr>
            <w:r>
              <w:t xml:space="preserve">Source (date)</w:t>
            </w:r>
          </w:p>
        </w:tc>
        <w:tc>
          <w:tcPr>
            <w:tcW w:w="851" w:type="dxa"/>
          </w:tcPr>
          <w:p>
            <w:pPr>
              <w:pStyle w:val="Compact"/>
              <w:jc w:val="left"/>
            </w:pPr>
            <w:r>
              <w:t xml:space="preserve">Confidence</w:t>
            </w:r>
          </w:p>
        </w:tc>
      </w:tr>
      <w:tr>
        <w:tc>
          <w:tcPr>
            <w:tcW w:w="851" w:type="dxa"/>
          </w:tcPr>
          <w:p>
            <w:pPr>
              <w:pStyle w:val="Compact"/>
              <w:jc w:val="left"/>
            </w:pPr>
            <w:r>
              <w:t xml:space="preserve">Countermeasure surtaxes on US goods (2025 orders)</w:t>
            </w:r>
          </w:p>
        </w:tc>
        <w:tc>
          <w:tcPr>
            <w:tcW w:w="1332" w:type="dxa"/>
          </w:tcPr>
          <w:p>
            <w:pPr>
              <w:pStyle w:val="Compact"/>
              <w:jc w:val="left"/>
            </w:pPr>
            <w:r>
              <w:t xml:space="preserve">Customs Tariff, section 53: United States Surtax Order (2025-1), United States Surtax Order (Steel and Aluminum 2025), United States Surtax Order (Motor Vehicles 2025)</w:t>
            </w:r>
          </w:p>
        </w:tc>
        <w:tc>
          <w:tcPr>
            <w:tcW w:w="1992" w:type="dxa"/>
          </w:tcPr>
          <w:p>
            <w:pPr>
              <w:pStyle w:val="Compact"/>
              <w:jc w:val="left"/>
            </w:pPr>
            <w:r>
              <w:t xml:space="preserve">25% on about C$30 billion of US goods from 2025-03-04; 25% on US steel, aluminum and other goods from 2025-03-13; 25% on US vehicles that are not CUSMA-compliant, and on the non-Canadian, non-Mexican content of CUSMA-compliant vehicles, from 2025-04-09</w:t>
            </w:r>
          </w:p>
        </w:tc>
        <w:tc>
          <w:tcPr>
            <w:tcW w:w="2153" w:type="dxa"/>
          </w:tcPr>
          <w:p>
            <w:pPr>
              <w:pStyle w:val="Compact"/>
              <w:jc w:val="left"/>
            </w:pPr>
            <w:r>
              <w:t xml:space="preserve">From 2025-09-01, surtaxes were removed on CUSMA-qualifying US goods except steel, aluminum and autos (reported). From 12:01 a.m. 2026-09-08 the steel and aluminum surtax rose from 25% to 50% for most goods (new Schedules 1.1 and 2.1; goods in the old schedules stay at 25%) by SOR/2026-187; goods in transit on that date stay at 25%. Auto surtaxes remain</w:t>
            </w:r>
          </w:p>
        </w:tc>
        <w:tc>
          <w:tcPr>
            <w:tcW w:w="2178" w:type="dxa"/>
          </w:tcPr>
          <w:p>
            <w:pPr>
              <w:pStyle w:val="Compact"/>
              <w:jc w:val="left"/>
            </w:pPr>
            <w:r>
              <w:t xml:space="preserve">Finance Canada news (2026-08),</w:t>
            </w:r>
            <w:r>
              <w:t xml:space="preserve"> </w:t>
            </w:r>
            <w:hyperlink r:id="rId96">
              <w:r>
                <w:rPr>
                  <w:rStyle w:val="Hyperlink"/>
                </w:rPr>
                <w:t xml:space="preserve">https://www.canada.ca/en/department-finance/news/2026/08/canada-announces-targeted-countermeasures-and-substantive-support-for-workers-and-businesses-in-response-to-us-tariffs.html</w:t>
              </w:r>
            </w:hyperlink>
            <w:r>
              <w:t xml:space="preserve"> </w:t>
            </w:r>
            <w:r>
              <w:t xml:space="preserve">; complete list (updated 2026-08-26),</w:t>
            </w:r>
            <w:r>
              <w:t xml:space="preserve"> </w:t>
            </w:r>
            <w:hyperlink r:id="rId97">
              <w:r>
                <w:rPr>
                  <w:rStyle w:val="Hyperlink"/>
                </w:rPr>
                <w:t xml:space="preserve">https://www.canada.ca/en/department-finance/programs/international-trade-finance-policy/canadas-response-us-tariffs/complete-list-us-products-subject-to-counter-tariffs.html</w:t>
              </w:r>
            </w:hyperlink>
          </w:p>
        </w:tc>
        <w:tc>
          <w:tcPr>
            <w:tcW w:w="851" w:type="dxa"/>
          </w:tcPr>
          <w:p>
            <w:pPr>
              <w:pStyle w:val="Compact"/>
              <w:jc w:val="left"/>
            </w:pPr>
            <w:r>
              <w:t xml:space="preserve">Confirmed (2026 change); Reported (2025-09-01 removal)</w:t>
            </w:r>
          </w:p>
        </w:tc>
      </w:tr>
      <w:tr>
        <w:tc>
          <w:tcPr>
            <w:tcW w:w="851" w:type="dxa"/>
          </w:tcPr>
          <w:p>
            <w:pPr>
              <w:pStyle w:val="Compact"/>
              <w:jc w:val="left"/>
            </w:pPr>
            <w:r>
              <w:t xml:space="preserve">United States Surtax Order (2026)</w:t>
            </w:r>
          </w:p>
        </w:tc>
        <w:tc>
          <w:tcPr>
            <w:tcW w:w="1332" w:type="dxa"/>
          </w:tcPr>
          <w:p>
            <w:pPr>
              <w:pStyle w:val="Compact"/>
              <w:jc w:val="left"/>
            </w:pPr>
            <w:r>
              <w:t xml:space="preserve">Customs Tariff, section 53; SOR/2026-186 (registered 2026-09-04); CBSA Customs Notice 26-23</w:t>
            </w:r>
          </w:p>
        </w:tc>
        <w:tc>
          <w:tcPr>
            <w:tcW w:w="1992" w:type="dxa"/>
          </w:tcPr>
          <w:p>
            <w:pPr>
              <w:pStyle w:val="Compact"/>
              <w:jc w:val="left"/>
            </w:pPr>
            <w:r>
              <w:t xml:space="preserve">15%, 25% or 50% of value for duty on about C$27.6 billion of US goods (Schedules 1 to 3), generally matching the US Section 338 rate: for example furniture, clothing and apparel at 50%; appliances, dairy and some steel and aluminum derivatives at 25%. US origin is decided by the CUSMA marking regulations. Goods in transit on 2026-09-08 excluded; fish and seafood dropped from the final list; applies to low-value shipments; Chapter 98 and 99 goods exempt unless listed</w:t>
            </w:r>
          </w:p>
        </w:tc>
        <w:tc>
          <w:tcPr>
            <w:tcW w:w="2153" w:type="dxa"/>
          </w:tcPr>
          <w:p>
            <w:pPr>
              <w:pStyle w:val="Compact"/>
              <w:jc w:val="left"/>
            </w:pPr>
            <w:r>
              <w:t xml:space="preserve">In force from 12:01 a.m. 2026-09-08. No CUSMA-qualifying exemption was seen in the excerpts: confirm in CN 26-23. SOR/2026-186 also amended the 2025 Remission Order so that some of its relief, including section 3 (goods used in manufacturing, processing, food and beverage packaging or agricultural production in Canada), covers the 2026 surtax. Other goods need a request under the U.S. Remission Framework (CN 26-23)</w:t>
            </w:r>
          </w:p>
        </w:tc>
        <w:tc>
          <w:tcPr>
            <w:tcW w:w="2178" w:type="dxa"/>
          </w:tcPr>
          <w:p>
            <w:pPr>
              <w:pStyle w:val="Compact"/>
              <w:jc w:val="left"/>
            </w:pPr>
            <w:r>
              <w:t xml:space="preserve">SOR/2026-186,</w:t>
            </w:r>
            <w:r>
              <w:t xml:space="preserve"> </w:t>
            </w:r>
            <w:hyperlink r:id="rId98">
              <w:r>
                <w:rPr>
                  <w:rStyle w:val="Hyperlink"/>
                </w:rPr>
                <w:t xml:space="preserve">https://gazette.gc.ca/rp-pr/p2/2026/2026-09-23/html/sor-dors186-eng.html</w:t>
              </w:r>
            </w:hyperlink>
            <w:r>
              <w:t xml:space="preserve"> </w:t>
            </w:r>
            <w:r>
              <w:t xml:space="preserve">(2026-09-23); CN 26-23,</w:t>
            </w:r>
            <w:r>
              <w:t xml:space="preserve"> </w:t>
            </w:r>
            <w:hyperlink r:id="rId99">
              <w:r>
                <w:rPr>
                  <w:rStyle w:val="Hyperlink"/>
                </w:rPr>
                <w:t xml:space="preserve">https://www.cbsa-asfc.gc.ca/publications/cn-ad/cn26-23-eng.html</w:t>
              </w:r>
            </w:hyperlink>
            <w:r>
              <w:t xml:space="preserve"> </w:t>
            </w:r>
            <w:r>
              <w:t xml:space="preserve">(2026-09-07)</w:t>
            </w:r>
          </w:p>
        </w:tc>
        <w:tc>
          <w:tcPr>
            <w:tcW w:w="851" w:type="dxa"/>
          </w:tcPr>
          <w:p>
            <w:pPr>
              <w:pStyle w:val="Compact"/>
              <w:jc w:val="left"/>
            </w:pPr>
            <w:r>
              <w:t xml:space="preserve">Confirmed (rates, date, origin rule); Unclear (CUSMA treatment)</w:t>
            </w:r>
          </w:p>
        </w:tc>
      </w:tr>
      <w:tr>
        <w:tc>
          <w:tcPr>
            <w:tcW w:w="851" w:type="dxa"/>
          </w:tcPr>
          <w:p>
            <w:pPr>
              <w:pStyle w:val="Compact"/>
              <w:jc w:val="left"/>
            </w:pPr>
            <w:r>
              <w:t xml:space="preserve">Remission of countermeasure surtaxes</w:t>
            </w:r>
          </w:p>
        </w:tc>
        <w:tc>
          <w:tcPr>
            <w:tcW w:w="1332" w:type="dxa"/>
          </w:tcPr>
          <w:p>
            <w:pPr>
              <w:pStyle w:val="Compact"/>
              <w:jc w:val="left"/>
            </w:pPr>
            <w:r>
              <w:t xml:space="preserve">Customs Tariff, section 115: United States Surtax Remission Order (2025), SOR/2025-122, as amended (including SOR/2025-269, SOR/2026-154, and SOR/2026-186 with consequential amendments from 2026-09-08); United States Surtax Remission Order (Motor Vehicles 2026)</w:t>
            </w:r>
          </w:p>
        </w:tc>
        <w:tc>
          <w:tcPr>
            <w:tcW w:w="1992" w:type="dxa"/>
          </w:tcPr>
          <w:p>
            <w:pPr>
              <w:pStyle w:val="Compact"/>
              <w:jc w:val="left"/>
            </w:pPr>
            <w:r>
              <w:t xml:space="preserve">Relief for listed uses (manufacturing, processing, food and beverage packaging, agriculture, health care, public safety, national security), listed goods and named companies; quotas for automakers</w:t>
            </w:r>
          </w:p>
        </w:tc>
        <w:tc>
          <w:tcPr>
            <w:tcW w:w="2153" w:type="dxa"/>
          </w:tcPr>
          <w:p>
            <w:pPr>
              <w:pStyle w:val="Compact"/>
              <w:jc w:val="left"/>
            </w:pPr>
            <w:r>
              <w:t xml:space="preserve">SOR/2026-154 (registered 2026-06-22) extends to 2027-06-30 the relief for steel and aluminum used in health care, public safety and national security, for aluminum used in manufacturing, processing, packaging or agriculture, and for steel and aluminum used to make motor vehicles, aerospace goods and their parts. Blanket relief for other steel ended 2026-01-31 (company-specific after that, reported). SOR/2026-154 also added Schedule 6 (section 4.4): remission of the steel and aluminum surtax for listed steel mill products determined not to be made in Canada (reported: broad, no end date). Motor vehicles order: eligible imports 2026-04-09 to 2027-04-08. Remission is claimed, not automatic</w:t>
            </w:r>
          </w:p>
        </w:tc>
        <w:tc>
          <w:tcPr>
            <w:tcW w:w="2178" w:type="dxa"/>
          </w:tcPr>
          <w:p>
            <w:pPr>
              <w:pStyle w:val="Compact"/>
              <w:jc w:val="left"/>
            </w:pPr>
            <w:r>
              <w:t xml:space="preserve">SOR/2026-154,</w:t>
            </w:r>
            <w:r>
              <w:t xml:space="preserve"> </w:t>
            </w:r>
            <w:hyperlink r:id="rId100">
              <w:r>
                <w:rPr>
                  <w:rStyle w:val="Hyperlink"/>
                </w:rPr>
                <w:t xml:space="preserve">https://gazette.gc.ca/rp-pr/p2/2026/2026-07-01/html/sor-dors154-eng.html</w:t>
              </w:r>
            </w:hyperlink>
            <w:r>
              <w:t xml:space="preserve"> </w:t>
            </w:r>
            <w:r>
              <w:t xml:space="preserve">(2026-07-01; check the erratum); CN 26-10,</w:t>
            </w:r>
            <w:r>
              <w:t xml:space="preserve"> </w:t>
            </w:r>
            <w:hyperlink r:id="rId101">
              <w:r>
                <w:rPr>
                  <w:rStyle w:val="Hyperlink"/>
                </w:rPr>
                <w:t xml:space="preserve">https://www.cbsa-asfc.gc.ca/publications/cn-ad/cn26-10-eng.html</w:t>
              </w:r>
            </w:hyperlink>
            <w:r>
              <w:t xml:space="preserve"> </w:t>
            </w:r>
            <w:r>
              <w:t xml:space="preserve">; consolidated SOR/2025-122,</w:t>
            </w:r>
            <w:r>
              <w:t xml:space="preserve"> </w:t>
            </w:r>
            <w:hyperlink r:id="rId102">
              <w:r>
                <w:rPr>
                  <w:rStyle w:val="Hyperlink"/>
                </w:rPr>
                <w:t xml:space="preserve">https://laws-lois.justice.gc.ca/eng/regulations/SOR-2025-122/index.html</w:t>
              </w:r>
            </w:hyperlink>
            <w:r>
              <w:t xml:space="preserve"> </w:t>
            </w:r>
            <w:r>
              <w:t xml:space="preserve">(last amended 2026-09-08)</w:t>
            </w:r>
          </w:p>
        </w:tc>
        <w:tc>
          <w:tcPr>
            <w:tcW w:w="851" w:type="dxa"/>
          </w:tcPr>
          <w:p>
            <w:pPr>
              <w:pStyle w:val="Compact"/>
              <w:jc w:val="left"/>
            </w:pPr>
            <w:r>
              <w:t xml:space="preserve">Confirmed; Reported (Schedule 6 with no end date)</w:t>
            </w:r>
          </w:p>
        </w:tc>
      </w:tr>
      <w:tr>
        <w:tc>
          <w:tcPr>
            <w:tcW w:w="851" w:type="dxa"/>
          </w:tcPr>
          <w:p>
            <w:pPr>
              <w:pStyle w:val="Compact"/>
              <w:jc w:val="left"/>
            </w:pPr>
            <w:r>
              <w:t xml:space="preserve">Steel measures on non-US imports</w:t>
            </w:r>
          </w:p>
        </w:tc>
        <w:tc>
          <w:tcPr>
            <w:tcW w:w="1332" w:type="dxa"/>
          </w:tcPr>
          <w:p>
            <w:pPr>
              <w:pStyle w:val="Compact"/>
              <w:jc w:val="left"/>
            </w:pPr>
            <w:r>
              <w:t xml:space="preserve">Order Imposing a Surtax on the Importation of Certain Steel Goods (CN 25-24), as amended by SOR/2025-266 and SOR/2026-119; Steel Derivative Goods Surtax Order, SOR/2025-267 (CN 25-33); Steel Goods and Aluminum Goods Surtax Order, SOR/2025-154 (CN 25-28)</w:t>
            </w:r>
          </w:p>
        </w:tc>
        <w:tc>
          <w:tcPr>
            <w:tcW w:w="1992" w:type="dxa"/>
          </w:tcPr>
          <w:p>
            <w:pPr>
              <w:pStyle w:val="Compact"/>
              <w:jc w:val="left"/>
            </w:pPr>
            <w:r>
              <w:t xml:space="preserve">Tariff rate quotas on listed steel from all countries except the US and Mexico: from 2025-12-26 the in-quota volume is 20% of 2024 imports (no free trade agreement) or 75% (non-CUSMA FTA partners), with a 50% surtax above quota. Separate 25% surtax from 2025-12-26 on listed steel derivative goods (for example fasteners, wire, prefabricated buildings) from all countries, including the US; goods already under another surtax order are excluded. 25% on steel goods containing steel melted and poured in China and on aluminum goods containing aluminum smelted and cast in China, from 2025-07-31, whatever the country of export. Exempt: goods that originate in the US under the CUSMA marking regulations, and CADs with C$5,000 or less of these goods (CN 25-28)</w:t>
            </w:r>
          </w:p>
        </w:tc>
        <w:tc>
          <w:tcPr>
            <w:tcW w:w="2153" w:type="dxa"/>
          </w:tcPr>
          <w:p>
            <w:pPr>
              <w:pStyle w:val="Compact"/>
              <w:jc w:val="left"/>
            </w:pPr>
            <w:r>
              <w:t xml:space="preserve">In force. Quota framework extended for the quota year 2026-06-28 to 2027-06-27 (SOR/2026-119). Schedules 1 and 2 were revised: new volumes for some product classes, and some tariff items moved between classes (CBSA CN 25-24). The 20% and 75% rule and the 50% above-quota surtax are unchanged (reported). Check whether any of our Canadian imports, including goods shipped from the US, are on the derivative list, and whether any non-US-origin goods we import from the US contain Chinese-melted steel or Chinese-smelted aluminum</w:t>
            </w:r>
          </w:p>
        </w:tc>
        <w:tc>
          <w:tcPr>
            <w:tcW w:w="2178" w:type="dxa"/>
          </w:tcPr>
          <w:p>
            <w:pPr>
              <w:pStyle w:val="Compact"/>
              <w:jc w:val="left"/>
            </w:pPr>
            <w:hyperlink r:id="rId103">
              <w:r>
                <w:rPr>
                  <w:rStyle w:val="Hyperlink"/>
                </w:rPr>
                <w:t xml:space="preserve">https://www.canada.ca/en/department-finance/programs/international-trade-finance-policy/canadas-tariff-responses/canadas-tariffs-steel-aluminum.html</w:t>
              </w:r>
            </w:hyperlink>
            <w:r>
              <w:t xml:space="preserve"> </w:t>
            </w:r>
            <w:r>
              <w:t xml:space="preserve">; SOR/2026-119,</w:t>
            </w:r>
            <w:r>
              <w:t xml:space="preserve"> </w:t>
            </w:r>
            <w:hyperlink r:id="rId104">
              <w:r>
                <w:rPr>
                  <w:rStyle w:val="Hyperlink"/>
                </w:rPr>
                <w:t xml:space="preserve">https://gazette.gc.ca/rp-pr/p2/2026/2026-07-01/html/sor-dors119-eng.html</w:t>
              </w:r>
            </w:hyperlink>
            <w:r>
              <w:t xml:space="preserve"> </w:t>
            </w:r>
            <w:r>
              <w:t xml:space="preserve">(2026-07-01); CN 25-33,</w:t>
            </w:r>
            <w:r>
              <w:t xml:space="preserve"> </w:t>
            </w:r>
            <w:hyperlink r:id="rId105">
              <w:r>
                <w:rPr>
                  <w:rStyle w:val="Hyperlink"/>
                </w:rPr>
                <w:t xml:space="preserve">https://www.cbsa-asfc.gc.ca/publications/cn-ad/cn25-33-eng.html</w:t>
              </w:r>
            </w:hyperlink>
            <w:r>
              <w:t xml:space="preserve"> </w:t>
            </w:r>
            <w:r>
              <w:t xml:space="preserve">; SOR/2025-154,</w:t>
            </w:r>
            <w:r>
              <w:t xml:space="preserve"> </w:t>
            </w:r>
            <w:hyperlink r:id="rId106">
              <w:r>
                <w:rPr>
                  <w:rStyle w:val="Hyperlink"/>
                </w:rPr>
                <w:t xml:space="preserve">https://gazette.gc.ca/rp-pr/p2/2025/2025-08-13/html/sor-dors154-eng.html</w:t>
              </w:r>
            </w:hyperlink>
            <w:r>
              <w:t xml:space="preserve"> </w:t>
            </w:r>
            <w:r>
              <w:t xml:space="preserve">(2025-08-13); CN 25-28,</w:t>
            </w:r>
            <w:r>
              <w:t xml:space="preserve"> </w:t>
            </w:r>
            <w:hyperlink r:id="rId107">
              <w:r>
                <w:rPr>
                  <w:rStyle w:val="Hyperlink"/>
                </w:rPr>
                <w:t xml:space="preserve">https://www.cbsa-asfc.gc.ca/publications/cn-ad/cn25-28-eng.html</w:t>
              </w:r>
            </w:hyperlink>
            <w:r>
              <w:t xml:space="preserve"> </w:t>
            </w:r>
            <w:r>
              <w:t xml:space="preserve">; CN 25-24,</w:t>
            </w:r>
            <w:r>
              <w:t xml:space="preserve"> </w:t>
            </w:r>
            <w:hyperlink r:id="rId108">
              <w:r>
                <w:rPr>
                  <w:rStyle w:val="Hyperlink"/>
                </w:rPr>
                <w:t xml:space="preserve">https://www.cbsa-asfc.gc.ca/publications/cn-ad/cn25-24-eng.html</w:t>
              </w:r>
            </w:hyperlink>
          </w:p>
        </w:tc>
        <w:tc>
          <w:tcPr>
            <w:tcW w:w="851" w:type="dxa"/>
          </w:tcPr>
          <w:p>
            <w:pPr>
              <w:pStyle w:val="Compact"/>
              <w:jc w:val="left"/>
            </w:pPr>
            <w:r>
              <w:t xml:space="preserve">Confirmed (quota extension, China-melt rule and exemptions); Reported (volume changes)</w:t>
            </w:r>
          </w:p>
        </w:tc>
      </w:tr>
      <w:tr>
        <w:tc>
          <w:tcPr>
            <w:tcW w:w="851" w:type="dxa"/>
          </w:tcPr>
          <w:p>
            <w:pPr>
              <w:pStyle w:val="Compact"/>
              <w:jc w:val="left"/>
            </w:pPr>
            <w:r>
              <w:t xml:space="preserve">Surtaxes on goods of China</w:t>
            </w:r>
          </w:p>
        </w:tc>
        <w:tc>
          <w:tcPr>
            <w:tcW w:w="1332" w:type="dxa"/>
          </w:tcPr>
          <w:p>
            <w:pPr>
              <w:pStyle w:val="Compact"/>
              <w:jc w:val="left"/>
            </w:pPr>
            <w:r>
              <w:t xml:space="preserve">Customs Tariff, section 53: China Surtax Order (2024), SOR/2024-187, as amended by SOR/2026-33 (electric vehicle surtax repealed from 2026-03-01)</w:t>
            </w:r>
          </w:p>
        </w:tc>
        <w:tc>
          <w:tcPr>
            <w:tcW w:w="1992" w:type="dxa"/>
          </w:tcPr>
          <w:p>
            <w:pPr>
              <w:pStyle w:val="Compact"/>
              <w:jc w:val="left"/>
            </w:pPr>
            <w:r>
              <w:t xml:space="preserve">25% on Chinese steel and aluminum products from 2024-10-22. The 100% surtax on Chinese electric vehicles was repealed from 2026-03-01 and replaced by an import quota of 49,000 vehicles a year at the 6.1% MFN rate, under permits</w:t>
            </w:r>
          </w:p>
        </w:tc>
        <w:tc>
          <w:tcPr>
            <w:tcW w:w="2153" w:type="dxa"/>
          </w:tcPr>
          <w:p>
            <w:pPr>
              <w:pStyle w:val="Compact"/>
              <w:jc w:val="left"/>
            </w:pPr>
            <w:r>
              <w:t xml:space="preserve">Steel and aluminum surtax in force, with remission for some goods to the end of 2026 (reported). Electric vehicle quota in force; the second allocation period from 2026-09-01 is set by Global Affairs Canada Notice to Importers No. 1168 (seen only in the notice listing): read it</w:t>
            </w:r>
          </w:p>
        </w:tc>
        <w:tc>
          <w:tcPr>
            <w:tcW w:w="2178" w:type="dxa"/>
          </w:tcPr>
          <w:p>
            <w:pPr>
              <w:pStyle w:val="Compact"/>
              <w:jc w:val="left"/>
            </w:pPr>
            <w:r>
              <w:t xml:space="preserve">SOR/2026-33,</w:t>
            </w:r>
            <w:r>
              <w:t xml:space="preserve"> </w:t>
            </w:r>
            <w:hyperlink r:id="rId109">
              <w:r>
                <w:rPr>
                  <w:rStyle w:val="Hyperlink"/>
                </w:rPr>
                <w:t xml:space="preserve">https://gazette.gc.ca/rp-pr/p2/2026/2026-03-11/html/sor-dors33-eng.html</w:t>
              </w:r>
            </w:hyperlink>
            <w:r>
              <w:t xml:space="preserve"> </w:t>
            </w:r>
            <w:r>
              <w:t xml:space="preserve">(2026-03-11); CN 24-32,</w:t>
            </w:r>
            <w:r>
              <w:t xml:space="preserve"> </w:t>
            </w:r>
            <w:hyperlink r:id="rId110">
              <w:r>
                <w:rPr>
                  <w:rStyle w:val="Hyperlink"/>
                </w:rPr>
                <w:t xml:space="preserve">https://www.cbsa-asfc.gc.ca/publications/cn-ad/cn24-32-eng.html</w:t>
              </w:r>
            </w:hyperlink>
            <w:r>
              <w:t xml:space="preserve"> </w:t>
            </w:r>
            <w:r>
              <w:t xml:space="preserve">; Global Affairs Canada electric vehicle import page,</w:t>
            </w:r>
            <w:r>
              <w:t xml:space="preserve"> </w:t>
            </w:r>
            <w:hyperlink r:id="rId111">
              <w:r>
                <w:rPr>
                  <w:rStyle w:val="Hyperlink"/>
                </w:rPr>
                <w:t xml:space="preserve">https://www.international.gc.ca/trade-commerce/controls-controles/electric-vehicle-vehicule-electrique/index.aspx?lang=eng</w:t>
              </w:r>
            </w:hyperlink>
            <w:r>
              <w:t xml:space="preserve"> </w:t>
            </w:r>
            <w:r>
              <w:t xml:space="preserve">; background: Prime Minister's release (2026-01-16),</w:t>
            </w:r>
            <w:r>
              <w:t xml:space="preserve"> </w:t>
            </w:r>
            <w:hyperlink r:id="rId112">
              <w:r>
                <w:rPr>
                  <w:rStyle w:val="Hyperlink"/>
                </w:rPr>
                <w:t xml:space="preserve">https://www.pm.gc.ca/en/news/news-releases/2026/01/16/prime-minister-carney-forges-new-strategic-partnership-peoples</w:t>
              </w:r>
            </w:hyperlink>
          </w:p>
        </w:tc>
        <w:tc>
          <w:tcPr>
            <w:tcW w:w="851" w:type="dxa"/>
          </w:tcPr>
          <w:p>
            <w:pPr>
              <w:pStyle w:val="Compact"/>
              <w:jc w:val="left"/>
            </w:pPr>
            <w:r>
              <w:t xml:space="preserve">Confirmed (electric vehicles); Reported (remission)</w:t>
            </w:r>
          </w:p>
        </w:tc>
      </w:tr>
      <w:tr>
        <w:tc>
          <w:tcPr>
            <w:tcW w:w="851" w:type="dxa"/>
          </w:tcPr>
          <w:p>
            <w:pPr>
              <w:pStyle w:val="Compact"/>
              <w:jc w:val="left"/>
            </w:pPr>
            <w:r>
              <w:t xml:space="preserve">CARM</w:t>
            </w:r>
          </w:p>
        </w:tc>
        <w:tc>
          <w:tcPr>
            <w:tcW w:w="1332" w:type="dxa"/>
          </w:tcPr>
          <w:p>
            <w:pPr>
              <w:pStyle w:val="Compact"/>
              <w:jc w:val="left"/>
            </w:pPr>
            <w:r>
              <w:t xml:space="preserve">Customs Act; CBSA</w:t>
            </w:r>
          </w:p>
        </w:tc>
        <w:tc>
          <w:tcPr>
            <w:tcW w:w="1992" w:type="dxa"/>
          </w:tcPr>
          <w:p>
            <w:pPr>
              <w:pStyle w:val="Compact"/>
              <w:jc w:val="left"/>
            </w:pPr>
            <w:r>
              <w:t xml:space="preserve">System of record for assessing and collecting duties and taxes on commercial imports since 2024-10-21. Since 2025-05-20 importers must post their own financial security to use release prior to payment</w:t>
            </w:r>
          </w:p>
        </w:tc>
        <w:tc>
          <w:tcPr>
            <w:tcW w:w="2153" w:type="dxa"/>
          </w:tcPr>
          <w:p>
            <w:pPr>
              <w:pStyle w:val="Compact"/>
              <w:jc w:val="left"/>
            </w:pPr>
            <w:r>
              <w:t xml:space="preserve">In force. The annual security review now runs in October: CARM notifies importers around 2026-10-20, and an increase is due by 2027-01-15 (inference from CBSA bulletins)</w:t>
            </w:r>
          </w:p>
        </w:tc>
        <w:tc>
          <w:tcPr>
            <w:tcW w:w="2178" w:type="dxa"/>
          </w:tcPr>
          <w:p>
            <w:pPr>
              <w:pStyle w:val="Compact"/>
              <w:jc w:val="left"/>
            </w:pPr>
            <w:hyperlink r:id="rId113">
              <w:r>
                <w:rPr>
                  <w:rStyle w:val="Hyperlink"/>
                </w:rPr>
                <w:t xml:space="preserve">https://www.cbsa-asfc.gc.ca/services/carm-gcra/menu-eng.html</w:t>
              </w:r>
            </w:hyperlink>
            <w:r>
              <w:t xml:space="preserve"> </w:t>
            </w:r>
            <w:r>
              <w:t xml:space="preserve">; CARM Client Portal bulletins</w:t>
            </w:r>
          </w:p>
        </w:tc>
        <w:tc>
          <w:tcPr>
            <w:tcW w:w="851" w:type="dxa"/>
          </w:tcPr>
          <w:p>
            <w:pPr>
              <w:pStyle w:val="Compact"/>
              <w:jc w:val="left"/>
            </w:pPr>
            <w:r>
              <w:t xml:space="preserve">Reported</w:t>
            </w:r>
          </w:p>
        </w:tc>
      </w:tr>
    </w:tbl>
    <w:bookmarkEnd w:id="114"/>
    <w:bookmarkStart w:id="130" w:name="X6eceebb82dd28e939a3f6ae5f461312fa8d7637"/>
    <w:p>
      <w:pPr>
        <w:pStyle w:val="Heading3"/>
      </w:pPr>
      <w:r>
        <w:t xml:space="preserve">1.4 Mexico</w:t>
      </w:r>
    </w:p>
    <w:tbl>
      <w:tblPr>
        <w:tblStyle w:val="Table"/>
        <w:tblW w:type="dxa" w:w="9360"/>
        <w:tblLook w:firstRow="1" w:lastRow="0" w:firstColumn="0" w:lastColumn="0" w:noHBand="0" w:noVBand="0" w:val="0020"/>
        <w:jc w:val="start"/>
        <w:tblLayout w:type="fixed"/>
      </w:tblPr>
      <w:tblGrid>
        <w:gridCol w:w="899"/>
        <w:gridCol w:w="1473"/>
        <w:gridCol w:w="2340"/>
        <w:gridCol w:w="1833"/>
        <w:gridCol w:w="1913"/>
        <w:gridCol w:w="899"/>
      </w:tblGrid>
      <w:tr>
        <w:trPr>
          <w:tblHeader w:val="true"/>
        </w:trPr>
        <w:tc>
          <w:tcPr>
            <w:tcW w:w="899" w:type="dxa"/>
          </w:tcPr>
          <w:p>
            <w:pPr>
              <w:pStyle w:val="Compact"/>
              <w:jc w:val="left"/>
            </w:pPr>
            <w:r>
              <w:t xml:space="preserve">Action</w:t>
            </w:r>
          </w:p>
        </w:tc>
        <w:tc>
          <w:tcPr>
            <w:tcW w:w="1473" w:type="dxa"/>
          </w:tcPr>
          <w:p>
            <w:pPr>
              <w:pStyle w:val="Compact"/>
              <w:jc w:val="left"/>
            </w:pPr>
            <w:r>
              <w:t xml:space="preserve">Authority</w:t>
            </w:r>
          </w:p>
        </w:tc>
        <w:tc>
          <w:tcPr>
            <w:tcW w:w="2340" w:type="dxa"/>
          </w:tcPr>
          <w:p>
            <w:pPr>
              <w:pStyle w:val="Compact"/>
              <w:jc w:val="left"/>
            </w:pPr>
            <w:r>
              <w:t xml:space="preserve">Scope</w:t>
            </w:r>
          </w:p>
        </w:tc>
        <w:tc>
          <w:tcPr>
            <w:tcW w:w="1833" w:type="dxa"/>
          </w:tcPr>
          <w:p>
            <w:pPr>
              <w:pStyle w:val="Compact"/>
              <w:jc w:val="left"/>
            </w:pPr>
            <w:r>
              <w:t xml:space="preserve">Status as of 2026-10-08</w:t>
            </w:r>
          </w:p>
        </w:tc>
        <w:tc>
          <w:tcPr>
            <w:tcW w:w="1913" w:type="dxa"/>
          </w:tcPr>
          <w:p>
            <w:pPr>
              <w:pStyle w:val="Compact"/>
              <w:jc w:val="left"/>
            </w:pPr>
            <w:r>
              <w:t xml:space="preserve">Source (date)</w:t>
            </w:r>
          </w:p>
        </w:tc>
        <w:tc>
          <w:tcPr>
            <w:tcW w:w="899" w:type="dxa"/>
          </w:tcPr>
          <w:p>
            <w:pPr>
              <w:pStyle w:val="Compact"/>
              <w:jc w:val="left"/>
            </w:pPr>
            <w:r>
              <w:t xml:space="preserve">Confidence</w:t>
            </w:r>
          </w:p>
        </w:tc>
      </w:tr>
      <w:tr>
        <w:tc>
          <w:tcPr>
            <w:tcW w:w="899" w:type="dxa"/>
          </w:tcPr>
          <w:p>
            <w:pPr>
              <w:pStyle w:val="Compact"/>
              <w:jc w:val="left"/>
            </w:pPr>
            <w:r>
              <w:t xml:space="preserve">Higher import duty (IGI) on goods from countries without a trade agreement with Mexico</w:t>
            </w:r>
          </w:p>
        </w:tc>
        <w:tc>
          <w:tcPr>
            <w:tcW w:w="1473" w:type="dxa"/>
          </w:tcPr>
          <w:p>
            <w:pPr>
              <w:pStyle w:val="Compact"/>
              <w:jc w:val="left"/>
            </w:pPr>
            <w:r>
              <w:t xml:space="preserve">Decree reforming fracciones of the Tarifa of the Ley de los Impuestos Generales de Importación y de Exportación (LIGIE), DOF 2025-12-29 (approved by Congress in December 2025)</w:t>
            </w:r>
          </w:p>
        </w:tc>
        <w:tc>
          <w:tcPr>
            <w:tcW w:w="2340" w:type="dxa"/>
          </w:tcPr>
          <w:p>
            <w:pPr>
              <w:pStyle w:val="Compact"/>
              <w:jc w:val="left"/>
            </w:pPr>
            <w:r>
              <w:t xml:space="preserve">1,463 fracciones (autos, textiles, apparel, plastics, steel, appliances, aluminum, toys, furniture, footwear, leather goods, paper and board, motorcycles, trailers, glass) from countries without a trade agreement with Mexico, for example China, South Korea, India, Taiwan, Thailand and Indonesia (reported). Rates up to 50% reported (the annex shows, for example, 35% on some footwear and 30% on some toys). Goods of agreement partners with a valid preference claim, including T-MEC, are not affected</w:t>
            </w:r>
          </w:p>
        </w:tc>
        <w:tc>
          <w:tcPr>
            <w:tcW w:w="1833" w:type="dxa"/>
          </w:tcPr>
          <w:p>
            <w:pPr>
              <w:pStyle w:val="Compact"/>
              <w:jc w:val="left"/>
            </w:pPr>
            <w:r>
              <w:t xml:space="preserve">In force from 2026-01-01. Some fracciones changed again by the decree of 2026-04-23</w:t>
            </w:r>
          </w:p>
        </w:tc>
        <w:tc>
          <w:tcPr>
            <w:tcW w:w="1913" w:type="dxa"/>
          </w:tcPr>
          <w:p>
            <w:pPr>
              <w:pStyle w:val="Compact"/>
              <w:jc w:val="left"/>
            </w:pPr>
            <w:r>
              <w:t xml:space="preserve">DOF,</w:t>
            </w:r>
            <w:r>
              <w:t xml:space="preserve"> </w:t>
            </w:r>
            <w:hyperlink r:id="rId115">
              <w:r>
                <w:rPr>
                  <w:rStyle w:val="Hyperlink"/>
                </w:rPr>
                <w:t xml:space="preserve">https://dof.gob.mx/nota_detalle.php?codigo=5777376&amp;fecha=29/12/2025</w:t>
              </w:r>
            </w:hyperlink>
            <w:r>
              <w:t xml:space="preserve"> </w:t>
            </w:r>
            <w:r>
              <w:t xml:space="preserve">(2025-12-29); Secretaría de Economía,</w:t>
            </w:r>
            <w:r>
              <w:t xml:space="preserve"> </w:t>
            </w:r>
            <w:hyperlink r:id="rId116">
              <w:r>
                <w:rPr>
                  <w:rStyle w:val="Hyperlink"/>
                </w:rPr>
                <w:t xml:space="preserve">https://www.gob.mx/se/prensa/se-publica-en-el-dof-la-modificacion-de-aranceles-de-la-ligie</w:t>
              </w:r>
            </w:hyperlink>
          </w:p>
        </w:tc>
        <w:tc>
          <w:tcPr>
            <w:tcW w:w="899" w:type="dxa"/>
          </w:tcPr>
          <w:p>
            <w:pPr>
              <w:pStyle w:val="Compact"/>
              <w:jc w:val="left"/>
            </w:pPr>
            <w:r>
              <w:t xml:space="preserve">Confirmed (scope, date); Reported (top rate, countries)</w:t>
            </w:r>
          </w:p>
        </w:tc>
      </w:tr>
      <w:tr>
        <w:tc>
          <w:tcPr>
            <w:tcW w:w="899" w:type="dxa"/>
          </w:tcPr>
          <w:p>
            <w:pPr>
              <w:pStyle w:val="Compact"/>
              <w:jc w:val="left"/>
            </w:pPr>
            <w:r>
              <w:t xml:space="preserve">Temporary IGI decrees of 2024 and their 2026 renewal</w:t>
            </w:r>
          </w:p>
        </w:tc>
        <w:tc>
          <w:tcPr>
            <w:tcW w:w="1473" w:type="dxa"/>
          </w:tcPr>
          <w:p>
            <w:pPr>
              <w:pStyle w:val="Compact"/>
              <w:jc w:val="left"/>
            </w:pPr>
            <w:r>
              <w:t xml:space="preserve">Decree of 2024-04-22 (DOF evening edition; temporary rates of 5% to 50% on 544 fracciones, goods of countries without a trade agreement with Mexico, 2024-04-23 to 2026-04-23); decree of 2024-12-19 (DOF; 35% on 138 apparel and 15% on 17 textile fracciones, to 2026-04-23; finished apparel barred from IMMEX temporary import); decree of 2026-04-23 (DOF evening edition)</w:t>
            </w:r>
          </w:p>
        </w:tc>
        <w:tc>
          <w:tcPr>
            <w:tcW w:w="2340" w:type="dxa"/>
          </w:tcPr>
          <w:p>
            <w:pPr>
              <w:pStyle w:val="Compact"/>
              <w:jc w:val="left"/>
            </w:pPr>
            <w:r>
              <w:t xml:space="preserve">The 2024 temporary rates were set to expire 2026-04-23. The 2026-04-23 decree kept and updated rates of 5% to 35% on about 185 fracciones (reported sectors: chemicals, plastics, textiles including denim, steel and aluminum, auto parts, electrical goods, bicycles, furniture, musical instruments), with no end date reported, and reformed article 5 of the PROSEC Decree (sector rates). On the other 2024 lines the temporary rates lapsed: lines also covered by the 2025-12-29 LIGIE reform keep that reform's rates (row above), and lines in neither went back to the rate in force before the 2024 decree, which for some lines was an earlier temporary rate (reported)</w:t>
            </w:r>
          </w:p>
        </w:tc>
        <w:tc>
          <w:tcPr>
            <w:tcW w:w="1833" w:type="dxa"/>
          </w:tcPr>
          <w:p>
            <w:pPr>
              <w:pStyle w:val="Compact"/>
              <w:jc w:val="left"/>
            </w:pPr>
            <w:r>
              <w:t xml:space="preserve">2026 decree in force from 2026-04-24. Check each fracción in the SNICE list and the DOF text before modeling. IMMEX apparel restriction: confirm it is still in force (agente aduanal, through the Senior)</w:t>
            </w:r>
          </w:p>
        </w:tc>
        <w:tc>
          <w:tcPr>
            <w:tcW w:w="1913" w:type="dxa"/>
          </w:tcPr>
          <w:p>
            <w:pPr>
              <w:pStyle w:val="Compact"/>
              <w:jc w:val="left"/>
            </w:pPr>
            <w:r>
              <w:t xml:space="preserve">DOF,</w:t>
            </w:r>
            <w:r>
              <w:t xml:space="preserve"> </w:t>
            </w:r>
            <w:hyperlink r:id="rId117">
              <w:r>
                <w:rPr>
                  <w:rStyle w:val="Hyperlink"/>
                </w:rPr>
                <w:t xml:space="preserve">https://www.dof.gob.mx/nota_detalle.php?codigo=5785818&amp;fecha=23/04/2026</w:t>
              </w:r>
            </w:hyperlink>
            <w:r>
              <w:t xml:space="preserve"> </w:t>
            </w:r>
            <w:r>
              <w:t xml:space="preserve">(2026-04-23); DOF,</w:t>
            </w:r>
            <w:r>
              <w:t xml:space="preserve"> </w:t>
            </w:r>
            <w:hyperlink r:id="rId118">
              <w:r>
                <w:rPr>
                  <w:rStyle w:val="Hyperlink"/>
                </w:rPr>
                <w:t xml:space="preserve">https://www.dof.gob.mx/nota_detalle.php?codigo=5745788&amp;fecha=19/12/2024</w:t>
              </w:r>
            </w:hyperlink>
            <w:r>
              <w:t xml:space="preserve"> </w:t>
            </w:r>
            <w:r>
              <w:t xml:space="preserve">(2024-12-19); SNICE lists of TIGIE changes,</w:t>
            </w:r>
            <w:r>
              <w:t xml:space="preserve"> </w:t>
            </w:r>
            <w:hyperlink r:id="rId119">
              <w:r>
                <w:rPr>
                  <w:rStyle w:val="Hyperlink"/>
                </w:rPr>
                <w:t xml:space="preserve">https://www.snice.gob.mx/cs/avi/snice/ligie.info22.mod26.html</w:t>
              </w:r>
            </w:hyperlink>
            <w:r>
              <w:t xml:space="preserve"> </w:t>
            </w:r>
            <w:r>
              <w:t xml:space="preserve">(2026) and</w:t>
            </w:r>
            <w:r>
              <w:t xml:space="preserve"> </w:t>
            </w:r>
            <w:hyperlink r:id="rId120">
              <w:r>
                <w:rPr>
                  <w:rStyle w:val="Hyperlink"/>
                </w:rPr>
                <w:t xml:space="preserve">https://www.snice.gob.mx/cs/avi/snice/ligie.info22.mod24.html</w:t>
              </w:r>
            </w:hyperlink>
            <w:r>
              <w:t xml:space="preserve"> </w:t>
            </w:r>
            <w:r>
              <w:t xml:space="preserve">(2024)</w:t>
            </w:r>
          </w:p>
        </w:tc>
        <w:tc>
          <w:tcPr>
            <w:tcW w:w="899" w:type="dxa"/>
          </w:tcPr>
          <w:p>
            <w:pPr>
              <w:pStyle w:val="Compact"/>
              <w:jc w:val="left"/>
            </w:pPr>
            <w:r>
              <w:t xml:space="preserve">Confirmed (decree dates); Reported (which lines were renewed, rates, no end date, 2024 details)</w:t>
            </w:r>
          </w:p>
        </w:tc>
      </w:tr>
      <w:tr>
        <w:tc>
          <w:tcPr>
            <w:tcW w:w="899" w:type="dxa"/>
          </w:tcPr>
          <w:p>
            <w:pPr>
              <w:pStyle w:val="Compact"/>
              <w:jc w:val="left"/>
            </w:pPr>
            <w:r>
              <w:t xml:space="preserve">IMMEX and PROSEC</w:t>
            </w:r>
          </w:p>
        </w:tc>
        <w:tc>
          <w:tcPr>
            <w:tcW w:w="1473" w:type="dxa"/>
          </w:tcPr>
          <w:p>
            <w:pPr>
              <w:pStyle w:val="Compact"/>
              <w:jc w:val="left"/>
            </w:pPr>
            <w:r>
              <w:t xml:space="preserve">IMMEX Decree (annual report, article 25); PROSEC Decree (article 5 rates)</w:t>
            </w:r>
          </w:p>
        </w:tc>
        <w:tc>
          <w:tcPr>
            <w:tcW w:w="2340" w:type="dxa"/>
          </w:tcPr>
          <w:p>
            <w:pPr>
              <w:pStyle w:val="Compact"/>
              <w:jc w:val="left"/>
            </w:pPr>
            <w:r>
              <w:t xml:space="preserve">IMMEX holders file an annual report of sales and exports by the last business day of May. PROSEC article 5 rates reformed by the decree of 2026-04-23</w:t>
            </w:r>
          </w:p>
        </w:tc>
        <w:tc>
          <w:tcPr>
            <w:tcW w:w="1833" w:type="dxa"/>
          </w:tcPr>
          <w:p>
            <w:pPr>
              <w:pStyle w:val="Compact"/>
              <w:jc w:val="left"/>
            </w:pPr>
            <w:r>
              <w:t xml:space="preserve">Secretaría de Economía suspended IMMEX programs that did not file the 2025 report (DOF aviso of 2026-06-30); programs not regularized by the last business day of August 2026 were cancelled from 2026-09-01. The Secretaría de Economía published the list of cancelled programs in a DOF aviso of 2026-09-29 (reported). [COMPANY: confirm our IMMEX program is active, the 2025 report was filed and we are not on the 2026-09-29 list]</w:t>
            </w:r>
          </w:p>
        </w:tc>
        <w:tc>
          <w:tcPr>
            <w:tcW w:w="1913" w:type="dxa"/>
          </w:tcPr>
          <w:p>
            <w:pPr>
              <w:pStyle w:val="Compact"/>
              <w:jc w:val="left"/>
            </w:pPr>
            <w:r>
              <w:t xml:space="preserve">DOF,</w:t>
            </w:r>
            <w:r>
              <w:t xml:space="preserve"> </w:t>
            </w:r>
            <w:hyperlink r:id="rId121">
              <w:r>
                <w:rPr>
                  <w:rStyle w:val="Hyperlink"/>
                </w:rPr>
                <w:t xml:space="preserve">https://dof.gob.mx/nota_detalle.php?codigo=5792091&amp;fecha=30/06/2026</w:t>
              </w:r>
            </w:hyperlink>
            <w:r>
              <w:t xml:space="preserve"> </w:t>
            </w:r>
            <w:r>
              <w:t xml:space="preserve">(2026-06-30); DOF aviso of 2026-09-29 listing cancelled programs (find it on</w:t>
            </w:r>
            <w:r>
              <w:t xml:space="preserve"> </w:t>
            </w:r>
            <w:hyperlink r:id="rId122">
              <w:r>
                <w:rPr>
                  <w:rStyle w:val="Hyperlink"/>
                </w:rPr>
                <w:t xml:space="preserve">https://www.dof.gob.mx/</w:t>
              </w:r>
            </w:hyperlink>
            <w:r>
              <w:t xml:space="preserve">)</w:t>
            </w:r>
          </w:p>
        </w:tc>
        <w:tc>
          <w:tcPr>
            <w:tcW w:w="899" w:type="dxa"/>
          </w:tcPr>
          <w:p>
            <w:pPr>
              <w:pStyle w:val="Compact"/>
              <w:jc w:val="left"/>
            </w:pPr>
            <w:r>
              <w:t xml:space="preserve">Confirmed (suspension aviso); Reported (cancellation list)</w:t>
            </w:r>
          </w:p>
        </w:tc>
      </w:tr>
      <w:tr>
        <w:tc>
          <w:tcPr>
            <w:tcW w:w="899" w:type="dxa"/>
          </w:tcPr>
          <w:p>
            <w:pPr>
              <w:pStyle w:val="Compact"/>
              <w:jc w:val="left"/>
            </w:pPr>
            <w:r>
              <w:t xml:space="preserve">Ley Aduanera reform</w:t>
            </w:r>
          </w:p>
        </w:tc>
        <w:tc>
          <w:tcPr>
            <w:tcW w:w="1473" w:type="dxa"/>
          </w:tcPr>
          <w:p>
            <w:pPr>
              <w:pStyle w:val="Compact"/>
              <w:jc w:val="left"/>
            </w:pPr>
            <w:r>
              <w:t xml:space="preserve">Decree, DOF 2025-11-19; reform of the Reglamento, DOF 2026-02-23</w:t>
            </w:r>
          </w:p>
        </w:tc>
        <w:tc>
          <w:tcPr>
            <w:tcW w:w="2340" w:type="dxa"/>
          </w:tcPr>
          <w:p>
            <w:pPr>
              <w:pStyle w:val="Compact"/>
              <w:jc w:val="left"/>
            </w:pPr>
            <w:r>
              <w:t xml:space="preserve">Stricter obligations for agentes aduanales (20-year patents in place of lifetime ones; a new customs council), a fuller electronic file for importers, higher fines</w:t>
            </w:r>
          </w:p>
        </w:tc>
        <w:tc>
          <w:tcPr>
            <w:tcW w:w="1833" w:type="dxa"/>
          </w:tcPr>
          <w:p>
            <w:pPr>
              <w:pStyle w:val="Compact"/>
              <w:jc w:val="left"/>
            </w:pPr>
            <w:r>
              <w:t xml:space="preserve">In force from 2026-01-01, with some articles three months later; Reglamento reformed 2026-02-23</w:t>
            </w:r>
          </w:p>
        </w:tc>
        <w:tc>
          <w:tcPr>
            <w:tcW w:w="1913" w:type="dxa"/>
          </w:tcPr>
          <w:p>
            <w:pPr>
              <w:pStyle w:val="Compact"/>
              <w:jc w:val="left"/>
            </w:pPr>
            <w:r>
              <w:t xml:space="preserve">DOF,</w:t>
            </w:r>
            <w:r>
              <w:t xml:space="preserve"> </w:t>
            </w:r>
            <w:hyperlink r:id="rId123">
              <w:r>
                <w:rPr>
                  <w:rStyle w:val="Hyperlink"/>
                </w:rPr>
                <w:t xml:space="preserve">https://dof.gob.mx/nota_detalle.php?codigo=5773357&amp;fecha=19/11/2025</w:t>
              </w:r>
            </w:hyperlink>
            <w:r>
              <w:t xml:space="preserve"> </w:t>
            </w:r>
            <w:r>
              <w:t xml:space="preserve">(2025-11-19)</w:t>
            </w:r>
          </w:p>
        </w:tc>
        <w:tc>
          <w:tcPr>
            <w:tcW w:w="899" w:type="dxa"/>
          </w:tcPr>
          <w:p>
            <w:pPr>
              <w:pStyle w:val="Compact"/>
              <w:jc w:val="left"/>
            </w:pPr>
            <w:r>
              <w:t xml:space="preserve">Confirmed</w:t>
            </w:r>
          </w:p>
        </w:tc>
      </w:tr>
      <w:tr>
        <w:tc>
          <w:tcPr>
            <w:tcW w:w="899" w:type="dxa"/>
          </w:tcPr>
          <w:p>
            <w:pPr>
              <w:pStyle w:val="Compact"/>
              <w:jc w:val="left"/>
            </w:pPr>
            <w:r>
              <w:t xml:space="preserve">RGCE 2026 and the electronic value declaration (Manifestación de Valor Electrónica, MVE)</w:t>
            </w:r>
          </w:p>
        </w:tc>
        <w:tc>
          <w:tcPr>
            <w:tcW w:w="1473" w:type="dxa"/>
          </w:tcPr>
          <w:p>
            <w:pPr>
              <w:pStyle w:val="Compact"/>
              <w:jc w:val="left"/>
            </w:pPr>
            <w:r>
              <w:t xml:space="preserve">Reglas Generales de Comercio Exterior para 2026, DOF 2025-12-27, with modifying resolutions (the first on 2026-05-14)</w:t>
            </w:r>
          </w:p>
        </w:tc>
        <w:tc>
          <w:tcPr>
            <w:tcW w:w="2340" w:type="dxa"/>
          </w:tcPr>
          <w:p>
            <w:pPr>
              <w:pStyle w:val="Compact"/>
              <w:jc w:val="left"/>
            </w:pPr>
            <w:r>
              <w:t xml:space="preserve">The customs value declaration must be transmitted electronically through the single window</w:t>
            </w:r>
          </w:p>
        </w:tc>
        <w:tc>
          <w:tcPr>
            <w:tcW w:w="1833" w:type="dxa"/>
          </w:tcPr>
          <w:p>
            <w:pPr>
              <w:pStyle w:val="Compact"/>
              <w:jc w:val="left"/>
            </w:pPr>
            <w:r>
              <w:t xml:space="preserve">MVE filing deadline extended to 2026-10-31. Then mandatory by regime: 2026-11-01 (processing in bonded premises), 2026-11-15 (strategic bonded premises), 2026-12-01 (transit), 2026-12-15 (bonded warehouse), 2027-01-01 (temporary imports), 2027-01-15 (definitive imports). Set by an advance version of the third modifying resolution: confirm the DOF text</w:t>
            </w:r>
          </w:p>
        </w:tc>
        <w:tc>
          <w:tcPr>
            <w:tcW w:w="1913" w:type="dxa"/>
          </w:tcPr>
          <w:p>
            <w:pPr>
              <w:pStyle w:val="Compact"/>
              <w:jc w:val="left"/>
            </w:pPr>
            <w:r>
              <w:t xml:space="preserve">SAT, ANAM and ATDT release,</w:t>
            </w:r>
            <w:r>
              <w:t xml:space="preserve"> </w:t>
            </w:r>
            <w:hyperlink r:id="rId124">
              <w:r>
                <w:rPr>
                  <w:rStyle w:val="Hyperlink"/>
                </w:rPr>
                <w:t xml:space="preserve">https://www.gob.mx/sat/prensa/sat-anam-y-atdt-amplian-al-31-de-octubre-plazo-para-presentar-manifestacion-de-valor-electronica</w:t>
              </w:r>
            </w:hyperlink>
            <w:r>
              <w:t xml:space="preserve"> </w:t>
            </w:r>
            <w:r>
              <w:t xml:space="preserve">(2026-10-02); RGCE 2026,</w:t>
            </w:r>
            <w:r>
              <w:t xml:space="preserve"> </w:t>
            </w:r>
            <w:hyperlink r:id="rId125">
              <w:r>
                <w:rPr>
                  <w:rStyle w:val="Hyperlink"/>
                </w:rPr>
                <w:t xml:space="preserve">https://dof.gob.mx/nota_detalle_popup.php?codigo=5777199</w:t>
              </w:r>
            </w:hyperlink>
          </w:p>
        </w:tc>
        <w:tc>
          <w:tcPr>
            <w:tcW w:w="899" w:type="dxa"/>
          </w:tcPr>
          <w:p>
            <w:pPr>
              <w:pStyle w:val="Compact"/>
              <w:jc w:val="left"/>
            </w:pPr>
            <w:r>
              <w:t xml:space="preserve">Confirmed (announced dates); Unclear (final DOF text)</w:t>
            </w:r>
          </w:p>
        </w:tc>
      </w:tr>
      <w:tr>
        <w:tc>
          <w:tcPr>
            <w:tcW w:w="899" w:type="dxa"/>
          </w:tcPr>
          <w:p>
            <w:pPr>
              <w:pStyle w:val="Compact"/>
              <w:jc w:val="left"/>
            </w:pPr>
            <w:r>
              <w:t xml:space="preserve">Single window</w:t>
            </w:r>
          </w:p>
        </w:tc>
        <w:tc>
          <w:tcPr>
            <w:tcW w:w="1473" w:type="dxa"/>
          </w:tcPr>
          <w:p>
            <w:pPr>
              <w:pStyle w:val="Compact"/>
              <w:jc w:val="left"/>
            </w:pPr>
            <w:r>
              <w:t xml:space="preserve">Decree, DOF 2026-05-04</w:t>
            </w:r>
          </w:p>
        </w:tc>
        <w:tc>
          <w:tcPr>
            <w:tcW w:w="2340" w:type="dxa"/>
          </w:tcPr>
          <w:p>
            <w:pPr>
              <w:pStyle w:val="Compact"/>
              <w:jc w:val="left"/>
            </w:pPr>
            <w:r>
              <w:t xml:space="preserve">Ventanilla Única de Trámites de Comercio Exterior (VUTCE): the only channel for Secretaría de Economía, SAT and ANAM foreign-trade procedures, run by the Agencia de Transformación Digital y Telecomunicaciones (ATDT). The existing VUCEM platform moves from SAT to ATDT administration; filings stay at</w:t>
            </w:r>
            <w:r>
              <w:t xml:space="preserve"> </w:t>
            </w:r>
            <w:hyperlink r:id="rId126">
              <w:r>
                <w:rPr>
                  <w:rStyle w:val="Hyperlink"/>
                </w:rPr>
                <w:t xml:space="preserve">https://www.ventanillaunica.gob.mx</w:t>
              </w:r>
            </w:hyperlink>
          </w:p>
        </w:tc>
        <w:tc>
          <w:tcPr>
            <w:tcW w:w="1833" w:type="dxa"/>
          </w:tcPr>
          <w:p>
            <w:pPr>
              <w:pStyle w:val="Compact"/>
              <w:jc w:val="left"/>
            </w:pPr>
            <w:r>
              <w:t xml:space="preserve">In force from 2026-05-05. Transition effects: ask the agente aduanal through the Senior</w:t>
            </w:r>
          </w:p>
        </w:tc>
        <w:tc>
          <w:tcPr>
            <w:tcW w:w="1913" w:type="dxa"/>
          </w:tcPr>
          <w:p>
            <w:pPr>
              <w:pStyle w:val="Compact"/>
              <w:jc w:val="left"/>
            </w:pPr>
            <w:r>
              <w:t xml:space="preserve">DOF,</w:t>
            </w:r>
            <w:r>
              <w:t xml:space="preserve"> </w:t>
            </w:r>
            <w:hyperlink r:id="rId127">
              <w:r>
                <w:rPr>
                  <w:rStyle w:val="Hyperlink"/>
                </w:rPr>
                <w:t xml:space="preserve">https://www.dof.gob.mx/nota_detalle.php?codigo=5786598&amp;fecha=04/05/2026</w:t>
              </w:r>
            </w:hyperlink>
            <w:r>
              <w:t xml:space="preserve"> </w:t>
            </w:r>
            <w:r>
              <w:t xml:space="preserve">(2026-05-04)</w:t>
            </w:r>
          </w:p>
        </w:tc>
        <w:tc>
          <w:tcPr>
            <w:tcW w:w="899" w:type="dxa"/>
          </w:tcPr>
          <w:p>
            <w:pPr>
              <w:pStyle w:val="Compact"/>
              <w:jc w:val="left"/>
            </w:pPr>
            <w:r>
              <w:t xml:space="preserve">Confirmed</w:t>
            </w:r>
          </w:p>
        </w:tc>
      </w:tr>
      <w:tr>
        <w:tc>
          <w:tcPr>
            <w:tcW w:w="899" w:type="dxa"/>
          </w:tcPr>
          <w:p>
            <w:pPr>
              <w:pStyle w:val="Compact"/>
              <w:jc w:val="left"/>
            </w:pPr>
            <w:r>
              <w:t xml:space="preserve">Measures on goods of the US or Canada</w:t>
            </w:r>
          </w:p>
        </w:tc>
        <w:tc>
          <w:tcPr>
            <w:tcW w:w="1473" w:type="dxa"/>
          </w:tcPr>
          <w:p>
            <w:pPr>
              <w:pStyle w:val="Compact"/>
              <w:jc w:val="left"/>
            </w:pPr>
            <w:r>
              <w:t xml:space="preserve">None found</w:t>
            </w:r>
          </w:p>
        </w:tc>
        <w:tc>
          <w:tcPr>
            <w:tcW w:w="2340" w:type="dxa"/>
          </w:tcPr>
          <w:p>
            <w:pPr>
              <w:pStyle w:val="Compact"/>
              <w:jc w:val="left"/>
            </w:pPr>
            <w:r>
              <w:t xml:space="preserve">Mexico has not imposed countermeasures on US or Canadian goods. The Secretaría de Economía added aluminum import monitoring to its foreign-trade rules (acuerdo, DOF 2026-04-02) against triangulation (reported)</w:t>
            </w:r>
          </w:p>
        </w:tc>
        <w:tc>
          <w:tcPr>
            <w:tcW w:w="1833" w:type="dxa"/>
          </w:tcPr>
          <w:p>
            <w:pPr>
              <w:pStyle w:val="Compact"/>
              <w:jc w:val="left"/>
            </w:pPr>
            <w:r>
              <w:t xml:space="preserve">None found as of 2026-10-08</w:t>
            </w:r>
          </w:p>
        </w:tc>
        <w:tc>
          <w:tcPr>
            <w:tcW w:w="1913" w:type="dxa"/>
          </w:tcPr>
          <w:p>
            <w:pPr>
              <w:pStyle w:val="Compact"/>
              <w:jc w:val="left"/>
            </w:pPr>
            <w:hyperlink r:id="rId128">
              <w:r>
                <w:rPr>
                  <w:rStyle w:val="Hyperlink"/>
                </w:rPr>
                <w:t xml:space="preserve">https://www.gob.mx/se</w:t>
              </w:r>
            </w:hyperlink>
            <w:r>
              <w:t xml:space="preserve"> </w:t>
            </w:r>
            <w:r>
              <w:t xml:space="preserve">;</w:t>
            </w:r>
            <w:r>
              <w:t xml:space="preserve"> </w:t>
            </w:r>
            <w:hyperlink r:id="rId122">
              <w:r>
                <w:rPr>
                  <w:rStyle w:val="Hyperlink"/>
                </w:rPr>
                <w:t xml:space="preserve">https://www.dof.gob.mx/</w:t>
              </w:r>
            </w:hyperlink>
          </w:p>
        </w:tc>
        <w:tc>
          <w:tcPr>
            <w:tcW w:w="899" w:type="dxa"/>
          </w:tcPr>
          <w:p>
            <w:pPr>
              <w:pStyle w:val="Compact"/>
              <w:jc w:val="left"/>
            </w:pPr>
            <w:r>
              <w:t xml:space="preserve">Unclear (none found)</w:t>
            </w:r>
          </w:p>
        </w:tc>
      </w:tr>
    </w:tbl>
    <w:p>
      <w:pPr>
        <w:pStyle w:val="BodyText"/>
      </w:pPr>
      <w:r>
        <w:t xml:space="preserve">Durable point for IMMEX (Reported): under the USMCA's rules on drawback and duty deferral programs (Chapter 2, Article 2.5; text at</w:t>
      </w:r>
      <w:r>
        <w:t xml:space="preserve"> </w:t>
      </w:r>
      <w:hyperlink r:id="rId129">
        <w:r>
          <w:rPr>
            <w:rStyle w:val="Hyperlink"/>
          </w:rPr>
          <w:t xml:space="preserve">https://ustr.gov/trade-agreements/free-trade-agreements/united-states-mexico-canada-agreement/agreement-between</w:t>
        </w:r>
      </w:hyperlink>
      <w:r>
        <w:t xml:space="preserve">), Mexico limits the duty it waives on non-originating inputs in goods exported to the US or Canada. So a Mexican IGI increase on non-FTA inputs can matter even for IMMEX operations, and PROSEC rates can reduce the effect. Check the article in the text, and confirm how it applies to our operations with the agente aduanal (through the Senior), before writing it into any brief.</w:t>
      </w:r>
    </w:p>
    <w:bookmarkEnd w:id="130"/>
    <w:bookmarkStart w:id="135" w:name="X09a363364c188c586bc27f2d7a36861c852223d"/>
    <w:p>
      <w:pPr>
        <w:pStyle w:val="Heading3"/>
      </w:pPr>
      <w:r>
        <w:t xml:space="preserve">1.5 USMCA, CUSMA, T-MEC: the joint reviews</w:t>
      </w:r>
    </w:p>
    <w:p>
      <w:pPr>
        <w:pStyle w:val="FirstParagraph"/>
      </w:pPr>
      <w:r>
        <w:t xml:space="preserve">What the agreement says (durable, Article 34.7,</w:t>
      </w:r>
      <w:r>
        <w:t xml:space="preserve"> </w:t>
      </w:r>
      <w:hyperlink r:id="rId131">
        <w:r>
          <w:rPr>
            <w:rStyle w:val="Hyperlink"/>
          </w:rPr>
          <w:t xml:space="preserve">https://ustr.gov/sites/default/files/files/agreements/FTA/USMCA/Text/34_Final_Provisions.pdf</w:t>
        </w:r>
      </w:hyperlink>
      <w:r>
        <w:t xml:space="preserve">):</w:t>
      </w:r>
    </w:p>
    <w:p>
      <w:pPr>
        <w:numPr>
          <w:ilvl w:val="0"/>
          <w:numId w:val="1006"/>
        </w:numPr>
        <w:pStyle w:val="Compact"/>
      </w:pPr>
      <w:r>
        <w:t xml:space="preserve">The agreement entered into force on 2020-07-01 for a 16-year term (to 2036-07-01).</w:t>
      </w:r>
    </w:p>
    <w:p>
      <w:pPr>
        <w:numPr>
          <w:ilvl w:val="0"/>
          <w:numId w:val="1006"/>
        </w:numPr>
        <w:pStyle w:val="Compact"/>
      </w:pPr>
      <w:r>
        <w:t xml:space="preserve">The Free Trade Commission holds a joint review on the sixth anniversary, 2026-07-01. Each party confirms in writing, through its head of government, whether it wants to extend the term for another 16 years.</w:t>
      </w:r>
    </w:p>
    <w:p>
      <w:pPr>
        <w:numPr>
          <w:ilvl w:val="0"/>
          <w:numId w:val="1006"/>
        </w:numPr>
        <w:pStyle w:val="Compact"/>
      </w:pPr>
      <w:r>
        <w:t xml:space="preserve">If all three confirm, the term is extended to 2042 and the next joint review is due within six years.</w:t>
      </w:r>
    </w:p>
    <w:p>
      <w:pPr>
        <w:numPr>
          <w:ilvl w:val="0"/>
          <w:numId w:val="1006"/>
        </w:numPr>
        <w:pStyle w:val="Compact"/>
      </w:pPr>
      <w:r>
        <w:t xml:space="preserve">If any party does not confirm, the agreement stays in force and the parties hold annual joint reviews for the rest of the term. Any later review can still confirm the extension. Without it, the agreement ends on 2036-07-01.</w:t>
      </w:r>
    </w:p>
    <w:tbl>
      <w:tblPr>
        <w:tblStyle w:val="Table"/>
        <w:tblW w:type="dxa" w:w="9360"/>
        <w:tblLook w:firstRow="1" w:lastRow="0" w:firstColumn="0" w:lastColumn="0" w:noHBand="0" w:noVBand="0" w:val="0020"/>
        <w:jc w:val="start"/>
        <w:tblLayout w:type="fixed"/>
      </w:tblPr>
      <w:tblGrid>
        <w:gridCol w:w="1476"/>
        <w:gridCol w:w="3605"/>
        <w:gridCol w:w="3433"/>
        <w:gridCol w:w="844"/>
      </w:tblGrid>
      <w:tr>
        <w:trPr>
          <w:tblHeader w:val="true"/>
        </w:trPr>
        <w:tc>
          <w:tcPr>
            <w:tcW w:w="1476" w:type="dxa"/>
          </w:tcPr>
          <w:p>
            <w:pPr>
              <w:pStyle w:val="Compact"/>
              <w:jc w:val="left"/>
            </w:pPr>
            <w:r>
              <w:t xml:space="preserve">Item</w:t>
            </w:r>
          </w:p>
        </w:tc>
        <w:tc>
          <w:tcPr>
            <w:tcW w:w="3605" w:type="dxa"/>
          </w:tcPr>
          <w:p>
            <w:pPr>
              <w:pStyle w:val="Compact"/>
              <w:jc w:val="left"/>
            </w:pPr>
            <w:r>
              <w:t xml:space="preserve">Status as of 2026-10-08</w:t>
            </w:r>
          </w:p>
        </w:tc>
        <w:tc>
          <w:tcPr>
            <w:tcW w:w="3433" w:type="dxa"/>
          </w:tcPr>
          <w:p>
            <w:pPr>
              <w:pStyle w:val="Compact"/>
              <w:jc w:val="left"/>
            </w:pPr>
            <w:r>
              <w:t xml:space="preserve">Source (date)</w:t>
            </w:r>
          </w:p>
        </w:tc>
        <w:tc>
          <w:tcPr>
            <w:tcW w:w="844" w:type="dxa"/>
          </w:tcPr>
          <w:p>
            <w:pPr>
              <w:pStyle w:val="Compact"/>
              <w:jc w:val="left"/>
            </w:pPr>
            <w:r>
              <w:t xml:space="preserve">Confidence</w:t>
            </w:r>
          </w:p>
        </w:tc>
      </w:tr>
      <w:tr>
        <w:tc>
          <w:tcPr>
            <w:tcW w:w="1476" w:type="dxa"/>
          </w:tcPr>
          <w:p>
            <w:pPr>
              <w:pStyle w:val="Compact"/>
              <w:jc w:val="left"/>
            </w:pPr>
            <w:r>
              <w:t xml:space="preserve">Outcome of the 2026-07-01 joint review</w:t>
            </w:r>
          </w:p>
        </w:tc>
        <w:tc>
          <w:tcPr>
            <w:tcW w:w="3605" w:type="dxa"/>
          </w:tcPr>
          <w:p>
            <w:pPr>
              <w:pStyle w:val="Compact"/>
              <w:jc w:val="left"/>
            </w:pPr>
            <w:r>
              <w:t xml:space="preserve">The United States did not confirm extension (USTR: "the USMCA is not renewed"); Mexico and Canada wanted to renew. The agreement stays in force, and annual joint reviews now apply until all three confirm an extension or the term ends on 2036-07-01</w:t>
            </w:r>
          </w:p>
        </w:tc>
        <w:tc>
          <w:tcPr>
            <w:tcW w:w="3433" w:type="dxa"/>
          </w:tcPr>
          <w:p>
            <w:pPr>
              <w:pStyle w:val="Compact"/>
              <w:jc w:val="left"/>
            </w:pPr>
            <w:r>
              <w:t xml:space="preserve">USTR statement (2026-07-01),</w:t>
            </w:r>
            <w:r>
              <w:t xml:space="preserve"> </w:t>
            </w:r>
            <w:hyperlink r:id="rId132">
              <w:r>
                <w:rPr>
                  <w:rStyle w:val="Hyperlink"/>
                </w:rPr>
                <w:t xml:space="preserve">https://ustr.gov/about/policy-offices/press-office/press-releases/2026/july/ambassador-greer-issues-statement-usmca-joint-review</w:t>
              </w:r>
            </w:hyperlink>
            <w:r>
              <w:t xml:space="preserve"> </w:t>
            </w:r>
            <w:r>
              <w:t xml:space="preserve">; CRS R48787 (updated 2026-09-29),</w:t>
            </w:r>
            <w:r>
              <w:t xml:space="preserve"> </w:t>
            </w:r>
            <w:hyperlink r:id="rId133">
              <w:r>
                <w:rPr>
                  <w:rStyle w:val="Hyperlink"/>
                </w:rPr>
                <w:t xml:space="preserve">https://www.congress.gov/crs-product/R48787</w:t>
              </w:r>
            </w:hyperlink>
          </w:p>
        </w:tc>
        <w:tc>
          <w:tcPr>
            <w:tcW w:w="844" w:type="dxa"/>
          </w:tcPr>
          <w:p>
            <w:pPr>
              <w:pStyle w:val="Compact"/>
              <w:jc w:val="left"/>
            </w:pPr>
            <w:r>
              <w:t xml:space="preserve">Confirmed</w:t>
            </w:r>
          </w:p>
        </w:tc>
      </w:tr>
      <w:tr>
        <w:tc>
          <w:tcPr>
            <w:tcW w:w="1476" w:type="dxa"/>
          </w:tcPr>
          <w:p>
            <w:pPr>
              <w:pStyle w:val="Compact"/>
              <w:jc w:val="left"/>
            </w:pPr>
            <w:r>
              <w:t xml:space="preserve">2027 annual joint review: USTR comments and hearing</w:t>
            </w:r>
          </w:p>
        </w:tc>
        <w:tc>
          <w:tcPr>
            <w:tcW w:w="3605" w:type="dxa"/>
          </w:tcPr>
          <w:p>
            <w:pPr>
              <w:pStyle w:val="Compact"/>
              <w:jc w:val="left"/>
            </w:pPr>
            <w:r>
              <w:t xml:space="preserve">Request for comments published 2026-10-05 (91 FR 63379). Written comments and requests to testify due 11:59 p.m. EST 2027-01-12 (dockets USTR-2026-0595 and USTR-2026-0596). Hearing date not set. The date of the 2027 review itself has not been announced</w:t>
            </w:r>
          </w:p>
        </w:tc>
        <w:tc>
          <w:tcPr>
            <w:tcW w:w="3433" w:type="dxa"/>
          </w:tcPr>
          <w:p>
            <w:pPr>
              <w:pStyle w:val="Compact"/>
              <w:jc w:val="left"/>
            </w:pPr>
            <w:hyperlink r:id="rId134">
              <w:r>
                <w:rPr>
                  <w:rStyle w:val="Hyperlink"/>
                </w:rPr>
                <w:t xml:space="preserve">https://www.federalregister.gov/d/2026-20341</w:t>
              </w:r>
            </w:hyperlink>
            <w:r>
              <w:t xml:space="preserve"> </w:t>
            </w:r>
            <w:r>
              <w:t xml:space="preserve">(2026-10-05)</w:t>
            </w:r>
          </w:p>
        </w:tc>
        <w:tc>
          <w:tcPr>
            <w:tcW w:w="844" w:type="dxa"/>
          </w:tcPr>
          <w:p>
            <w:pPr>
              <w:pStyle w:val="Compact"/>
              <w:jc w:val="left"/>
            </w:pPr>
            <w:r>
              <w:t xml:space="preserve">Confirmed</w:t>
            </w:r>
          </w:p>
        </w:tc>
      </w:tr>
      <w:tr>
        <w:tc>
          <w:tcPr>
            <w:tcW w:w="1476" w:type="dxa"/>
          </w:tcPr>
          <w:p>
            <w:pPr>
              <w:pStyle w:val="Compact"/>
              <w:jc w:val="left"/>
            </w:pPr>
            <w:r>
              <w:t xml:space="preserve">Talks and agreed changes (rules of origin, side letters, new commitments)</w:t>
            </w:r>
          </w:p>
        </w:tc>
        <w:tc>
          <w:tcPr>
            <w:tcW w:w="3605" w:type="dxa"/>
          </w:tcPr>
          <w:p>
            <w:pPr>
              <w:pStyle w:val="Compact"/>
              <w:jc w:val="left"/>
            </w:pPr>
            <w:r>
              <w:t xml:space="preserve">None agreed as of early October 2026. The US and Mexico held three bilateral rounds from May to July 2026; a fourth round planned for September 2026 in Washington was postponed to October, date not announced as of 2026-10-05. No formal US-Canada joint-review negotiations announced</w:t>
            </w:r>
          </w:p>
        </w:tc>
        <w:tc>
          <w:tcPr>
            <w:tcW w:w="3433" w:type="dxa"/>
          </w:tcPr>
          <w:p>
            <w:pPr>
              <w:pStyle w:val="Compact"/>
              <w:jc w:val="left"/>
            </w:pPr>
            <w:r>
              <w:t xml:space="preserve">CRS R48787 (2026-09-29); Mexican press reports of the deputy secretary for foreign trade (2026-09-23) and of the CCE (2026-10-05)</w:t>
            </w:r>
          </w:p>
        </w:tc>
        <w:tc>
          <w:tcPr>
            <w:tcW w:w="844" w:type="dxa"/>
          </w:tcPr>
          <w:p>
            <w:pPr>
              <w:pStyle w:val="Compact"/>
              <w:jc w:val="left"/>
            </w:pPr>
            <w:r>
              <w:t xml:space="preserve">Reported</w:t>
            </w:r>
          </w:p>
        </w:tc>
      </w:tr>
    </w:tbl>
    <w:p>
      <w:pPr>
        <w:pStyle w:val="BodyText"/>
      </w:pPr>
      <w:r>
        <w:t xml:space="preserve">What it means for us: annual reviews now apply. USMCA preference keeps working while the agreement is in force: to 2036-07-01 unless a later review extends it, or earlier if a party withdraws (Article 34.6, six months after written notice) or the agreement is amended, but every annual review is a risk point for rule changes that would affect qualification and certifications. The 2026 US actions also show that USMCA origin no longer protects a good from every new US duty (Section 338, Section 232). Record each review date and outcome here as it is announced.</w:t>
      </w:r>
    </w:p>
    <w:bookmarkEnd w:id="135"/>
    <w:bookmarkStart w:id="136" w:name="X80c55df85cb67a76e06e554488a21ff9d5f3a02"/>
    <w:p>
      <w:pPr>
        <w:pStyle w:val="Heading3"/>
      </w:pPr>
      <w:r>
        <w:t xml:space="preserve">1.6 Dates to watch</w:t>
      </w:r>
    </w:p>
    <w:tbl>
      <w:tblPr>
        <w:tblStyle w:val="Table"/>
        <w:tblW w:type="dxa" w:w="9360"/>
        <w:tblLook w:firstRow="1" w:lastRow="0" w:firstColumn="0" w:lastColumn="0" w:noHBand="0" w:noVBand="0" w:val="0020"/>
        <w:jc w:val="start"/>
        <w:tblLayout w:type="fixed"/>
      </w:tblPr>
      <w:tblGrid>
        <w:gridCol w:w="891"/>
        <w:gridCol w:w="3694"/>
        <w:gridCol w:w="2215"/>
        <w:gridCol w:w="1239"/>
        <w:gridCol w:w="1318"/>
      </w:tblGrid>
      <w:tr>
        <w:trPr>
          <w:tblHeader w:val="true"/>
        </w:trPr>
        <w:tc>
          <w:tcPr>
            <w:tcW w:w="891" w:type="dxa"/>
          </w:tcPr>
          <w:p>
            <w:pPr>
              <w:pStyle w:val="Compact"/>
              <w:jc w:val="left"/>
            </w:pPr>
            <w:r>
              <w:t xml:space="preserve">Date</w:t>
            </w:r>
          </w:p>
        </w:tc>
        <w:tc>
          <w:tcPr>
            <w:tcW w:w="3694" w:type="dxa"/>
          </w:tcPr>
          <w:p>
            <w:pPr>
              <w:pStyle w:val="Compact"/>
              <w:jc w:val="left"/>
            </w:pPr>
            <w:r>
              <w:t xml:space="preserve">What</w:t>
            </w:r>
          </w:p>
        </w:tc>
        <w:tc>
          <w:tcPr>
            <w:tcW w:w="2215" w:type="dxa"/>
          </w:tcPr>
          <w:p>
            <w:pPr>
              <w:pStyle w:val="Compact"/>
              <w:jc w:val="left"/>
            </w:pPr>
            <w:r>
              <w:t xml:space="preserve">Why it matters for us</w:t>
            </w:r>
          </w:p>
        </w:tc>
        <w:tc>
          <w:tcPr>
            <w:tcW w:w="1239" w:type="dxa"/>
          </w:tcPr>
          <w:p>
            <w:pPr>
              <w:pStyle w:val="Compact"/>
              <w:jc w:val="left"/>
            </w:pPr>
            <w:r>
              <w:t xml:space="preserve">Source</w:t>
            </w:r>
          </w:p>
        </w:tc>
        <w:tc>
          <w:tcPr>
            <w:tcW w:w="1318" w:type="dxa"/>
          </w:tcPr>
          <w:p>
            <w:pPr>
              <w:pStyle w:val="Compact"/>
              <w:jc w:val="left"/>
            </w:pPr>
            <w:r>
              <w:t xml:space="preserve">Confidence</w:t>
            </w:r>
          </w:p>
        </w:tc>
      </w:tr>
      <w:tr>
        <w:tc>
          <w:tcPr>
            <w:tcW w:w="891" w:type="dxa"/>
          </w:tcPr>
          <w:p>
            <w:pPr>
              <w:pStyle w:val="Compact"/>
              <w:jc w:val="left"/>
            </w:pPr>
            <w:r>
              <w:t xml:space="preserve">2026-10-20</w:t>
            </w:r>
          </w:p>
        </w:tc>
        <w:tc>
          <w:tcPr>
            <w:tcW w:w="3694" w:type="dxa"/>
          </w:tcPr>
          <w:p>
            <w:pPr>
              <w:pStyle w:val="Compact"/>
              <w:jc w:val="left"/>
            </w:pPr>
            <w:r>
              <w:t xml:space="preserve">Canada CARM: annual notices of the release-prior-to-payment security requirement; any increase due by 2027-01-15</w:t>
            </w:r>
          </w:p>
        </w:tc>
        <w:tc>
          <w:tcPr>
            <w:tcW w:w="2215" w:type="dxa"/>
          </w:tcPr>
          <w:p>
            <w:pPr>
              <w:pStyle w:val="Compact"/>
              <w:jc w:val="left"/>
            </w:pPr>
            <w:r>
              <w:t xml:space="preserve">Canadian financial security</w:t>
            </w:r>
          </w:p>
        </w:tc>
        <w:tc>
          <w:tcPr>
            <w:tcW w:w="1239" w:type="dxa"/>
          </w:tcPr>
          <w:p>
            <w:pPr>
              <w:pStyle w:val="Compact"/>
              <w:jc w:val="left"/>
            </w:pPr>
            <w:r>
              <w:t xml:space="preserve">CARM Client Portal bulletins</w:t>
            </w:r>
          </w:p>
        </w:tc>
        <w:tc>
          <w:tcPr>
            <w:tcW w:w="1318" w:type="dxa"/>
          </w:tcPr>
          <w:p>
            <w:pPr>
              <w:pStyle w:val="Compact"/>
              <w:jc w:val="left"/>
            </w:pPr>
            <w:r>
              <w:t xml:space="preserve">Reported</w:t>
            </w:r>
          </w:p>
        </w:tc>
      </w:tr>
      <w:tr>
        <w:tc>
          <w:tcPr>
            <w:tcW w:w="891" w:type="dxa"/>
          </w:tcPr>
          <w:p>
            <w:pPr>
              <w:pStyle w:val="Compact"/>
              <w:jc w:val="left"/>
            </w:pPr>
            <w:r>
              <w:t xml:space="preserve">2026-10-22</w:t>
            </w:r>
          </w:p>
        </w:tc>
        <w:tc>
          <w:tcPr>
            <w:tcW w:w="3694" w:type="dxa"/>
          </w:tcPr>
          <w:p>
            <w:pPr>
              <w:pStyle w:val="Compact"/>
              <w:jc w:val="left"/>
            </w:pPr>
            <w:r>
              <w:t xml:space="preserve">US de minimis postal rule (CBP Dec. 26-13): delayed compliance requirements apply</w:t>
            </w:r>
          </w:p>
        </w:tc>
        <w:tc>
          <w:tcPr>
            <w:tcW w:w="2215" w:type="dxa"/>
          </w:tcPr>
          <w:p>
            <w:pPr>
              <w:pStyle w:val="Compact"/>
              <w:jc w:val="left"/>
            </w:pPr>
            <w:r>
              <w:t xml:space="preserve">Postal low-value flows, if any ([COMPANY: do we have postal flows?])</w:t>
            </w:r>
          </w:p>
        </w:tc>
        <w:tc>
          <w:tcPr>
            <w:tcW w:w="1239" w:type="dxa"/>
          </w:tcPr>
          <w:p>
            <w:pPr>
              <w:pStyle w:val="Compact"/>
              <w:jc w:val="left"/>
            </w:pPr>
            <w:r>
              <w:t xml:space="preserve">FR 2026-12669</w:t>
            </w:r>
          </w:p>
        </w:tc>
        <w:tc>
          <w:tcPr>
            <w:tcW w:w="1318" w:type="dxa"/>
          </w:tcPr>
          <w:p>
            <w:pPr>
              <w:pStyle w:val="Compact"/>
              <w:jc w:val="left"/>
            </w:pPr>
            <w:r>
              <w:t xml:space="preserve">Reported</w:t>
            </w:r>
          </w:p>
        </w:tc>
      </w:tr>
      <w:tr>
        <w:tc>
          <w:tcPr>
            <w:tcW w:w="891" w:type="dxa"/>
          </w:tcPr>
          <w:p>
            <w:pPr>
              <w:pStyle w:val="Compact"/>
              <w:jc w:val="left"/>
            </w:pPr>
            <w:r>
              <w:t xml:space="preserve">2026-10-31</w:t>
            </w:r>
          </w:p>
        </w:tc>
        <w:tc>
          <w:tcPr>
            <w:tcW w:w="3694" w:type="dxa"/>
          </w:tcPr>
          <w:p>
            <w:pPr>
              <w:pStyle w:val="Compact"/>
              <w:jc w:val="left"/>
            </w:pPr>
            <w:r>
              <w:t xml:space="preserve">Mexico MVE: end of the extended filing period; mandatory transmission phases in from 2026-11-01</w:t>
            </w:r>
          </w:p>
        </w:tc>
        <w:tc>
          <w:tcPr>
            <w:tcW w:w="2215" w:type="dxa"/>
          </w:tcPr>
          <w:p>
            <w:pPr>
              <w:pStyle w:val="Compact"/>
              <w:jc w:val="left"/>
            </w:pPr>
            <w:r>
              <w:t xml:space="preserve">Pedimento data with the agente aduanal</w:t>
            </w:r>
          </w:p>
        </w:tc>
        <w:tc>
          <w:tcPr>
            <w:tcW w:w="1239" w:type="dxa"/>
          </w:tcPr>
          <w:p>
            <w:pPr>
              <w:pStyle w:val="Compact"/>
              <w:jc w:val="left"/>
            </w:pPr>
            <w:r>
              <w:t xml:space="preserve">SAT, ANAM and ATDT release (2026-10-02)</w:t>
            </w:r>
          </w:p>
        </w:tc>
        <w:tc>
          <w:tcPr>
            <w:tcW w:w="1318" w:type="dxa"/>
          </w:tcPr>
          <w:p>
            <w:pPr>
              <w:pStyle w:val="Compact"/>
              <w:jc w:val="left"/>
            </w:pPr>
            <w:r>
              <w:t xml:space="preserve">Confirmed (announced dates); Unclear (final DOF text)</w:t>
            </w:r>
          </w:p>
        </w:tc>
      </w:tr>
      <w:tr>
        <w:tc>
          <w:tcPr>
            <w:tcW w:w="891" w:type="dxa"/>
          </w:tcPr>
          <w:p>
            <w:pPr>
              <w:pStyle w:val="Compact"/>
              <w:jc w:val="left"/>
            </w:pPr>
            <w:r>
              <w:t xml:space="preserve">2026-11-09, 11:59 p.m.</w:t>
            </w:r>
          </w:p>
        </w:tc>
        <w:tc>
          <w:tcPr>
            <w:tcW w:w="3694" w:type="dxa"/>
          </w:tcPr>
          <w:p>
            <w:pPr>
              <w:pStyle w:val="Compact"/>
              <w:jc w:val="left"/>
            </w:pPr>
            <w:r>
              <w:t xml:space="preserve">Section 301 China: 178 exclusions and the maritime-fee suspension end unless extended; entries from 2026-11-10 pay</w:t>
            </w:r>
          </w:p>
        </w:tc>
        <w:tc>
          <w:tcPr>
            <w:tcW w:w="2215" w:type="dxa"/>
          </w:tcPr>
          <w:p>
            <w:pPr>
              <w:pStyle w:val="Compact"/>
              <w:jc w:val="left"/>
            </w:pPr>
            <w:r>
              <w:t xml:space="preserve">Items using an exclusion</w:t>
            </w:r>
          </w:p>
        </w:tc>
        <w:tc>
          <w:tcPr>
            <w:tcW w:w="1239" w:type="dxa"/>
          </w:tcPr>
          <w:p>
            <w:pPr>
              <w:pStyle w:val="Compact"/>
              <w:jc w:val="left"/>
            </w:pPr>
            <w:r>
              <w:t xml:space="preserve">FR 2025-21671; FR 2025-19873</w:t>
            </w:r>
          </w:p>
        </w:tc>
        <w:tc>
          <w:tcPr>
            <w:tcW w:w="1318" w:type="dxa"/>
          </w:tcPr>
          <w:p>
            <w:pPr>
              <w:pStyle w:val="Compact"/>
              <w:jc w:val="left"/>
            </w:pPr>
            <w:r>
              <w:t xml:space="preserve">Confirmed</w:t>
            </w:r>
          </w:p>
        </w:tc>
      </w:tr>
      <w:tr>
        <w:tc>
          <w:tcPr>
            <w:tcW w:w="891" w:type="dxa"/>
          </w:tcPr>
          <w:p>
            <w:pPr>
              <w:pStyle w:val="Compact"/>
              <w:jc w:val="left"/>
            </w:pPr>
            <w:r>
              <w:t xml:space="preserve">2026-12-04</w:t>
            </w:r>
          </w:p>
        </w:tc>
        <w:tc>
          <w:tcPr>
            <w:tcW w:w="3694" w:type="dxa"/>
          </w:tcPr>
          <w:p>
            <w:pPr>
              <w:pStyle w:val="Compact"/>
              <w:jc w:val="left"/>
            </w:pPr>
            <w:r>
              <w:t xml:space="preserve">Section 232 polysilicon: minimum import prices and 15% on listed derivatives start</w:t>
            </w:r>
          </w:p>
        </w:tc>
        <w:tc>
          <w:tcPr>
            <w:tcW w:w="2215" w:type="dxa"/>
          </w:tcPr>
          <w:p>
            <w:pPr>
              <w:pStyle w:val="Compact"/>
              <w:jc w:val="left"/>
            </w:pPr>
            <w:r>
              <w:t xml:space="preserve">Solar items, if any</w:t>
            </w:r>
          </w:p>
        </w:tc>
        <w:tc>
          <w:tcPr>
            <w:tcW w:w="1239" w:type="dxa"/>
          </w:tcPr>
          <w:p>
            <w:pPr>
              <w:pStyle w:val="Compact"/>
              <w:jc w:val="left"/>
            </w:pPr>
            <w:r>
              <w:t xml:space="preserve">Proclamation 11052, FR 2026-16400</w:t>
            </w:r>
          </w:p>
        </w:tc>
        <w:tc>
          <w:tcPr>
            <w:tcW w:w="1318" w:type="dxa"/>
          </w:tcPr>
          <w:p>
            <w:pPr>
              <w:pStyle w:val="Compact"/>
              <w:jc w:val="left"/>
            </w:pPr>
            <w:r>
              <w:t xml:space="preserve">Confirmed</w:t>
            </w:r>
          </w:p>
        </w:tc>
      </w:tr>
      <w:tr>
        <w:tc>
          <w:tcPr>
            <w:tcW w:w="891" w:type="dxa"/>
          </w:tcPr>
          <w:p>
            <w:pPr>
              <w:pStyle w:val="Compact"/>
              <w:jc w:val="left"/>
            </w:pPr>
            <w:r>
              <w:t xml:space="preserve">2026-12 (late)</w:t>
            </w:r>
          </w:p>
        </w:tc>
        <w:tc>
          <w:tcPr>
            <w:tcW w:w="3694" w:type="dxa"/>
          </w:tcPr>
          <w:p>
            <w:pPr>
              <w:pStyle w:val="Compact"/>
              <w:jc w:val="left"/>
            </w:pPr>
            <w:r>
              <w:t xml:space="preserve">Mexico's RGCE for 2027 expected (the 2026 RGCE was published in the DOF on 2025-12-27)</w:t>
            </w:r>
          </w:p>
        </w:tc>
        <w:tc>
          <w:tcPr>
            <w:tcW w:w="2215" w:type="dxa"/>
          </w:tcPr>
          <w:p>
            <w:pPr>
              <w:pStyle w:val="Compact"/>
              <w:jc w:val="left"/>
            </w:pPr>
            <w:r>
              <w:t xml:space="preserve">Pedimento rules and annexes</w:t>
            </w:r>
          </w:p>
        </w:tc>
        <w:tc>
          <w:tcPr>
            <w:tcW w:w="1239" w:type="dxa"/>
          </w:tcPr>
          <w:p>
            <w:pPr>
              <w:pStyle w:val="Compact"/>
              <w:jc w:val="left"/>
            </w:pPr>
            <w:r>
              <w:t xml:space="preserve">DOF; SAT</w:t>
            </w:r>
          </w:p>
        </w:tc>
        <w:tc>
          <w:tcPr>
            <w:tcW w:w="1318" w:type="dxa"/>
          </w:tcPr>
          <w:p>
            <w:pPr>
              <w:pStyle w:val="Compact"/>
              <w:jc w:val="left"/>
            </w:pPr>
            <w:r>
              <w:t xml:space="preserve">Reported (annual pattern)</w:t>
            </w:r>
          </w:p>
        </w:tc>
      </w:tr>
      <w:tr>
        <w:tc>
          <w:tcPr>
            <w:tcW w:w="891" w:type="dxa"/>
          </w:tcPr>
          <w:p>
            <w:pPr>
              <w:pStyle w:val="Compact"/>
              <w:jc w:val="left"/>
            </w:pPr>
            <w:r>
              <w:t xml:space="preserve">2027-01-01</w:t>
            </w:r>
          </w:p>
        </w:tc>
        <w:tc>
          <w:tcPr>
            <w:tcW w:w="3694" w:type="dxa"/>
          </w:tcPr>
          <w:p>
            <w:pPr>
              <w:pStyle w:val="Compact"/>
              <w:jc w:val="left"/>
            </w:pPr>
            <w:r>
              <w:t xml:space="preserve">Section 232: upholstered wooden furniture to 30% and kitchen cabinets and vanities to 50%, except for countries with an agreement</w:t>
            </w:r>
          </w:p>
        </w:tc>
        <w:tc>
          <w:tcPr>
            <w:tcW w:w="2215" w:type="dxa"/>
          </w:tcPr>
          <w:p>
            <w:pPr>
              <w:pStyle w:val="Compact"/>
              <w:jc w:val="left"/>
            </w:pPr>
            <w:r>
              <w:t xml:space="preserve">Rate change on those items</w:t>
            </w:r>
          </w:p>
        </w:tc>
        <w:tc>
          <w:tcPr>
            <w:tcW w:w="1239" w:type="dxa"/>
          </w:tcPr>
          <w:p>
            <w:pPr>
              <w:pStyle w:val="Compact"/>
              <w:jc w:val="left"/>
            </w:pPr>
            <w:r>
              <w:t xml:space="preserve">Proclamation 11000, FR 2026-00327</w:t>
            </w:r>
          </w:p>
        </w:tc>
        <w:tc>
          <w:tcPr>
            <w:tcW w:w="1318" w:type="dxa"/>
          </w:tcPr>
          <w:p>
            <w:pPr>
              <w:pStyle w:val="Compact"/>
              <w:jc w:val="left"/>
            </w:pPr>
            <w:r>
              <w:t xml:space="preserve">Confirmed</w:t>
            </w:r>
          </w:p>
        </w:tc>
      </w:tr>
      <w:tr>
        <w:tc>
          <w:tcPr>
            <w:tcW w:w="891" w:type="dxa"/>
          </w:tcPr>
          <w:p>
            <w:pPr>
              <w:pStyle w:val="Compact"/>
              <w:jc w:val="left"/>
            </w:pPr>
            <w:r>
              <w:t xml:space="preserve">2027-01-01</w:t>
            </w:r>
          </w:p>
        </w:tc>
        <w:tc>
          <w:tcPr>
            <w:tcW w:w="3694" w:type="dxa"/>
          </w:tcPr>
          <w:p>
            <w:pPr>
              <w:pStyle w:val="Compact"/>
              <w:jc w:val="left"/>
            </w:pPr>
            <w:r>
              <w:t xml:space="preserve">Section 301 Nicaragua: 10% on goods not originating under CAFTA-DR</w:t>
            </w:r>
          </w:p>
        </w:tc>
        <w:tc>
          <w:tcPr>
            <w:tcW w:w="2215" w:type="dxa"/>
          </w:tcPr>
          <w:p>
            <w:pPr>
              <w:pStyle w:val="Compact"/>
              <w:jc w:val="left"/>
            </w:pPr>
            <w:r>
              <w:t xml:space="preserve">Nicaraguan goods, if any</w:t>
            </w:r>
          </w:p>
        </w:tc>
        <w:tc>
          <w:tcPr>
            <w:tcW w:w="1239" w:type="dxa"/>
          </w:tcPr>
          <w:p>
            <w:pPr>
              <w:pStyle w:val="Compact"/>
              <w:jc w:val="left"/>
            </w:pPr>
            <w:r>
              <w:t xml:space="preserve">FR 2025-23892</w:t>
            </w:r>
          </w:p>
        </w:tc>
        <w:tc>
          <w:tcPr>
            <w:tcW w:w="1318" w:type="dxa"/>
          </w:tcPr>
          <w:p>
            <w:pPr>
              <w:pStyle w:val="Compact"/>
              <w:jc w:val="left"/>
            </w:pPr>
            <w:r>
              <w:t xml:space="preserve">Confirmed</w:t>
            </w:r>
          </w:p>
        </w:tc>
      </w:tr>
      <w:tr>
        <w:tc>
          <w:tcPr>
            <w:tcW w:w="891" w:type="dxa"/>
          </w:tcPr>
          <w:p>
            <w:pPr>
              <w:pStyle w:val="Compact"/>
              <w:jc w:val="left"/>
            </w:pPr>
            <w:r>
              <w:t xml:space="preserve">2027-01-05 (about)</w:t>
            </w:r>
          </w:p>
        </w:tc>
        <w:tc>
          <w:tcPr>
            <w:tcW w:w="3694" w:type="dxa"/>
          </w:tcPr>
          <w:p>
            <w:pPr>
              <w:pStyle w:val="Compact"/>
              <w:jc w:val="left"/>
            </w:pPr>
            <w:r>
              <w:t xml:space="preserve">Section 232 commercial aircraft: 180-day negotiation report; tariffs possible after</w:t>
            </w:r>
          </w:p>
        </w:tc>
        <w:tc>
          <w:tcPr>
            <w:tcW w:w="2215" w:type="dxa"/>
          </w:tcPr>
          <w:p>
            <w:pPr>
              <w:pStyle w:val="Compact"/>
              <w:jc w:val="left"/>
            </w:pPr>
            <w:r>
              <w:t xml:space="preserve">Aircraft parts, if any</w:t>
            </w:r>
          </w:p>
        </w:tc>
        <w:tc>
          <w:tcPr>
            <w:tcW w:w="1239" w:type="dxa"/>
          </w:tcPr>
          <w:p>
            <w:pPr>
              <w:pStyle w:val="Compact"/>
              <w:jc w:val="left"/>
            </w:pPr>
            <w:r>
              <w:t xml:space="preserve">Proclamation 11040</w:t>
            </w:r>
          </w:p>
        </w:tc>
        <w:tc>
          <w:tcPr>
            <w:tcW w:w="1318" w:type="dxa"/>
          </w:tcPr>
          <w:p>
            <w:pPr>
              <w:pStyle w:val="Compact"/>
              <w:jc w:val="left"/>
            </w:pPr>
            <w:r>
              <w:t xml:space="preserve">Reported</w:t>
            </w:r>
          </w:p>
        </w:tc>
      </w:tr>
      <w:tr>
        <w:tc>
          <w:tcPr>
            <w:tcW w:w="891" w:type="dxa"/>
          </w:tcPr>
          <w:p>
            <w:pPr>
              <w:pStyle w:val="Compact"/>
              <w:jc w:val="left"/>
            </w:pPr>
            <w:r>
              <w:t xml:space="preserve">2027-01-12, 11:59 p.m. EST</w:t>
            </w:r>
          </w:p>
        </w:tc>
        <w:tc>
          <w:tcPr>
            <w:tcW w:w="3694" w:type="dxa"/>
          </w:tcPr>
          <w:p>
            <w:pPr>
              <w:pStyle w:val="Compact"/>
              <w:jc w:val="left"/>
            </w:pPr>
            <w:r>
              <w:t xml:space="preserve">USTR comment deadline for the 2027 USMCA annual joint review</w:t>
            </w:r>
          </w:p>
        </w:tc>
        <w:tc>
          <w:tcPr>
            <w:tcW w:w="2215" w:type="dxa"/>
          </w:tcPr>
          <w:p>
            <w:pPr>
              <w:pStyle w:val="Compact"/>
              <w:jc w:val="left"/>
            </w:pPr>
            <w:r>
              <w:t xml:space="preserve">Origin and certification risk</w:t>
            </w:r>
          </w:p>
        </w:tc>
        <w:tc>
          <w:tcPr>
            <w:tcW w:w="1239" w:type="dxa"/>
          </w:tcPr>
          <w:p>
            <w:pPr>
              <w:pStyle w:val="Compact"/>
              <w:jc w:val="left"/>
            </w:pPr>
            <w:r>
              <w:t xml:space="preserve">FR 2026-20341</w:t>
            </w:r>
          </w:p>
        </w:tc>
        <w:tc>
          <w:tcPr>
            <w:tcW w:w="1318" w:type="dxa"/>
          </w:tcPr>
          <w:p>
            <w:pPr>
              <w:pStyle w:val="Compact"/>
              <w:jc w:val="left"/>
            </w:pPr>
            <w:r>
              <w:t xml:space="preserve">Confirmed</w:t>
            </w:r>
          </w:p>
        </w:tc>
      </w:tr>
      <w:tr>
        <w:tc>
          <w:tcPr>
            <w:tcW w:w="891" w:type="dxa"/>
          </w:tcPr>
          <w:p>
            <w:pPr>
              <w:pStyle w:val="Compact"/>
              <w:jc w:val="left"/>
            </w:pPr>
            <w:r>
              <w:t xml:space="preserve">2027-02-09</w:t>
            </w:r>
          </w:p>
        </w:tc>
        <w:tc>
          <w:tcPr>
            <w:tcW w:w="3694" w:type="dxa"/>
          </w:tcPr>
          <w:p>
            <w:pPr>
              <w:pStyle w:val="Compact"/>
              <w:jc w:val="left"/>
            </w:pPr>
            <w:r>
              <w:t xml:space="preserve">Section 232 drones: 25% on Annex III components</w:t>
            </w:r>
          </w:p>
        </w:tc>
        <w:tc>
          <w:tcPr>
            <w:tcW w:w="2215" w:type="dxa"/>
          </w:tcPr>
          <w:p>
            <w:pPr>
              <w:pStyle w:val="Compact"/>
              <w:jc w:val="left"/>
            </w:pPr>
            <w:r>
              <w:t xml:space="preserve">Drone parts, if any</w:t>
            </w:r>
          </w:p>
        </w:tc>
        <w:tc>
          <w:tcPr>
            <w:tcW w:w="1239" w:type="dxa"/>
          </w:tcPr>
          <w:p>
            <w:pPr>
              <w:pStyle w:val="Compact"/>
              <w:jc w:val="left"/>
            </w:pPr>
            <w:r>
              <w:t xml:space="preserve">Proclamation 11055, FR 2026-16979</w:t>
            </w:r>
          </w:p>
        </w:tc>
        <w:tc>
          <w:tcPr>
            <w:tcW w:w="1318" w:type="dxa"/>
          </w:tcPr>
          <w:p>
            <w:pPr>
              <w:pStyle w:val="Compact"/>
              <w:jc w:val="left"/>
            </w:pPr>
            <w:r>
              <w:t xml:space="preserve">Confirmed</w:t>
            </w:r>
          </w:p>
        </w:tc>
      </w:tr>
      <w:tr>
        <w:tc>
          <w:tcPr>
            <w:tcW w:w="891" w:type="dxa"/>
          </w:tcPr>
          <w:p>
            <w:pPr>
              <w:pStyle w:val="Compact"/>
              <w:jc w:val="left"/>
            </w:pPr>
            <w:r>
              <w:t xml:space="preserve">2027-04-08</w:t>
            </w:r>
          </w:p>
        </w:tc>
        <w:tc>
          <w:tcPr>
            <w:tcW w:w="3694" w:type="dxa"/>
          </w:tcPr>
          <w:p>
            <w:pPr>
              <w:pStyle w:val="Compact"/>
              <w:jc w:val="left"/>
            </w:pPr>
            <w:r>
              <w:t xml:space="preserve">End of Canada's motor vehicles surtax remission order (2026)</w:t>
            </w:r>
          </w:p>
        </w:tc>
        <w:tc>
          <w:tcPr>
            <w:tcW w:w="2215" w:type="dxa"/>
          </w:tcPr>
          <w:p>
            <w:pPr>
              <w:pStyle w:val="Compact"/>
              <w:jc w:val="left"/>
            </w:pPr>
            <w:r>
              <w:t xml:space="preserve">Canadian surtax on US vehicles, if relevant</w:t>
            </w:r>
          </w:p>
        </w:tc>
        <w:tc>
          <w:tcPr>
            <w:tcW w:w="1239" w:type="dxa"/>
          </w:tcPr>
          <w:p>
            <w:pPr>
              <w:pStyle w:val="Compact"/>
              <w:jc w:val="left"/>
            </w:pPr>
            <w:r>
              <w:t xml:space="preserve">CBSA CN 26-10</w:t>
            </w:r>
          </w:p>
        </w:tc>
        <w:tc>
          <w:tcPr>
            <w:tcW w:w="1318" w:type="dxa"/>
          </w:tcPr>
          <w:p>
            <w:pPr>
              <w:pStyle w:val="Compact"/>
              <w:jc w:val="left"/>
            </w:pPr>
            <w:r>
              <w:t xml:space="preserve">Confirmed</w:t>
            </w:r>
          </w:p>
        </w:tc>
      </w:tr>
      <w:tr>
        <w:tc>
          <w:tcPr>
            <w:tcW w:w="891" w:type="dxa"/>
          </w:tcPr>
          <w:p>
            <w:pPr>
              <w:pStyle w:val="Compact"/>
              <w:jc w:val="left"/>
            </w:pPr>
            <w:r>
              <w:t xml:space="preserve">2027-06-23</w:t>
            </w:r>
          </w:p>
        </w:tc>
        <w:tc>
          <w:tcPr>
            <w:tcW w:w="3694" w:type="dxa"/>
          </w:tcPr>
          <w:p>
            <w:pPr>
              <w:pStyle w:val="Compact"/>
              <w:jc w:val="left"/>
            </w:pPr>
            <w:r>
              <w:t xml:space="preserve">Section 301 China legacy semiconductors: rate increase (announced at least 30 days before)</w:t>
            </w:r>
          </w:p>
        </w:tc>
        <w:tc>
          <w:tcPr>
            <w:tcW w:w="2215" w:type="dxa"/>
          </w:tcPr>
          <w:p>
            <w:pPr>
              <w:pStyle w:val="Compact"/>
              <w:jc w:val="left"/>
            </w:pPr>
            <w:r>
              <w:t xml:space="preserve">Items with Chinese chips, if any</w:t>
            </w:r>
          </w:p>
        </w:tc>
        <w:tc>
          <w:tcPr>
            <w:tcW w:w="1239" w:type="dxa"/>
          </w:tcPr>
          <w:p>
            <w:pPr>
              <w:pStyle w:val="Compact"/>
              <w:jc w:val="left"/>
            </w:pPr>
            <w:r>
              <w:t xml:space="preserve">FR 2025-23912</w:t>
            </w:r>
          </w:p>
        </w:tc>
        <w:tc>
          <w:tcPr>
            <w:tcW w:w="1318" w:type="dxa"/>
          </w:tcPr>
          <w:p>
            <w:pPr>
              <w:pStyle w:val="Compact"/>
              <w:jc w:val="left"/>
            </w:pPr>
            <w:r>
              <w:t xml:space="preserve">Confirmed</w:t>
            </w:r>
          </w:p>
        </w:tc>
      </w:tr>
      <w:tr>
        <w:tc>
          <w:tcPr>
            <w:tcW w:w="891" w:type="dxa"/>
          </w:tcPr>
          <w:p>
            <w:pPr>
              <w:pStyle w:val="Compact"/>
              <w:jc w:val="left"/>
            </w:pPr>
            <w:r>
              <w:t xml:space="preserve">2027-06-27</w:t>
            </w:r>
          </w:p>
        </w:tc>
        <w:tc>
          <w:tcPr>
            <w:tcW w:w="3694" w:type="dxa"/>
          </w:tcPr>
          <w:p>
            <w:pPr>
              <w:pStyle w:val="Compact"/>
              <w:jc w:val="left"/>
            </w:pPr>
            <w:r>
              <w:t xml:space="preserve">End of Canada's extended steel quota year</w:t>
            </w:r>
          </w:p>
        </w:tc>
        <w:tc>
          <w:tcPr>
            <w:tcW w:w="2215" w:type="dxa"/>
          </w:tcPr>
          <w:p>
            <w:pPr>
              <w:pStyle w:val="Compact"/>
              <w:jc w:val="left"/>
            </w:pPr>
            <w:r>
              <w:t xml:space="preserve">Steel surtax on non-CUSMA steel</w:t>
            </w:r>
          </w:p>
        </w:tc>
        <w:tc>
          <w:tcPr>
            <w:tcW w:w="1239" w:type="dxa"/>
          </w:tcPr>
          <w:p>
            <w:pPr>
              <w:pStyle w:val="Compact"/>
              <w:jc w:val="left"/>
            </w:pPr>
            <w:r>
              <w:t xml:space="preserve">SOR/2026-119</w:t>
            </w:r>
          </w:p>
        </w:tc>
        <w:tc>
          <w:tcPr>
            <w:tcW w:w="1318" w:type="dxa"/>
          </w:tcPr>
          <w:p>
            <w:pPr>
              <w:pStyle w:val="Compact"/>
              <w:jc w:val="left"/>
            </w:pPr>
            <w:r>
              <w:t xml:space="preserve">Confirmed</w:t>
            </w:r>
          </w:p>
        </w:tc>
      </w:tr>
      <w:tr>
        <w:tc>
          <w:tcPr>
            <w:tcW w:w="891" w:type="dxa"/>
          </w:tcPr>
          <w:p>
            <w:pPr>
              <w:pStyle w:val="Compact"/>
              <w:jc w:val="left"/>
            </w:pPr>
            <w:r>
              <w:t xml:space="preserve">2027-06-30</w:t>
            </w:r>
          </w:p>
        </w:tc>
        <w:tc>
          <w:tcPr>
            <w:tcW w:w="3694" w:type="dxa"/>
          </w:tcPr>
          <w:p>
            <w:pPr>
              <w:pStyle w:val="Compact"/>
              <w:jc w:val="left"/>
            </w:pPr>
            <w:r>
              <w:t xml:space="preserve">End of Canada's extended surtax remission for listed steel and aluminum uses</w:t>
            </w:r>
          </w:p>
        </w:tc>
        <w:tc>
          <w:tcPr>
            <w:tcW w:w="2215" w:type="dxa"/>
          </w:tcPr>
          <w:p>
            <w:pPr>
              <w:pStyle w:val="Compact"/>
              <w:jc w:val="left"/>
            </w:pPr>
            <w:r>
              <w:t xml:space="preserve">Canadian surtax cost</w:t>
            </w:r>
          </w:p>
        </w:tc>
        <w:tc>
          <w:tcPr>
            <w:tcW w:w="1239" w:type="dxa"/>
          </w:tcPr>
          <w:p>
            <w:pPr>
              <w:pStyle w:val="Compact"/>
              <w:jc w:val="left"/>
            </w:pPr>
            <w:r>
              <w:t xml:space="preserve">SOR/2026-154</w:t>
            </w:r>
          </w:p>
        </w:tc>
        <w:tc>
          <w:tcPr>
            <w:tcW w:w="1318" w:type="dxa"/>
          </w:tcPr>
          <w:p>
            <w:pPr>
              <w:pStyle w:val="Compact"/>
              <w:jc w:val="left"/>
            </w:pPr>
            <w:r>
              <w:t xml:space="preserve">Confirmed</w:t>
            </w:r>
          </w:p>
        </w:tc>
      </w:tr>
      <w:tr>
        <w:tc>
          <w:tcPr>
            <w:tcW w:w="891" w:type="dxa"/>
          </w:tcPr>
          <w:p>
            <w:pPr>
              <w:pStyle w:val="Compact"/>
              <w:jc w:val="left"/>
            </w:pPr>
            <w:r>
              <w:t xml:space="preserve">2027-07-01</w:t>
            </w:r>
          </w:p>
        </w:tc>
        <w:tc>
          <w:tcPr>
            <w:tcW w:w="3694" w:type="dxa"/>
          </w:tcPr>
          <w:p>
            <w:pPr>
              <w:pStyle w:val="Compact"/>
              <w:jc w:val="left"/>
            </w:pPr>
            <w:r>
              <w:t xml:space="preserve">Statutory end of de minimis for commercial shipments</w:t>
            </w:r>
          </w:p>
        </w:tc>
        <w:tc>
          <w:tcPr>
            <w:tcW w:w="2215" w:type="dxa"/>
          </w:tcPr>
          <w:p>
            <w:pPr>
              <w:pStyle w:val="Compact"/>
              <w:jc w:val="left"/>
            </w:pPr>
            <w:r>
              <w:t xml:space="preserve">Any low-value flows</w:t>
            </w:r>
          </w:p>
        </w:tc>
        <w:tc>
          <w:tcPr>
            <w:tcW w:w="1239" w:type="dxa"/>
          </w:tcPr>
          <w:p>
            <w:pPr>
              <w:pStyle w:val="Compact"/>
              <w:jc w:val="left"/>
            </w:pPr>
            <w:r>
              <w:t xml:space="preserve">Pub. L. 119-21</w:t>
            </w:r>
          </w:p>
        </w:tc>
        <w:tc>
          <w:tcPr>
            <w:tcW w:w="1318" w:type="dxa"/>
          </w:tcPr>
          <w:p>
            <w:pPr>
              <w:pStyle w:val="Compact"/>
              <w:jc w:val="left"/>
            </w:pPr>
            <w:r>
              <w:t xml:space="preserve">Confirmed</w:t>
            </w:r>
          </w:p>
        </w:tc>
      </w:tr>
      <w:tr>
        <w:tc>
          <w:tcPr>
            <w:tcW w:w="891" w:type="dxa"/>
          </w:tcPr>
          <w:p>
            <w:pPr>
              <w:pStyle w:val="Compact"/>
              <w:jc w:val="left"/>
            </w:pPr>
            <w:r>
              <w:t xml:space="preserve">2027 (not announced)</w:t>
            </w:r>
          </w:p>
        </w:tc>
        <w:tc>
          <w:tcPr>
            <w:tcW w:w="3694" w:type="dxa"/>
          </w:tcPr>
          <w:p>
            <w:pPr>
              <w:pStyle w:val="Compact"/>
              <w:jc w:val="left"/>
            </w:pPr>
            <w:r>
              <w:t xml:space="preserve">2027 USMCA annual joint review meeting</w:t>
            </w:r>
          </w:p>
        </w:tc>
        <w:tc>
          <w:tcPr>
            <w:tcW w:w="2215" w:type="dxa"/>
          </w:tcPr>
          <w:p>
            <w:pPr>
              <w:pStyle w:val="Compact"/>
              <w:jc w:val="left"/>
            </w:pPr>
            <w:r>
              <w:t xml:space="preserve">Risk horizon</w:t>
            </w:r>
          </w:p>
        </w:tc>
        <w:tc>
          <w:tcPr>
            <w:tcW w:w="1239" w:type="dxa"/>
          </w:tcPr>
          <w:p>
            <w:pPr>
              <w:pStyle w:val="Compact"/>
              <w:jc w:val="left"/>
            </w:pPr>
            <w:r>
              <w:t xml:space="preserve">CRS R48787</w:t>
            </w:r>
          </w:p>
        </w:tc>
        <w:tc>
          <w:tcPr>
            <w:tcW w:w="1318" w:type="dxa"/>
          </w:tcPr>
          <w:p>
            <w:pPr>
              <w:pStyle w:val="Compact"/>
              <w:jc w:val="left"/>
            </w:pPr>
            <w:r>
              <w:t xml:space="preserve">Unclear</w:t>
            </w:r>
          </w:p>
        </w:tc>
      </w:tr>
      <w:tr>
        <w:tc>
          <w:tcPr>
            <w:tcW w:w="891" w:type="dxa"/>
          </w:tcPr>
          <w:p>
            <w:pPr>
              <w:pStyle w:val="Compact"/>
              <w:jc w:val="left"/>
            </w:pPr>
            <w:r>
              <w:t xml:space="preserve">2027-12-31</w:t>
            </w:r>
          </w:p>
        </w:tc>
        <w:tc>
          <w:tcPr>
            <w:tcW w:w="3694" w:type="dxa"/>
          </w:tcPr>
          <w:p>
            <w:pPr>
              <w:pStyle w:val="Compact"/>
              <w:jc w:val="left"/>
            </w:pPr>
            <w:r>
              <w:t xml:space="preserve">End of the temporary Section 232 metals treatment for listed equipment: the Annex III 15% cap and Annex I-C, including its USMCA non-US-content track</w:t>
            </w:r>
          </w:p>
        </w:tc>
        <w:tc>
          <w:tcPr>
            <w:tcW w:w="2215" w:type="dxa"/>
          </w:tcPr>
          <w:p>
            <w:pPr>
              <w:pStyle w:val="Compact"/>
              <w:jc w:val="left"/>
            </w:pPr>
            <w:r>
              <w:t xml:space="preserve">Equipment items, including USMCA-qualifying mobile equipment from Canada or Mexico</w:t>
            </w:r>
          </w:p>
        </w:tc>
        <w:tc>
          <w:tcPr>
            <w:tcW w:w="1239" w:type="dxa"/>
          </w:tcPr>
          <w:p>
            <w:pPr>
              <w:pStyle w:val="Compact"/>
              <w:jc w:val="left"/>
            </w:pPr>
            <w:r>
              <w:t xml:space="preserve">Proclamation 11032, FR 2026-11314</w:t>
            </w:r>
          </w:p>
        </w:tc>
        <w:tc>
          <w:tcPr>
            <w:tcW w:w="1318" w:type="dxa"/>
          </w:tcPr>
          <w:p>
            <w:pPr>
              <w:pStyle w:val="Compact"/>
              <w:jc w:val="left"/>
            </w:pPr>
            <w:r>
              <w:t xml:space="preserve">Reported (Annex III cap and Annex I-C); Reported (Annex I-C)</w:t>
            </w:r>
          </w:p>
        </w:tc>
      </w:tr>
      <w:tr>
        <w:tc>
          <w:tcPr>
            <w:tcW w:w="891" w:type="dxa"/>
          </w:tcPr>
          <w:p>
            <w:pPr>
              <w:pStyle w:val="Compact"/>
              <w:jc w:val="left"/>
            </w:pPr>
            <w:r>
              <w:t xml:space="preserve">2036-07-01</w:t>
            </w:r>
          </w:p>
        </w:tc>
        <w:tc>
          <w:tcPr>
            <w:tcW w:w="3694" w:type="dxa"/>
          </w:tcPr>
          <w:p>
            <w:pPr>
              <w:pStyle w:val="Compact"/>
              <w:jc w:val="left"/>
            </w:pPr>
            <w:r>
              <w:t xml:space="preserve">End of the USMCA term unless extended</w:t>
            </w:r>
          </w:p>
        </w:tc>
        <w:tc>
          <w:tcPr>
            <w:tcW w:w="2215" w:type="dxa"/>
          </w:tcPr>
          <w:p>
            <w:pPr>
              <w:pStyle w:val="Compact"/>
              <w:jc w:val="left"/>
            </w:pPr>
            <w:r>
              <w:t xml:space="preserve">Long-range</w:t>
            </w:r>
          </w:p>
        </w:tc>
        <w:tc>
          <w:tcPr>
            <w:tcW w:w="1239" w:type="dxa"/>
          </w:tcPr>
          <w:p>
            <w:pPr>
              <w:pStyle w:val="Compact"/>
              <w:jc w:val="left"/>
            </w:pPr>
            <w:r>
              <w:t xml:space="preserve">USMCA Article 34.7</w:t>
            </w:r>
          </w:p>
        </w:tc>
        <w:tc>
          <w:tcPr>
            <w:tcW w:w="1318" w:type="dxa"/>
          </w:tcPr>
          <w:p>
            <w:pPr>
              <w:pStyle w:val="Compact"/>
              <w:jc w:val="left"/>
            </w:pPr>
            <w:r>
              <w:t xml:space="preserve">Confirmed</w:t>
            </w:r>
          </w:p>
        </w:tc>
      </w:tr>
    </w:tbl>
    <w:p>
      <w:pPr>
        <w:pStyle w:val="BodyText"/>
      </w:pPr>
      <w:r>
        <w:t xml:space="preserve">Pending, no date: Section 301 excess-capacity determinations (16 economies, including China and Mexico); CAPE Phase 3 launch; the Federal Circuit appeals on Section 122 and on IEEPA refunds for finally liquidated entries; a Commerce process for USMCA auto and truck parts; follow-up on critical minerals.</w:t>
      </w:r>
    </w:p>
    <w:p>
      <w:pPr>
        <w:pStyle w:val="BodyText"/>
      </w:pPr>
      <w:r>
        <w:t xml:space="preserve">Add every new effective date, step change, expiry and comment deadline here as you find it, and delete a row once its date has passed and its row in Part 1 is updated.</w:t>
      </w:r>
    </w:p>
    <w:bookmarkEnd w:id="136"/>
    <w:bookmarkStart w:id="137" w:name="X6f80911eb263ac684caadccd0c46e605598e059"/>
    <w:p>
      <w:pPr>
        <w:pStyle w:val="Heading3"/>
      </w:pPr>
      <w:r>
        <w:t xml:space="preserve">1.7 How Part 1 is kept current (Hire A, weekly)</w:t>
      </w:r>
    </w:p>
    <w:p>
      <w:pPr>
        <w:numPr>
          <w:ilvl w:val="0"/>
          <w:numId w:val="1007"/>
        </w:numPr>
        <w:pStyle w:val="Compact"/>
      </w:pPr>
      <w:r>
        <w:t xml:space="preserve">Every Friday from W5 (Fri 11/20), or the last working day of the week when Friday is a holiday, as part of the weekly routine in Part 2 (2.4), update every row that changed this week. Until then, the Manager does this.</w:t>
      </w:r>
    </w:p>
    <w:p>
      <w:pPr>
        <w:numPr>
          <w:ilvl w:val="0"/>
          <w:numId w:val="1007"/>
        </w:numPr>
        <w:pStyle w:val="Compact"/>
      </w:pPr>
      <w:r>
        <w:t xml:space="preserve">Open the primary source before you change a row. Record the source, its date and the confidence label. Only mark a row Confirmed if you opened the source that day.</w:t>
      </w:r>
    </w:p>
    <w:p>
      <w:pPr>
        <w:numPr>
          <w:ilvl w:val="0"/>
          <w:numId w:val="1007"/>
        </w:numPr>
        <w:pStyle w:val="Compact"/>
      </w:pPr>
      <w:r>
        <w:t xml:space="preserve">Never delete an ended action in the same year it ended. Change its status to Ended with the date. Past entries may still need it for refunds, drawback or audits.</w:t>
      </w:r>
    </w:p>
    <w:p>
      <w:pPr>
        <w:numPr>
          <w:ilvl w:val="0"/>
          <w:numId w:val="1007"/>
        </w:numPr>
        <w:pStyle w:val="Compact"/>
      </w:pPr>
      <w:r>
        <w:t xml:space="preserve">Add a line to the maintenance log for every change, with the source.</w:t>
      </w:r>
    </w:p>
    <w:p>
      <w:pPr>
        <w:numPr>
          <w:ilvl w:val="0"/>
          <w:numId w:val="1007"/>
        </w:numPr>
        <w:pStyle w:val="Compact"/>
      </w:pPr>
      <w:r>
        <w:t xml:space="preserve">Update "What changed most recently" (keep the ten recent changes that matter most for us) and the "Last updated" date at the top.</w:t>
      </w:r>
    </w:p>
    <w:p>
      <w:pPr>
        <w:numPr>
          <w:ilvl w:val="0"/>
          <w:numId w:val="1007"/>
        </w:numPr>
        <w:pStyle w:val="Compact"/>
      </w:pPr>
      <w:r>
        <w:t xml:space="preserve">A status change on an action that touches our items also goes in the research log, and to the Manager the same day.</w:t>
      </w:r>
    </w:p>
    <w:p>
      <w:pPr>
        <w:numPr>
          <w:ilvl w:val="0"/>
          <w:numId w:val="1007"/>
        </w:numPr>
        <w:pStyle w:val="Compact"/>
      </w:pPr>
      <w:r>
        <w:t xml:space="preserve">When you write an Anki card from Part 1, tag it</w:t>
      </w:r>
      <w:r>
        <w:t xml:space="preserve"> </w:t>
      </w:r>
      <w:r>
        <w:rPr>
          <w:rStyle w:val="VerbatimChar"/>
        </w:rPr>
        <w:t xml:space="preserve">dated</w:t>
      </w:r>
      <w:r>
        <w:t xml:space="preserve"> </w:t>
      </w:r>
      <w:r>
        <w:t xml:space="preserve">and end the back with the month you checked, for example "(as of Oct 2026)".</w:t>
      </w:r>
    </w:p>
    <w:p>
      <w:pPr>
        <w:numPr>
          <w:ilvl w:val="0"/>
          <w:numId w:val="1007"/>
        </w:numPr>
        <w:pStyle w:val="Compact"/>
      </w:pPr>
      <w:r>
        <w:t xml:space="preserve">The Senior spot-checks two changed rows a month against their sources (about 10 minutes, inside the normal review time) and initials the maintenance log line.</w:t>
      </w:r>
    </w:p>
    <w:p>
      <w:pPr>
        <w:numPr>
          <w:ilvl w:val="0"/>
          <w:numId w:val="1007"/>
        </w:numPr>
        <w:pStyle w:val="Compact"/>
      </w:pPr>
      <w:r>
        <w:t xml:space="preserve">When every open-and-confirm check in 1.1(a) is done and checked, the edition becomes v1.0.</w:t>
      </w:r>
    </w:p>
    <w:bookmarkEnd w:id="137"/>
    <w:bookmarkEnd w:id="138"/>
    <w:bookmarkStart w:id="169" w:name="X2f9204bc800011e40600312aa8bc69699ed7fe3"/>
    <w:p>
      <w:pPr>
        <w:pStyle w:val="Heading2"/>
      </w:pPr>
      <w:r>
        <w:t xml:space="preserve">Part 2: How to research a new tariff action</w:t>
      </w:r>
    </w:p>
    <w:bookmarkStart w:id="139" w:name="X80c3415eb5867efec7d3fa4c0178bf77079f060"/>
    <w:p>
      <w:pPr>
        <w:pStyle w:val="Heading3"/>
      </w:pPr>
      <w:r>
        <w:t xml:space="preserve">2.1 What you produce, and the boundary</w:t>
      </w:r>
    </w:p>
    <w:p>
      <w:pPr>
        <w:numPr>
          <w:ilvl w:val="0"/>
          <w:numId w:val="1008"/>
        </w:numPr>
        <w:pStyle w:val="Compact"/>
      </w:pPr>
      <w:r>
        <w:rPr>
          <w:bCs/>
          <w:b/>
        </w:rPr>
        <w:t xml:space="preserve">Research owns the WHAT:</w:t>
      </w:r>
      <w:r>
        <w:t xml:space="preserve"> </w:t>
      </w:r>
      <w:r>
        <w:t xml:space="preserve">the legal authority, scope (HTS, Chapter 99, countries, product language), rates, effective dates, exclusions, stacking, USMCA treatment and sources. You deliver it in a Tariff-Impact Brief (</w:t>
      </w:r>
      <w:r>
        <w:rPr>
          <w:rStyle w:val="VerbatimChar"/>
        </w:rPr>
        <w:t xml:space="preserve">docs/templates/domain/tariff-impact-brief.md</w:t>
      </w:r>
      <w:r>
        <w:t xml:space="preserve">) and the Action tab of the shared Tariff-Impact Model (</w:t>
      </w:r>
      <w:r>
        <w:rPr>
          <w:rStyle w:val="VerbatimChar"/>
        </w:rPr>
        <w:t xml:space="preserve">docs/templates/domain/tariff-impact-model-guide.md</w:t>
      </w:r>
      <w:r>
        <w:t xml:space="preserve">).</w:t>
      </w:r>
    </w:p>
    <w:p>
      <w:pPr>
        <w:numPr>
          <w:ilvl w:val="0"/>
          <w:numId w:val="1008"/>
        </w:numPr>
        <w:pStyle w:val="Compact"/>
      </w:pPr>
      <w:r>
        <w:rPr>
          <w:bCs/>
          <w:b/>
        </w:rPr>
        <w:t xml:space="preserve">Standard Cost owns the $:</w:t>
      </w:r>
      <w:r>
        <w:t xml:space="preserve"> </w:t>
      </w:r>
      <w:r>
        <w:t xml:space="preserve">landed cost, margin, the Oracle cost update and variance explanations. Standard Cost never decides scope: it computes $ on your determinations. If anyone asks you "how much will this cost us?", the answer is: "Standard Cost will model it from brief v1.0. I can tell you which items, from when and at what rate."</w:t>
      </w:r>
    </w:p>
    <w:p>
      <w:pPr>
        <w:numPr>
          <w:ilvl w:val="0"/>
          <w:numId w:val="1008"/>
        </w:numPr>
        <w:pStyle w:val="Compact"/>
      </w:pPr>
      <w:r>
        <w:rPr>
          <w:bCs/>
          <w:b/>
        </w:rPr>
        <w:t xml:space="preserve">Maker-checker:</w:t>
      </w:r>
      <w:r>
        <w:t xml:space="preserve"> </w:t>
      </w:r>
      <w:r>
        <w:t xml:space="preserve">no brief is released without a documented check by the Senior or the Manager. This continues after day 90.</w:t>
      </w:r>
    </w:p>
    <w:p>
      <w:pPr>
        <w:numPr>
          <w:ilvl w:val="0"/>
          <w:numId w:val="1008"/>
        </w:numPr>
        <w:pStyle w:val="Compact"/>
      </w:pPr>
      <w:r>
        <w:rPr>
          <w:bCs/>
          <w:b/>
        </w:rPr>
        <w:t xml:space="preserve">No legal advice:</w:t>
      </w:r>
      <w:r>
        <w:t xml:space="preserve"> </w:t>
      </w:r>
      <w:r>
        <w:t xml:space="preserve">you record "our working interpretation" with a confidence level. Anything uncertain that changes scope, rate or date goes to the broker or trade counsel (through the Senior, see 2.6) before release.</w:t>
      </w:r>
    </w:p>
    <w:bookmarkEnd w:id="139"/>
    <w:bookmarkStart w:id="156" w:name="X9832dd67e82c4c6e477f8da7f6bf0446b794365"/>
    <w:p>
      <w:pPr>
        <w:pStyle w:val="Heading3"/>
      </w:pPr>
      <w:r>
        <w:t xml:space="preserve">2.2 Where announcements appear, and in what order</w:t>
      </w:r>
    </w:p>
    <w:p>
      <w:pPr>
        <w:pStyle w:val="FirstParagraph"/>
      </w:pPr>
      <w:r>
        <w:t xml:space="preserve">Only the legal instrument and the agency's implementing guidance are sources. Press releases, fact sheets, social media posts, news articles, law-firm alerts and broker newsletters are leads: use them to find the instrument, and expect details to change between the announcement and the text. Fact sheets in 2026 sometimes differed from the proclamation (for example on rates and dates); the proclamation governs.</w:t>
      </w:r>
    </w:p>
    <w:p>
      <w:pPr>
        <w:pStyle w:val="BodyText"/>
      </w:pPr>
      <w:r>
        <w:t xml:space="preserve">Useful starting points that are summaries, not sources: CBP's "U.S. Tariff Overview" PDF on cbp.gov (seen for January and February 2026; search cbp.gov for the latest) and the CBP trade remedies pages.</w:t>
      </w:r>
    </w:p>
    <w:bookmarkStart w:id="147" w:name="united-states"/>
    <w:p>
      <w:pPr>
        <w:pStyle w:val="Heading4"/>
      </w:pPr>
      <w:r>
        <w:t xml:space="preserve">United States</w:t>
      </w:r>
    </w:p>
    <w:tbl>
      <w:tblPr>
        <w:tblStyle w:val="Table"/>
        <w:tblW w:type="dxa" w:w="9360"/>
        <w:tblLook w:firstRow="1" w:lastRow="0" w:firstColumn="0" w:lastColumn="0" w:noHBand="0" w:noVBand="0" w:val="0020"/>
        <w:jc w:val="start"/>
        <w:tblLayout w:type="fixed"/>
      </w:tblPr>
      <w:tblGrid>
        <w:gridCol w:w="865"/>
        <w:gridCol w:w="3260"/>
        <w:gridCol w:w="2343"/>
        <w:gridCol w:w="2890"/>
      </w:tblGrid>
      <w:tr>
        <w:trPr>
          <w:tblHeader w:val="true"/>
        </w:trPr>
        <w:tc>
          <w:tcPr>
            <w:tcW w:w="865" w:type="dxa"/>
          </w:tcPr>
          <w:p>
            <w:pPr>
              <w:pStyle w:val="Compact"/>
              <w:jc w:val="left"/>
            </w:pPr>
            <w:r>
              <w:t xml:space="preserve">Order</w:t>
            </w:r>
          </w:p>
        </w:tc>
        <w:tc>
          <w:tcPr>
            <w:tcW w:w="3260" w:type="dxa"/>
          </w:tcPr>
          <w:p>
            <w:pPr>
              <w:pStyle w:val="Compact"/>
              <w:jc w:val="left"/>
            </w:pPr>
            <w:r>
              <w:t xml:space="preserve">Where it appears</w:t>
            </w:r>
          </w:p>
        </w:tc>
        <w:tc>
          <w:tcPr>
            <w:tcW w:w="2343" w:type="dxa"/>
          </w:tcPr>
          <w:p>
            <w:pPr>
              <w:pStyle w:val="Compact"/>
              <w:jc w:val="left"/>
            </w:pPr>
            <w:r>
              <w:t xml:space="preserve">What you get</w:t>
            </w:r>
          </w:p>
        </w:tc>
        <w:tc>
          <w:tcPr>
            <w:tcW w:w="2890" w:type="dxa"/>
          </w:tcPr>
          <w:p>
            <w:pPr>
              <w:pStyle w:val="Compact"/>
              <w:jc w:val="left"/>
            </w:pPr>
            <w:r>
              <w:t xml:space="preserve">Watch out</w:t>
            </w:r>
          </w:p>
        </w:tc>
      </w:tr>
      <w:tr>
        <w:tc>
          <w:tcPr>
            <w:tcW w:w="865" w:type="dxa"/>
          </w:tcPr>
          <w:p>
            <w:pPr>
              <w:pStyle w:val="Compact"/>
              <w:jc w:val="left"/>
            </w:pPr>
            <w:r>
              <w:t xml:space="preserve">1 Signal</w:t>
            </w:r>
          </w:p>
        </w:tc>
        <w:tc>
          <w:tcPr>
            <w:tcW w:w="3260" w:type="dxa"/>
          </w:tcPr>
          <w:p>
            <w:pPr>
              <w:pStyle w:val="Compact"/>
              <w:jc w:val="left"/>
            </w:pPr>
            <w:r>
              <w:t xml:space="preserve">White House statements and fact sheets; USTR and Commerce press releases; Federal Register notices opening a Section 232 investigation (Commerce, with a comment period) or a Section 301 investigation (USTR, with hearing dates)</w:t>
            </w:r>
          </w:p>
        </w:tc>
        <w:tc>
          <w:tcPr>
            <w:tcW w:w="2343" w:type="dxa"/>
          </w:tcPr>
          <w:p>
            <w:pPr>
              <w:pStyle w:val="Compact"/>
              <w:jc w:val="left"/>
            </w:pPr>
            <w:r>
              <w:t xml:space="preserve">Intent, sometimes rates and dates; no legal effect</w:t>
            </w:r>
          </w:p>
        </w:tc>
        <w:tc>
          <w:tcPr>
            <w:tcW w:w="2890" w:type="dxa"/>
          </w:tcPr>
          <w:p>
            <w:pPr>
              <w:pStyle w:val="Compact"/>
              <w:jc w:val="left"/>
            </w:pPr>
            <w:r>
              <w:t xml:space="preserve">Investigations give weeks or months of warning; announcements can come hours before effect. In 2026 USTR opened 60 Section 301 investigations at once</w:t>
            </w:r>
          </w:p>
        </w:tc>
      </w:tr>
      <w:tr>
        <w:tc>
          <w:tcPr>
            <w:tcW w:w="865" w:type="dxa"/>
          </w:tcPr>
          <w:p>
            <w:pPr>
              <w:pStyle w:val="Compact"/>
              <w:jc w:val="left"/>
            </w:pPr>
            <w:r>
              <w:t xml:space="preserve">2 Legal instrument</w:t>
            </w:r>
          </w:p>
        </w:tc>
        <w:tc>
          <w:tcPr>
            <w:tcW w:w="3260" w:type="dxa"/>
          </w:tcPr>
          <w:p>
            <w:pPr>
              <w:pStyle w:val="Compact"/>
              <w:jc w:val="left"/>
            </w:pPr>
            <w:r>
              <w:t xml:space="preserve">Presidential actions on</w:t>
            </w:r>
            <w:r>
              <w:t xml:space="preserve"> </w:t>
            </w:r>
            <w:hyperlink r:id="rId140">
              <w:r>
                <w:rPr>
                  <w:rStyle w:val="Hyperlink"/>
                </w:rPr>
                <w:t xml:space="preserve">https://www.whitehouse.gov/presidential-actions/</w:t>
              </w:r>
            </w:hyperlink>
            <w:r>
              <w:t xml:space="preserve"> </w:t>
            </w:r>
            <w:r>
              <w:t xml:space="preserve">(proclamation, executive order or memorandum, sometimes with annexes); USTR notices of action for Section 301</w:t>
            </w:r>
          </w:p>
        </w:tc>
        <w:tc>
          <w:tcPr>
            <w:tcW w:w="2343" w:type="dxa"/>
          </w:tcPr>
          <w:p>
            <w:pPr>
              <w:pStyle w:val="Compact"/>
              <w:jc w:val="left"/>
            </w:pPr>
            <w:r>
              <w:t xml:space="preserve">The legal text: scope, rate, effective date and time, in-transit rule, exclusions, interaction with other duties, drawback</w:t>
            </w:r>
          </w:p>
        </w:tc>
        <w:tc>
          <w:tcPr>
            <w:tcW w:w="2890" w:type="dxa"/>
          </w:tcPr>
          <w:p>
            <w:pPr>
              <w:pStyle w:val="Compact"/>
              <w:jc w:val="left"/>
            </w:pPr>
            <w:r>
              <w:t xml:space="preserve">Annexes are sometimes posted later or corrected. One action can come as several proclamations on the same day (Section 338: three, one per product list)</w:t>
            </w:r>
          </w:p>
        </w:tc>
      </w:tr>
      <w:tr>
        <w:tc>
          <w:tcPr>
            <w:tcW w:w="865" w:type="dxa"/>
          </w:tcPr>
          <w:p>
            <w:pPr>
              <w:pStyle w:val="Compact"/>
              <w:jc w:val="left"/>
            </w:pPr>
            <w:r>
              <w:t xml:space="preserve">3 Federal Register</w:t>
            </w:r>
          </w:p>
        </w:tc>
        <w:tc>
          <w:tcPr>
            <w:tcW w:w="3260" w:type="dxa"/>
          </w:tcPr>
          <w:p>
            <w:pPr>
              <w:pStyle w:val="Compact"/>
              <w:jc w:val="left"/>
            </w:pPr>
            <w:r>
              <w:t xml:space="preserve">Public inspection, usually the business day before publication,</w:t>
            </w:r>
            <w:r>
              <w:t xml:space="preserve"> </w:t>
            </w:r>
            <w:hyperlink r:id="rId141">
              <w:r>
                <w:rPr>
                  <w:rStyle w:val="Hyperlink"/>
                </w:rPr>
                <w:t xml:space="preserve">https://www.federalregister.gov/public-inspection/current</w:t>
              </w:r>
            </w:hyperlink>
            <w:r>
              <w:t xml:space="preserve"> </w:t>
            </w:r>
            <w:r>
              <w:t xml:space="preserve">; then the daily issue,</w:t>
            </w:r>
            <w:r>
              <w:t xml:space="preserve"> </w:t>
            </w:r>
            <w:hyperlink r:id="rId142">
              <w:r>
                <w:rPr>
                  <w:rStyle w:val="Hyperlink"/>
                </w:rPr>
                <w:t xml:space="preserve">https://www.federalregister.gov/</w:t>
              </w:r>
            </w:hyperlink>
          </w:p>
        </w:tc>
        <w:tc>
          <w:tcPr>
            <w:tcW w:w="2343" w:type="dxa"/>
          </w:tcPr>
          <w:p>
            <w:pPr>
              <w:pStyle w:val="Compact"/>
              <w:jc w:val="left"/>
            </w:pPr>
            <w:r>
              <w:t xml:space="preserve">The official citation (for example 91 FR page) and the published annexes</w:t>
            </w:r>
          </w:p>
        </w:tc>
        <w:tc>
          <w:tcPr>
            <w:tcW w:w="2890" w:type="dxa"/>
          </w:tcPr>
          <w:p>
            <w:pPr>
              <w:pStyle w:val="Compact"/>
              <w:jc w:val="left"/>
            </w:pPr>
            <w:r>
              <w:t xml:space="preserve">Publication can come after the effective date for fast actions; the instrument still governs</w:t>
            </w:r>
          </w:p>
        </w:tc>
      </w:tr>
      <w:tr>
        <w:tc>
          <w:tcPr>
            <w:tcW w:w="865" w:type="dxa"/>
          </w:tcPr>
          <w:p>
            <w:pPr>
              <w:pStyle w:val="Compact"/>
              <w:jc w:val="left"/>
            </w:pPr>
            <w:r>
              <w:t xml:space="preserve">4 CBP CSMS message</w:t>
            </w:r>
          </w:p>
        </w:tc>
        <w:tc>
          <w:tcPr>
            <w:tcW w:w="3260" w:type="dxa"/>
          </w:tcPr>
          <w:p>
            <w:pPr>
              <w:pStyle w:val="Compact"/>
              <w:jc w:val="left"/>
            </w:pPr>
            <w:hyperlink r:id="rId143">
              <w:r>
                <w:rPr>
                  <w:rStyle w:val="Hyperlink"/>
                </w:rPr>
                <w:t xml:space="preserve">https://www.cbp.gov/trade/automated/cargo-systems-messaging-service</w:t>
              </w:r>
            </w:hyperlink>
            <w:r>
              <w:t xml:space="preserve"> </w:t>
            </w:r>
            <w:r>
              <w:t xml:space="preserve">(archive:</w:t>
            </w:r>
            <w:r>
              <w:t xml:space="preserve"> </w:t>
            </w:r>
            <w:hyperlink r:id="rId144">
              <w:r>
                <w:rPr>
                  <w:rStyle w:val="Hyperlink"/>
                </w:rPr>
                <w:t xml:space="preserve">https://www.cbp.gov/document/guidance/csms-archive</w:t>
              </w:r>
            </w:hyperlink>
            <w:r>
              <w:t xml:space="preserve">)</w:t>
            </w:r>
          </w:p>
        </w:tc>
        <w:tc>
          <w:tcPr>
            <w:tcW w:w="2343" w:type="dxa"/>
          </w:tcPr>
          <w:p>
            <w:pPr>
              <w:pStyle w:val="Compact"/>
              <w:jc w:val="left"/>
            </w:pPr>
            <w:r>
              <w:t xml:space="preserve">Chapter 99 numbers, reporting order, in-transit claim number, ACE effective time, drawback treatment, FAQs; corrections follow</w:t>
            </w:r>
          </w:p>
        </w:tc>
        <w:tc>
          <w:tcPr>
            <w:tcW w:w="2890" w:type="dxa"/>
          </w:tcPr>
          <w:p>
            <w:pPr>
              <w:pStyle w:val="Compact"/>
              <w:jc w:val="left"/>
            </w:pPr>
            <w:r>
              <w:t xml:space="preserve">Often the day before or the day of effect, sometimes before Federal Register publication. Read every follow-up message: CBP has changed drawback treatment and exemption lines by later CSMS</w:t>
            </w:r>
          </w:p>
        </w:tc>
      </w:tr>
      <w:tr>
        <w:tc>
          <w:tcPr>
            <w:tcW w:w="865" w:type="dxa"/>
          </w:tcPr>
          <w:p>
            <w:pPr>
              <w:pStyle w:val="Compact"/>
              <w:jc w:val="left"/>
            </w:pPr>
            <w:r>
              <w:t xml:space="preserve">5 HTSUS revision</w:t>
            </w:r>
          </w:p>
        </w:tc>
        <w:tc>
          <w:tcPr>
            <w:tcW w:w="3260" w:type="dxa"/>
          </w:tcPr>
          <w:p>
            <w:pPr>
              <w:pStyle w:val="Compact"/>
              <w:jc w:val="left"/>
            </w:pPr>
            <w:hyperlink r:id="rId145">
              <w:r>
                <w:rPr>
                  <w:rStyle w:val="Hyperlink"/>
                </w:rPr>
                <w:t xml:space="preserve">https://hts.usitc.gov/</w:t>
              </w:r>
            </w:hyperlink>
            <w:r>
              <w:t xml:space="preserve"> </w:t>
            </w:r>
            <w:r>
              <w:t xml:space="preserve">(new revision with a change record)</w:t>
            </w:r>
          </w:p>
        </w:tc>
        <w:tc>
          <w:tcPr>
            <w:tcW w:w="2343" w:type="dxa"/>
          </w:tcPr>
          <w:p>
            <w:pPr>
              <w:pStyle w:val="Compact"/>
              <w:jc w:val="left"/>
            </w:pPr>
            <w:r>
              <w:t xml:space="preserve">Chapter 99 headings and U.S. notes in the official schedule</w:t>
            </w:r>
          </w:p>
        </w:tc>
        <w:tc>
          <w:tcPr>
            <w:tcW w:w="2890" w:type="dxa"/>
          </w:tcPr>
          <w:p>
            <w:pPr>
              <w:pStyle w:val="Compact"/>
              <w:jc w:val="left"/>
            </w:pPr>
            <w:r>
              <w:t xml:space="preserve">Can lag the effective date by days or weeks</w:t>
            </w:r>
          </w:p>
        </w:tc>
      </w:tr>
      <w:tr>
        <w:tc>
          <w:tcPr>
            <w:tcW w:w="865" w:type="dxa"/>
          </w:tcPr>
          <w:p>
            <w:pPr>
              <w:pStyle w:val="Compact"/>
              <w:jc w:val="left"/>
            </w:pPr>
            <w:r>
              <w:t xml:space="preserve">6 Follow-up processes</w:t>
            </w:r>
          </w:p>
        </w:tc>
        <w:tc>
          <w:tcPr>
            <w:tcW w:w="3260" w:type="dxa"/>
          </w:tcPr>
          <w:p>
            <w:pPr>
              <w:pStyle w:val="Compact"/>
              <w:jc w:val="left"/>
            </w:pPr>
            <w:r>
              <w:t xml:space="preserve">CBP trade remedies pages,</w:t>
            </w:r>
            <w:r>
              <w:t xml:space="preserve"> </w:t>
            </w:r>
            <w:hyperlink r:id="rId146">
              <w:r>
                <w:rPr>
                  <w:rStyle w:val="Hyperlink"/>
                </w:rPr>
                <w:t xml:space="preserve">https://www.cbp.gov/trade/programs-administration/trade-remedies</w:t>
              </w:r>
            </w:hyperlink>
            <w:r>
              <w:t xml:space="preserve"> </w:t>
            </w:r>
            <w:r>
              <w:t xml:space="preserve">; Commerce inclusion windows where an action still has them (for example auto parts); USTR exclusion notices; agency procedures (for example US-content submissions, onshoring agreements)</w:t>
            </w:r>
          </w:p>
        </w:tc>
        <w:tc>
          <w:tcPr>
            <w:tcW w:w="2343" w:type="dxa"/>
          </w:tcPr>
          <w:p>
            <w:pPr>
              <w:pStyle w:val="Compact"/>
              <w:jc w:val="left"/>
            </w:pPr>
            <w:r>
              <w:t xml:space="preserve">FAQs, products added, exclusions extended or ended, company-specific rates</w:t>
            </w:r>
          </w:p>
        </w:tc>
        <w:tc>
          <w:tcPr>
            <w:tcW w:w="2890" w:type="dxa"/>
          </w:tcPr>
          <w:p>
            <w:pPr>
              <w:pStyle w:val="Compact"/>
              <w:jc w:val="left"/>
            </w:pPr>
            <w:r>
              <w:t xml:space="preserve">Inclusions add HTS codes to an action already in force. For metals, new derivatives have been added by proclamation since 2026-04-06</w:t>
            </w:r>
          </w:p>
        </w:tc>
      </w:tr>
      <w:tr>
        <w:tc>
          <w:tcPr>
            <w:tcW w:w="865" w:type="dxa"/>
          </w:tcPr>
          <w:p>
            <w:pPr>
              <w:pStyle w:val="Compact"/>
              <w:jc w:val="left"/>
            </w:pPr>
            <w:r>
              <w:t xml:space="preserve">7 Litigation</w:t>
            </w:r>
          </w:p>
        </w:tc>
        <w:tc>
          <w:tcPr>
            <w:tcW w:w="3260" w:type="dxa"/>
          </w:tcPr>
          <w:p>
            <w:pPr>
              <w:pStyle w:val="Compact"/>
              <w:jc w:val="left"/>
            </w:pPr>
            <w:r>
              <w:t xml:space="preserve">Court of International Trade, Federal Circuit, Supreme Court</w:t>
            </w:r>
          </w:p>
        </w:tc>
        <w:tc>
          <w:tcPr>
            <w:tcW w:w="2343" w:type="dxa"/>
          </w:tcPr>
          <w:p>
            <w:pPr>
              <w:pStyle w:val="Compact"/>
              <w:jc w:val="left"/>
            </w:pPr>
            <w:r>
              <w:t xml:space="preserve">Rulings that can end or change an action and raise refund questions</w:t>
            </w:r>
          </w:p>
        </w:tc>
        <w:tc>
          <w:tcPr>
            <w:tcW w:w="2890" w:type="dxa"/>
          </w:tcPr>
          <w:p>
            <w:pPr>
              <w:pStyle w:val="Compact"/>
              <w:jc w:val="left"/>
            </w:pPr>
            <w:r>
              <w:t xml:space="preserve">Months to years; liquidation deadlines keep running meanwhile. A ruling can be stayed on appeal, so collection continues</w:t>
            </w:r>
          </w:p>
        </w:tc>
      </w:tr>
    </w:tbl>
    <w:bookmarkEnd w:id="147"/>
    <w:bookmarkStart w:id="152" w:name="canada"/>
    <w:p>
      <w:pPr>
        <w:pStyle w:val="Heading4"/>
      </w:pPr>
      <w:r>
        <w:t xml:space="preserve">Canada</w:t>
      </w:r>
    </w:p>
    <w:tbl>
      <w:tblPr>
        <w:tblStyle w:val="Table"/>
        <w:tblW w:type="dxa" w:w="9360"/>
        <w:tblLook w:firstRow="1" w:lastRow="0" w:firstColumn="0" w:lastColumn="0" w:noHBand="0" w:noVBand="0" w:val="0020"/>
        <w:jc w:val="start"/>
        <w:tblLayout w:type="fixed"/>
      </w:tblPr>
      <w:tblGrid>
        <w:gridCol w:w="892"/>
        <w:gridCol w:w="3005"/>
        <w:gridCol w:w="2400"/>
        <w:gridCol w:w="3061"/>
      </w:tblGrid>
      <w:tr>
        <w:trPr>
          <w:tblHeader w:val="true"/>
        </w:trPr>
        <w:tc>
          <w:tcPr>
            <w:tcW w:w="892" w:type="dxa"/>
          </w:tcPr>
          <w:p>
            <w:pPr>
              <w:pStyle w:val="Compact"/>
              <w:jc w:val="left"/>
            </w:pPr>
            <w:r>
              <w:t xml:space="preserve">Order</w:t>
            </w:r>
          </w:p>
        </w:tc>
        <w:tc>
          <w:tcPr>
            <w:tcW w:w="3005" w:type="dxa"/>
          </w:tcPr>
          <w:p>
            <w:pPr>
              <w:pStyle w:val="Compact"/>
              <w:jc w:val="left"/>
            </w:pPr>
            <w:r>
              <w:t xml:space="preserve">Where it appears</w:t>
            </w:r>
          </w:p>
        </w:tc>
        <w:tc>
          <w:tcPr>
            <w:tcW w:w="2400" w:type="dxa"/>
          </w:tcPr>
          <w:p>
            <w:pPr>
              <w:pStyle w:val="Compact"/>
              <w:jc w:val="left"/>
            </w:pPr>
            <w:r>
              <w:t xml:space="preserve">What you get</w:t>
            </w:r>
          </w:p>
        </w:tc>
        <w:tc>
          <w:tcPr>
            <w:tcW w:w="3061" w:type="dxa"/>
          </w:tcPr>
          <w:p>
            <w:pPr>
              <w:pStyle w:val="Compact"/>
              <w:jc w:val="left"/>
            </w:pPr>
            <w:r>
              <w:t xml:space="preserve">Watch out</w:t>
            </w:r>
          </w:p>
        </w:tc>
      </w:tr>
      <w:tr>
        <w:tc>
          <w:tcPr>
            <w:tcW w:w="892" w:type="dxa"/>
          </w:tcPr>
          <w:p>
            <w:pPr>
              <w:pStyle w:val="Compact"/>
              <w:jc w:val="left"/>
            </w:pPr>
            <w:r>
              <w:t xml:space="preserve">1 Announcement</w:t>
            </w:r>
          </w:p>
        </w:tc>
        <w:tc>
          <w:tcPr>
            <w:tcW w:w="3005" w:type="dxa"/>
          </w:tcPr>
          <w:p>
            <w:pPr>
              <w:pStyle w:val="Compact"/>
              <w:jc w:val="left"/>
            </w:pPr>
            <w:r>
              <w:t xml:space="preserve">Department of Finance news release and backgrounder, often with the list of goods,</w:t>
            </w:r>
            <w:r>
              <w:t xml:space="preserve"> </w:t>
            </w:r>
            <w:hyperlink r:id="rId148">
              <w:r>
                <w:rPr>
                  <w:rStyle w:val="Hyperlink"/>
                </w:rPr>
                <w:t xml:space="preserve">https://www.canada.ca/en/department-finance.html</w:t>
              </w:r>
            </w:hyperlink>
          </w:p>
        </w:tc>
        <w:tc>
          <w:tcPr>
            <w:tcW w:w="2400" w:type="dxa"/>
          </w:tcPr>
          <w:p>
            <w:pPr>
              <w:pStyle w:val="Compact"/>
              <w:jc w:val="left"/>
            </w:pPr>
            <w:r>
              <w:t xml:space="preserve">Intent, list, dates</w:t>
            </w:r>
          </w:p>
        </w:tc>
        <w:tc>
          <w:tcPr>
            <w:tcW w:w="3061" w:type="dxa"/>
          </w:tcPr>
          <w:p>
            <w:pPr>
              <w:pStyle w:val="Compact"/>
              <w:jc w:val="left"/>
            </w:pPr>
            <w:r>
              <w:t xml:space="preserve">The list may be in a separate notice; check the order for the final text. The 2025 page "Canada's response to U.S. tariffs" is now archived: use the "Complete list of U.S. products subject to counter tariffs" page</w:t>
            </w:r>
          </w:p>
        </w:tc>
      </w:tr>
      <w:tr>
        <w:tc>
          <w:tcPr>
            <w:tcW w:w="892" w:type="dxa"/>
          </w:tcPr>
          <w:p>
            <w:pPr>
              <w:pStyle w:val="Compact"/>
              <w:jc w:val="left"/>
            </w:pPr>
            <w:r>
              <w:t xml:space="preserve">2 Order made</w:t>
            </w:r>
          </w:p>
        </w:tc>
        <w:tc>
          <w:tcPr>
            <w:tcW w:w="3005" w:type="dxa"/>
          </w:tcPr>
          <w:p>
            <w:pPr>
              <w:pStyle w:val="Compact"/>
              <w:jc w:val="left"/>
            </w:pPr>
            <w:r>
              <w:t xml:space="preserve">Order in Council under the Customs Tariff (for surtaxes, section 53), registered as SOR/year-number</w:t>
            </w:r>
          </w:p>
        </w:tc>
        <w:tc>
          <w:tcPr>
            <w:tcW w:w="2400" w:type="dxa"/>
          </w:tcPr>
          <w:p>
            <w:pPr>
              <w:pStyle w:val="Compact"/>
              <w:jc w:val="left"/>
            </w:pPr>
            <w:r>
              <w:t xml:space="preserve">Legal effect from its coming-into-force provision</w:t>
            </w:r>
          </w:p>
        </w:tc>
        <w:tc>
          <w:tcPr>
            <w:tcW w:w="3061" w:type="dxa"/>
          </w:tcPr>
          <w:p>
            <w:pPr>
              <w:pStyle w:val="Compact"/>
              <w:jc w:val="left"/>
            </w:pPr>
            <w:r>
              <w:t xml:space="preserve">Can be in force before it is published in the Gazette (SOR/2026-186 was in force 2026-09-08 and published 2026-09-23)</w:t>
            </w:r>
          </w:p>
        </w:tc>
      </w:tr>
      <w:tr>
        <w:tc>
          <w:tcPr>
            <w:tcW w:w="892" w:type="dxa"/>
          </w:tcPr>
          <w:p>
            <w:pPr>
              <w:pStyle w:val="Compact"/>
              <w:jc w:val="left"/>
            </w:pPr>
            <w:r>
              <w:t xml:space="preserve">3 Canada Gazette, Part II</w:t>
            </w:r>
          </w:p>
        </w:tc>
        <w:tc>
          <w:tcPr>
            <w:tcW w:w="3005" w:type="dxa"/>
          </w:tcPr>
          <w:p>
            <w:pPr>
              <w:pStyle w:val="Compact"/>
              <w:jc w:val="left"/>
            </w:pPr>
            <w:hyperlink r:id="rId149">
              <w:r>
                <w:rPr>
                  <w:rStyle w:val="Hyperlink"/>
                </w:rPr>
                <w:t xml:space="preserve">https://gazette.gc.ca/</w:t>
              </w:r>
            </w:hyperlink>
            <w:r>
              <w:t xml:space="preserve"> </w:t>
            </w:r>
            <w:r>
              <w:t xml:space="preserve">(regular issues every second Wednesday; special issues for urgent orders)</w:t>
            </w:r>
          </w:p>
        </w:tc>
        <w:tc>
          <w:tcPr>
            <w:tcW w:w="2400" w:type="dxa"/>
          </w:tcPr>
          <w:p>
            <w:pPr>
              <w:pStyle w:val="Compact"/>
              <w:jc w:val="left"/>
            </w:pPr>
            <w:r>
              <w:t xml:space="preserve">Official text and the Regulatory Impact Analysis Statement</w:t>
            </w:r>
          </w:p>
        </w:tc>
        <w:tc>
          <w:tcPr>
            <w:tcW w:w="3061" w:type="dxa"/>
          </w:tcPr>
          <w:p>
            <w:pPr>
              <w:pStyle w:val="Compact"/>
              <w:jc w:val="left"/>
            </w:pPr>
            <w:r>
              <w:t xml:space="preserve">Part I carries proposals and consultations. Check for errata</w:t>
            </w:r>
          </w:p>
        </w:tc>
      </w:tr>
      <w:tr>
        <w:tc>
          <w:tcPr>
            <w:tcW w:w="892" w:type="dxa"/>
          </w:tcPr>
          <w:p>
            <w:pPr>
              <w:pStyle w:val="Compact"/>
              <w:jc w:val="left"/>
            </w:pPr>
            <w:r>
              <w:t xml:space="preserve">4 CBSA Customs Notice</w:t>
            </w:r>
          </w:p>
        </w:tc>
        <w:tc>
          <w:tcPr>
            <w:tcW w:w="3005" w:type="dxa"/>
          </w:tcPr>
          <w:p>
            <w:pPr>
              <w:pStyle w:val="Compact"/>
              <w:jc w:val="left"/>
            </w:pPr>
            <w:hyperlink r:id="rId150">
              <w:r>
                <w:rPr>
                  <w:rStyle w:val="Hyperlink"/>
                </w:rPr>
                <w:t xml:space="preserve">https://www.cbsa-asfc.gc.ca/publications/cn-ad/menu-eng.html</w:t>
              </w:r>
            </w:hyperlink>
          </w:p>
        </w:tc>
        <w:tc>
          <w:tcPr>
            <w:tcW w:w="2400" w:type="dxa"/>
          </w:tcPr>
          <w:p>
            <w:pPr>
              <w:pStyle w:val="Compact"/>
              <w:jc w:val="left"/>
            </w:pPr>
            <w:r>
              <w:t xml:space="preserve">How CBSA applies it: dates, goods in transit, the surtax code to declare in CARM (for example 25267A for the steel derivative surtax, CN 25-33), refunds</w:t>
            </w:r>
          </w:p>
        </w:tc>
        <w:tc>
          <w:tcPr>
            <w:tcW w:w="3061" w:type="dxa"/>
          </w:tcPr>
          <w:p>
            <w:pPr>
              <w:pStyle w:val="Compact"/>
              <w:jc w:val="left"/>
            </w:pPr>
            <w:r>
              <w:t xml:space="preserve">Updated versions replace earlier ones, and a notice can differ from the order on a date: the order governs</w:t>
            </w:r>
          </w:p>
        </w:tc>
      </w:tr>
      <w:tr>
        <w:tc>
          <w:tcPr>
            <w:tcW w:w="892" w:type="dxa"/>
          </w:tcPr>
          <w:p>
            <w:pPr>
              <w:pStyle w:val="Compact"/>
              <w:jc w:val="left"/>
            </w:pPr>
            <w:r>
              <w:t xml:space="preserve">5 Remission order</w:t>
            </w:r>
          </w:p>
        </w:tc>
        <w:tc>
          <w:tcPr>
            <w:tcW w:w="3005" w:type="dxa"/>
          </w:tcPr>
          <w:p>
            <w:pPr>
              <w:pStyle w:val="Compact"/>
              <w:jc w:val="left"/>
            </w:pPr>
            <w:r>
              <w:t xml:space="preserve">Separate order under the Customs Tariff (section 115), Gazette Part II, plus a CBSA notice</w:t>
            </w:r>
          </w:p>
        </w:tc>
        <w:tc>
          <w:tcPr>
            <w:tcW w:w="2400" w:type="dxa"/>
          </w:tcPr>
          <w:p>
            <w:pPr>
              <w:pStyle w:val="Compact"/>
              <w:jc w:val="left"/>
            </w:pPr>
            <w:r>
              <w:t xml:space="preserve">Who gets relief, conditions, end date, how to claim</w:t>
            </w:r>
          </w:p>
        </w:tc>
        <w:tc>
          <w:tcPr>
            <w:tcW w:w="3061" w:type="dxa"/>
          </w:tcPr>
          <w:p>
            <w:pPr>
              <w:pStyle w:val="Compact"/>
              <w:jc w:val="left"/>
            </w:pPr>
            <w:r>
              <w:t xml:space="preserve">Remission is claimed, not automatic, and is often extended in pieces</w:t>
            </w:r>
          </w:p>
        </w:tc>
      </w:tr>
      <w:tr>
        <w:tc>
          <w:tcPr>
            <w:tcW w:w="892" w:type="dxa"/>
          </w:tcPr>
          <w:p>
            <w:pPr>
              <w:pStyle w:val="Compact"/>
              <w:jc w:val="left"/>
            </w:pPr>
            <w:r>
              <w:t xml:space="preserve">6 Customs Tariff consolidation</w:t>
            </w:r>
          </w:p>
        </w:tc>
        <w:tc>
          <w:tcPr>
            <w:tcW w:w="3005" w:type="dxa"/>
          </w:tcPr>
          <w:p>
            <w:pPr>
              <w:pStyle w:val="Compact"/>
              <w:jc w:val="left"/>
            </w:pPr>
            <w:hyperlink r:id="rId151">
              <w:r>
                <w:rPr>
                  <w:rStyle w:val="Hyperlink"/>
                </w:rPr>
                <w:t xml:space="preserve">https://www.cbsa-asfc.gc.ca/trade-commerce/tariff-tarif/2026/menu-eng.html</w:t>
              </w:r>
            </w:hyperlink>
          </w:p>
        </w:tc>
        <w:tc>
          <w:tcPr>
            <w:tcW w:w="2400" w:type="dxa"/>
          </w:tcPr>
          <w:p>
            <w:pPr>
              <w:pStyle w:val="Compact"/>
              <w:jc w:val="left"/>
            </w:pPr>
            <w:r>
              <w:t xml:space="preserve">The updated schedule</w:t>
            </w:r>
          </w:p>
        </w:tc>
        <w:tc>
          <w:tcPr>
            <w:tcW w:w="3061" w:type="dxa"/>
          </w:tcPr>
          <w:p>
            <w:pPr>
              <w:pStyle w:val="Compact"/>
              <w:jc w:val="left"/>
            </w:pPr>
            <w:r>
              <w:t xml:space="preserve">Lags the order</w:t>
            </w:r>
          </w:p>
        </w:tc>
      </w:tr>
    </w:tbl>
    <w:bookmarkEnd w:id="152"/>
    <w:bookmarkStart w:id="155" w:name="mexico"/>
    <w:p>
      <w:pPr>
        <w:pStyle w:val="Heading4"/>
      </w:pPr>
      <w:r>
        <w:t xml:space="preserve">Mexico</w:t>
      </w:r>
    </w:p>
    <w:tbl>
      <w:tblPr>
        <w:tblStyle w:val="Table"/>
        <w:tblW w:type="dxa" w:w="9360"/>
        <w:tblLook w:firstRow="1" w:lastRow="0" w:firstColumn="0" w:lastColumn="0" w:noHBand="0" w:noVBand="0" w:val="0020"/>
        <w:jc w:val="start"/>
        <w:tblLayout w:type="fixed"/>
      </w:tblPr>
      <w:tblGrid>
        <w:gridCol w:w="880"/>
        <w:gridCol w:w="3523"/>
        <w:gridCol w:w="2191"/>
        <w:gridCol w:w="2764"/>
      </w:tblGrid>
      <w:tr>
        <w:trPr>
          <w:tblHeader w:val="true"/>
        </w:trPr>
        <w:tc>
          <w:tcPr>
            <w:tcW w:w="880" w:type="dxa"/>
          </w:tcPr>
          <w:p>
            <w:pPr>
              <w:pStyle w:val="Compact"/>
              <w:jc w:val="left"/>
            </w:pPr>
            <w:r>
              <w:t xml:space="preserve">Order</w:t>
            </w:r>
          </w:p>
        </w:tc>
        <w:tc>
          <w:tcPr>
            <w:tcW w:w="3523" w:type="dxa"/>
          </w:tcPr>
          <w:p>
            <w:pPr>
              <w:pStyle w:val="Compact"/>
              <w:jc w:val="left"/>
            </w:pPr>
            <w:r>
              <w:t xml:space="preserve">Where it appears</w:t>
            </w:r>
          </w:p>
        </w:tc>
        <w:tc>
          <w:tcPr>
            <w:tcW w:w="2191" w:type="dxa"/>
          </w:tcPr>
          <w:p>
            <w:pPr>
              <w:pStyle w:val="Compact"/>
              <w:jc w:val="left"/>
            </w:pPr>
            <w:r>
              <w:t xml:space="preserve">What you get</w:t>
            </w:r>
          </w:p>
        </w:tc>
        <w:tc>
          <w:tcPr>
            <w:tcW w:w="2764" w:type="dxa"/>
          </w:tcPr>
          <w:p>
            <w:pPr>
              <w:pStyle w:val="Compact"/>
              <w:jc w:val="left"/>
            </w:pPr>
            <w:r>
              <w:t xml:space="preserve">Watch out</w:t>
            </w:r>
          </w:p>
        </w:tc>
      </w:tr>
      <w:tr>
        <w:tc>
          <w:tcPr>
            <w:tcW w:w="880" w:type="dxa"/>
          </w:tcPr>
          <w:p>
            <w:pPr>
              <w:pStyle w:val="Compact"/>
              <w:jc w:val="left"/>
            </w:pPr>
            <w:r>
              <w:t xml:space="preserve">1 Announcement</w:t>
            </w:r>
          </w:p>
        </w:tc>
        <w:tc>
          <w:tcPr>
            <w:tcW w:w="3523" w:type="dxa"/>
          </w:tcPr>
          <w:p>
            <w:pPr>
              <w:pStyle w:val="Compact"/>
              <w:jc w:val="left"/>
            </w:pPr>
            <w:r>
              <w:t xml:space="preserve">Secretaría de Economía press releases,</w:t>
            </w:r>
            <w:r>
              <w:t xml:space="preserve"> </w:t>
            </w:r>
            <w:hyperlink r:id="rId128">
              <w:r>
                <w:rPr>
                  <w:rStyle w:val="Hyperlink"/>
                </w:rPr>
                <w:t xml:space="preserve">https://www.gob.mx/se</w:t>
              </w:r>
            </w:hyperlink>
            <w:r>
              <w:t xml:space="preserve"> </w:t>
            </w:r>
            <w:r>
              <w:t xml:space="preserve">; the President's morning press conference</w:t>
            </w:r>
          </w:p>
        </w:tc>
        <w:tc>
          <w:tcPr>
            <w:tcW w:w="2191" w:type="dxa"/>
          </w:tcPr>
          <w:p>
            <w:pPr>
              <w:pStyle w:val="Compact"/>
              <w:jc w:val="left"/>
            </w:pPr>
            <w:r>
              <w:t xml:space="preserve">Intent</w:t>
            </w:r>
          </w:p>
        </w:tc>
        <w:tc>
          <w:tcPr>
            <w:tcW w:w="2764" w:type="dxa"/>
          </w:tcPr>
          <w:p>
            <w:pPr>
              <w:pStyle w:val="Compact"/>
              <w:jc w:val="left"/>
            </w:pPr>
            <w:r>
              <w:t xml:space="preserve">Rates and lists often change before publication</w:t>
            </w:r>
          </w:p>
        </w:tc>
      </w:tr>
      <w:tr>
        <w:tc>
          <w:tcPr>
            <w:tcW w:w="880" w:type="dxa"/>
          </w:tcPr>
          <w:p>
            <w:pPr>
              <w:pStyle w:val="Compact"/>
              <w:jc w:val="left"/>
            </w:pPr>
            <w:r>
              <w:t xml:space="preserve">2 Legal instrument</w:t>
            </w:r>
          </w:p>
        </w:tc>
        <w:tc>
          <w:tcPr>
            <w:tcW w:w="3523" w:type="dxa"/>
          </w:tcPr>
          <w:p>
            <w:pPr>
              <w:pStyle w:val="Compact"/>
              <w:jc w:val="left"/>
            </w:pPr>
            <w:r>
              <w:t xml:space="preserve">DOF,</w:t>
            </w:r>
            <w:r>
              <w:t xml:space="preserve"> </w:t>
            </w:r>
            <w:hyperlink r:id="rId122">
              <w:r>
                <w:rPr>
                  <w:rStyle w:val="Hyperlink"/>
                </w:rPr>
                <w:t xml:space="preserve">https://www.dof.gob.mx/</w:t>
              </w:r>
            </w:hyperlink>
            <w:r>
              <w:t xml:space="preserve"> </w:t>
            </w:r>
            <w:r>
              <w:t xml:space="preserve">: a decreto (TIGIE tariff changes, IMMEX or PROSEC decrees), an acuerdo (Secretaría de Economía rules, quotas, permits), an aviso (for example lists of suspended IMMEX programs) or a resolución (SAT rules such as the RGCE; AD/CVD cuotas compensatorias)</w:t>
            </w:r>
          </w:p>
        </w:tc>
        <w:tc>
          <w:tcPr>
            <w:tcW w:w="2191" w:type="dxa"/>
          </w:tcPr>
          <w:p>
            <w:pPr>
              <w:pStyle w:val="Compact"/>
              <w:jc w:val="left"/>
            </w:pPr>
            <w:r>
              <w:t xml:space="preserve">Legal text; entry into force in the transitory articles (often the day after publication)</w:t>
            </w:r>
          </w:p>
        </w:tc>
        <w:tc>
          <w:tcPr>
            <w:tcW w:w="2764" w:type="dxa"/>
          </w:tcPr>
          <w:p>
            <w:pPr>
              <w:pStyle w:val="Compact"/>
              <w:jc w:val="left"/>
            </w:pPr>
            <w:r>
              <w:t xml:space="preserve">The DOF has a morning edition and sometimes an evening (vespertina) or extraordinary edition: check both. The 2026-04-23 TIGIE and PROSEC decree came out in the evening edition</w:t>
            </w:r>
          </w:p>
        </w:tc>
      </w:tr>
      <w:tr>
        <w:tc>
          <w:tcPr>
            <w:tcW w:w="880" w:type="dxa"/>
          </w:tcPr>
          <w:p>
            <w:pPr>
              <w:pStyle w:val="Compact"/>
              <w:jc w:val="left"/>
            </w:pPr>
            <w:r>
              <w:t xml:space="preserve">3 Implementation</w:t>
            </w:r>
          </w:p>
        </w:tc>
        <w:tc>
          <w:tcPr>
            <w:tcW w:w="3523" w:type="dxa"/>
          </w:tcPr>
          <w:p>
            <w:pPr>
              <w:pStyle w:val="Compact"/>
              <w:jc w:val="left"/>
            </w:pPr>
            <w:r>
              <w:t xml:space="preserve">SAT and ANAM communications,</w:t>
            </w:r>
            <w:r>
              <w:t xml:space="preserve"> </w:t>
            </w:r>
            <w:hyperlink r:id="rId153">
              <w:r>
                <w:rPr>
                  <w:rStyle w:val="Hyperlink"/>
                </w:rPr>
                <w:t xml:space="preserve">https://www.sat.gob.mx/</w:t>
              </w:r>
            </w:hyperlink>
            <w:r>
              <w:t xml:space="preserve"> </w:t>
            </w:r>
            <w:r>
              <w:t xml:space="preserve">and</w:t>
            </w:r>
            <w:r>
              <w:t xml:space="preserve"> </w:t>
            </w:r>
            <w:hyperlink r:id="rId154">
              <w:r>
                <w:rPr>
                  <w:rStyle w:val="Hyperlink"/>
                </w:rPr>
                <w:t xml:space="preserve">https://www.anam.gob.mx/</w:t>
              </w:r>
            </w:hyperlink>
            <w:r>
              <w:t xml:space="preserve"> </w:t>
            </w:r>
            <w:r>
              <w:t xml:space="preserve">; single-window updates</w:t>
            </w:r>
          </w:p>
        </w:tc>
        <w:tc>
          <w:tcPr>
            <w:tcW w:w="2191" w:type="dxa"/>
          </w:tcPr>
          <w:p>
            <w:pPr>
              <w:pStyle w:val="Compact"/>
              <w:jc w:val="left"/>
            </w:pPr>
            <w:r>
              <w:t xml:space="preserve">How the pedimento must be filed</w:t>
            </w:r>
          </w:p>
        </w:tc>
        <w:tc>
          <w:tcPr>
            <w:tcW w:w="2764" w:type="dxa"/>
          </w:tcPr>
          <w:p>
            <w:pPr>
              <w:pStyle w:val="Compact"/>
              <w:jc w:val="left"/>
            </w:pPr>
            <w:r>
              <w:t xml:space="preserve">Validation changes can lag the legal date. SAT often announces new dates in an advance version of an RGCE resolution before the DOF text</w:t>
            </w:r>
          </w:p>
        </w:tc>
      </w:tr>
      <w:tr>
        <w:tc>
          <w:tcPr>
            <w:tcW w:w="880" w:type="dxa"/>
          </w:tcPr>
          <w:p>
            <w:pPr>
              <w:pStyle w:val="Compact"/>
              <w:jc w:val="left"/>
            </w:pPr>
            <w:r>
              <w:t xml:space="preserve">4 Agente aduanal circulars</w:t>
            </w:r>
          </w:p>
        </w:tc>
        <w:tc>
          <w:tcPr>
            <w:tcW w:w="3523" w:type="dxa"/>
          </w:tcPr>
          <w:p>
            <w:pPr>
              <w:pStyle w:val="Compact"/>
              <w:jc w:val="left"/>
            </w:pPr>
            <w:r>
              <w:t xml:space="preserve">[COMPANY: agente aduanal contact], received through the Senior</w:t>
            </w:r>
          </w:p>
        </w:tc>
        <w:tc>
          <w:tcPr>
            <w:tcW w:w="2191" w:type="dxa"/>
          </w:tcPr>
          <w:p>
            <w:pPr>
              <w:pStyle w:val="Compact"/>
              <w:jc w:val="left"/>
            </w:pPr>
            <w:r>
              <w:t xml:space="preserve">Practical application, often the fastest interpretation</w:t>
            </w:r>
          </w:p>
        </w:tc>
        <w:tc>
          <w:tcPr>
            <w:tcW w:w="2764" w:type="dxa"/>
          </w:tcPr>
          <w:p>
            <w:pPr>
              <w:pStyle w:val="Compact"/>
              <w:jc w:val="left"/>
            </w:pPr>
            <w:r>
              <w:t xml:space="preserve">A lead to confirm, not the source</w:t>
            </w:r>
          </w:p>
        </w:tc>
      </w:tr>
      <w:tr>
        <w:tc>
          <w:tcPr>
            <w:tcW w:w="880" w:type="dxa"/>
          </w:tcPr>
          <w:p>
            <w:pPr>
              <w:pStyle w:val="Compact"/>
              <w:jc w:val="left"/>
            </w:pPr>
            <w:r>
              <w:t xml:space="preserve">5 RGCE</w:t>
            </w:r>
          </w:p>
        </w:tc>
        <w:tc>
          <w:tcPr>
            <w:tcW w:w="3523" w:type="dxa"/>
          </w:tcPr>
          <w:p>
            <w:pPr>
              <w:pStyle w:val="Compact"/>
              <w:jc w:val="left"/>
            </w:pPr>
            <w:r>
              <w:t xml:space="preserve">Published by SAT in the DOF each year (the 2026 RGCE on 2025-12-27), with resolutions of amendments during the year</w:t>
            </w:r>
          </w:p>
        </w:tc>
        <w:tc>
          <w:tcPr>
            <w:tcW w:w="2191" w:type="dxa"/>
          </w:tcPr>
          <w:p>
            <w:pPr>
              <w:pStyle w:val="Compact"/>
              <w:jc w:val="left"/>
            </w:pPr>
            <w:r>
              <w:t xml:space="preserve">Procedures and annexes (for example Anexo 22, pedimento instructions)</w:t>
            </w:r>
          </w:p>
        </w:tc>
        <w:tc>
          <w:tcPr>
            <w:tcW w:w="2764" w:type="dxa"/>
          </w:tcPr>
          <w:p>
            <w:pPr>
              <w:pStyle w:val="Compact"/>
              <w:jc w:val="left"/>
            </w:pPr>
            <w:r>
              <w:t xml:space="preserve">Annex numbering changes between years</w:t>
            </w:r>
          </w:p>
        </w:tc>
      </w:tr>
      <w:tr>
        <w:tc>
          <w:tcPr>
            <w:tcW w:w="880" w:type="dxa"/>
          </w:tcPr>
          <w:p>
            <w:pPr>
              <w:pStyle w:val="Compact"/>
              <w:jc w:val="left"/>
            </w:pPr>
            <w:r>
              <w:t xml:space="preserve">6 Change lists</w:t>
            </w:r>
          </w:p>
        </w:tc>
        <w:tc>
          <w:tcPr>
            <w:tcW w:w="3523" w:type="dxa"/>
          </w:tcPr>
          <w:p>
            <w:pPr>
              <w:pStyle w:val="Compact"/>
              <w:jc w:val="left"/>
            </w:pPr>
            <w:r>
              <w:t xml:space="preserve">SNICE list of TIGIE changes by year,</w:t>
            </w:r>
            <w:r>
              <w:t xml:space="preserve"> </w:t>
            </w:r>
            <w:hyperlink r:id="rId119">
              <w:r>
                <w:rPr>
                  <w:rStyle w:val="Hyperlink"/>
                </w:rPr>
                <w:t xml:space="preserve">https://www.snice.gob.mx/cs/avi/snice/ligie.info22.mod26.html</w:t>
              </w:r>
            </w:hyperlink>
          </w:p>
        </w:tc>
        <w:tc>
          <w:tcPr>
            <w:tcW w:w="2191" w:type="dxa"/>
          </w:tcPr>
          <w:p>
            <w:pPr>
              <w:pStyle w:val="Compact"/>
              <w:jc w:val="left"/>
            </w:pPr>
            <w:r>
              <w:t xml:space="preserve">Each tariff decree in one place, with dates</w:t>
            </w:r>
          </w:p>
        </w:tc>
        <w:tc>
          <w:tcPr>
            <w:tcW w:w="2764" w:type="dxa"/>
          </w:tcPr>
          <w:p>
            <w:pPr>
              <w:pStyle w:val="Compact"/>
              <w:jc w:val="left"/>
            </w:pPr>
            <w:r>
              <w:t xml:space="preserve">A summary: open the DOF decree it links to</w:t>
            </w:r>
          </w:p>
        </w:tc>
      </w:tr>
    </w:tbl>
    <w:p>
      <w:pPr>
        <w:pStyle w:val="BodyText"/>
      </w:pPr>
      <w:r>
        <w:t xml:space="preserve">Mexican tariff lines are fracciones of 8 digits plus a 2-digit NICO. Which date fixes the rate on a pedimento is set by Ley Aduanera article 56 (generally the arrival date); confirm with the agente aduanal through the Senior.</w:t>
      </w:r>
    </w:p>
    <w:bookmarkEnd w:id="155"/>
    <w:bookmarkEnd w:id="156"/>
    <w:bookmarkStart w:id="157" w:name="X73d2afad06441adc5fe420aebd65835fa244459"/>
    <w:p>
      <w:pPr>
        <w:pStyle w:val="Heading3"/>
      </w:pPr>
      <w:r>
        <w:t xml:space="preserve">2.3 How a US action shows up on an entry</w:t>
      </w:r>
    </w:p>
    <w:p>
      <w:pPr>
        <w:numPr>
          <w:ilvl w:val="0"/>
          <w:numId w:val="1009"/>
        </w:numPr>
        <w:pStyle w:val="Compact"/>
      </w:pPr>
      <w:r>
        <w:t xml:space="preserve">HTSUS Chapter 99 holds temporary modifications. Subchapter III (headings 9903) holds the additional duties under trade laws such as Sections 232, 301, 201, 122 and 338. Subchapter II (9902) holds temporary duty reductions, which are a different thing.</w:t>
      </w:r>
    </w:p>
    <w:p>
      <w:pPr>
        <w:numPr>
          <w:ilvl w:val="0"/>
          <w:numId w:val="1009"/>
        </w:numPr>
        <w:pStyle w:val="Compact"/>
      </w:pPr>
      <w:r>
        <w:t xml:space="preserve">A Chapter 99 number is reported</w:t>
      </w:r>
      <w:r>
        <w:t xml:space="preserve"> </w:t>
      </w:r>
      <w:r>
        <w:rPr>
          <w:bCs/>
          <w:b/>
        </w:rPr>
        <w:t xml:space="preserve">in addition to</w:t>
      </w:r>
      <w:r>
        <w:t xml:space="preserve"> </w:t>
      </w:r>
      <w:r>
        <w:t xml:space="preserve">the Chapter 1 to 97 classification, never instead of it. It tells CBP which action applies (or which exemption or exclusion is claimed) and therefore which extra rate to charge. CBP's order-of-reporting page gives the sequence (US-8).</w:t>
      </w:r>
    </w:p>
    <w:p>
      <w:pPr>
        <w:numPr>
          <w:ilvl w:val="0"/>
          <w:numId w:val="1009"/>
        </w:numPr>
        <w:pStyle w:val="Compact"/>
      </w:pPr>
      <w:r>
        <w:t xml:space="preserve">Some Chapter 99 numbers mean "not subject" or "0%" (for example 9903.05.93 for Canadian goods entered free of duty under USMCA, 9903.74.06 for the US content of an approved truck, or an excluded product). Reporting them is how the exemption is claimed.</w:t>
      </w:r>
    </w:p>
    <w:p>
      <w:pPr>
        <w:numPr>
          <w:ilvl w:val="0"/>
          <w:numId w:val="1009"/>
        </w:numPr>
        <w:pStyle w:val="Compact"/>
      </w:pPr>
      <w:r>
        <w:t xml:space="preserve">Examples to recognise in entry data (always check the current HTSUS): 9903.80, 9903.81 and 9903.85 for steel and aluminum before 2026-04-06, and 9903.82 headings for the metals regime from 2026-04-06; 9903.88 for Section 301 on China; 9903.94 for autos and auto parts; 9903.74 for medium and heavy trucks; 9903.76 for timber and wood products; 9903.03 for Section 122 (ended 2026-07-24) and Section 338 on Canada; 9903.05 for Section 301 on Brazil and the forced-labor duties. Confidence: Reported.</w:t>
      </w:r>
    </w:p>
    <w:bookmarkEnd w:id="157"/>
    <w:bookmarkStart w:id="163" w:name="Xc6c3db459662495da1929345246ee77d1f15048"/>
    <w:p>
      <w:pPr>
        <w:pStyle w:val="Heading3"/>
      </w:pPr>
      <w:r>
        <w:t xml:space="preserve">2.4 Monitoring routine</w:t>
      </w:r>
    </w:p>
    <w:bookmarkStart w:id="159" w:name="set-it-up-once-w2-fri-1030-1430-1600"/>
    <w:p>
      <w:pPr>
        <w:pStyle w:val="Heading4"/>
      </w:pPr>
      <w:r>
        <w:t xml:space="preserve">Set it up once (W2 Fri 10/30, 14:30-16:00)</w:t>
      </w:r>
    </w:p>
    <w:p>
      <w:pPr>
        <w:numPr>
          <w:ilvl w:val="0"/>
          <w:numId w:val="1010"/>
        </w:numPr>
        <w:pStyle w:val="Compact"/>
      </w:pPr>
      <w:r>
        <w:t xml:space="preserve">☐ CBP CSMS: subscribe to CSMS messages through the subscription link on</w:t>
      </w:r>
      <w:r>
        <w:t xml:space="preserve"> </w:t>
      </w:r>
      <w:hyperlink r:id="rId143">
        <w:r>
          <w:rPr>
            <w:rStyle w:val="Hyperlink"/>
          </w:rPr>
          <w:t xml:space="preserve">https://www.cbp.gov/trade/automated/cargo-systems-messaging-service</w:t>
        </w:r>
      </w:hyperlink>
      <w:r>
        <w:t xml:space="preserve"> </w:t>
      </w:r>
      <w:r>
        <w:t xml:space="preserve">. Make an email folder and a rule that files them.</w:t>
      </w:r>
    </w:p>
    <w:p>
      <w:pPr>
        <w:numPr>
          <w:ilvl w:val="0"/>
          <w:numId w:val="1010"/>
        </w:numPr>
        <w:pStyle w:val="Compact"/>
      </w:pPr>
      <w:r>
        <w:t xml:space="preserve">☐ Federal Register: create an account on</w:t>
      </w:r>
      <w:r>
        <w:t xml:space="preserve"> </w:t>
      </w:r>
      <w:hyperlink r:id="rId142">
        <w:r>
          <w:rPr>
            <w:rStyle w:val="Hyperlink"/>
          </w:rPr>
          <w:t xml:space="preserve">https://www.federalregister.gov/</w:t>
        </w:r>
      </w:hyperlink>
      <w:r>
        <w:t xml:space="preserve"> </w:t>
      </w:r>
      <w:r>
        <w:t xml:space="preserve">and save searches with email alerts for: presidential documents (proclamations, executive orders and memoranda); Office of the United States Trade Representative; U.S. Customs and Border Protection with the terms "Chapter 99" or "9903"; Industry and Security Bureau and International Trade Administration with "Section 232"; antidumping and countervailing notices for our product keywords ([COMPANY: product keywords]).</w:t>
      </w:r>
    </w:p>
    <w:p>
      <w:pPr>
        <w:numPr>
          <w:ilvl w:val="0"/>
          <w:numId w:val="1010"/>
        </w:numPr>
        <w:pStyle w:val="Compact"/>
      </w:pPr>
      <w:r>
        <w:t xml:space="preserve">☐ Bookmark</w:t>
      </w:r>
      <w:r>
        <w:t xml:space="preserve"> </w:t>
      </w:r>
      <w:hyperlink r:id="rId141">
        <w:r>
          <w:rPr>
            <w:rStyle w:val="Hyperlink"/>
          </w:rPr>
          <w:t xml:space="preserve">https://www.federalregister.gov/public-inspection/current</w:t>
        </w:r>
      </w:hyperlink>
      <w:r>
        <w:t xml:space="preserve"> </w:t>
      </w:r>
      <w:r>
        <w:t xml:space="preserve">,</w:t>
      </w:r>
      <w:r>
        <w:t xml:space="preserve"> </w:t>
      </w:r>
      <w:hyperlink r:id="rId140">
        <w:r>
          <w:rPr>
            <w:rStyle w:val="Hyperlink"/>
          </w:rPr>
          <w:t xml:space="preserve">https://www.whitehouse.gov/presidential-actions/</w:t>
        </w:r>
      </w:hyperlink>
      <w:r>
        <w:t xml:space="preserve"> </w:t>
      </w:r>
      <w:r>
        <w:t xml:space="preserve">, the CBP IEEPA refunds page (US-1) and CBP's order-of-reporting page (US-8).</w:t>
      </w:r>
    </w:p>
    <w:p>
      <w:pPr>
        <w:numPr>
          <w:ilvl w:val="0"/>
          <w:numId w:val="1010"/>
        </w:numPr>
        <w:pStyle w:val="Compact"/>
      </w:pPr>
      <w:r>
        <w:t xml:space="preserve">☐ USTR: sign up for press release emails on</w:t>
      </w:r>
      <w:r>
        <w:t xml:space="preserve"> </w:t>
      </w:r>
      <w:hyperlink r:id="rId158">
        <w:r>
          <w:rPr>
            <w:rStyle w:val="Hyperlink"/>
          </w:rPr>
          <w:t xml:space="preserve">https://ustr.gov/</w:t>
        </w:r>
      </w:hyperlink>
      <w:r>
        <w:t xml:space="preserve"> </w:t>
      </w:r>
      <w:r>
        <w:t xml:space="preserve">.</w:t>
      </w:r>
    </w:p>
    <w:p>
      <w:pPr>
        <w:numPr>
          <w:ilvl w:val="0"/>
          <w:numId w:val="1010"/>
        </w:numPr>
        <w:pStyle w:val="Compact"/>
      </w:pPr>
      <w:r>
        <w:t xml:space="preserve">☐ Canada: subscribe to Department of Finance news and to Canada Gazette notifications (canada.ca and gazette.gc.ca offer email or RSS; verify the current options). Bookmark CBSA Customs Notices, the Finance Canada complete list of counter-tariff goods and the CARM Client Portal bulletins.</w:t>
      </w:r>
    </w:p>
    <w:p>
      <w:pPr>
        <w:numPr>
          <w:ilvl w:val="0"/>
          <w:numId w:val="1010"/>
        </w:numPr>
        <w:pStyle w:val="Compact"/>
      </w:pPr>
      <w:r>
        <w:t xml:space="preserve">☐ Mexico: bookmark</w:t>
      </w:r>
      <w:r>
        <w:t xml:space="preserve"> </w:t>
      </w:r>
      <w:hyperlink r:id="rId122">
        <w:r>
          <w:rPr>
            <w:rStyle w:val="Hyperlink"/>
          </w:rPr>
          <w:t xml:space="preserve">https://www.dof.gob.mx/</w:t>
        </w:r>
      </w:hyperlink>
      <w:r>
        <w:t xml:space="preserve"> </w:t>
      </w:r>
      <w:r>
        <w:t xml:space="preserve">and the SNICE TIGIE change list, and subscribe to the DOF daily summary by email if the service is offered (verify).</w:t>
      </w:r>
    </w:p>
    <w:p>
      <w:pPr>
        <w:numPr>
          <w:ilvl w:val="0"/>
          <w:numId w:val="1010"/>
        </w:numPr>
        <w:pStyle w:val="Compact"/>
      </w:pPr>
      <w:r>
        <w:t xml:space="preserve">☐ Ask the Senior to have each broker and the agente aduanal add you to their client bulletins ([COMPANY: broker contacts per country]). Before your day-60 review you do not contact them yourself.</w:t>
      </w:r>
    </w:p>
    <w:p>
      <w:pPr>
        <w:numPr>
          <w:ilvl w:val="0"/>
          <w:numId w:val="1010"/>
        </w:numPr>
        <w:pStyle w:val="Compact"/>
      </w:pPr>
      <w:r>
        <w:t xml:space="preserve">☐ Create the research log (columns below) in [COMPANY: research log location] and a Jira filter for research items.</w:t>
      </w:r>
    </w:p>
    <w:bookmarkEnd w:id="159"/>
    <w:bookmarkStart w:id="160" w:name="X7b28babec6b87c73fb310b3286131d1599c0b35"/>
    <w:p>
      <w:pPr>
        <w:pStyle w:val="Heading4"/>
      </w:pPr>
      <w:r>
        <w:t xml:space="preserve">Daily, 15 minutes (fixed time, for example 08:30 after Anki)</w:t>
      </w:r>
    </w:p>
    <w:tbl>
      <w:tblPr>
        <w:tblStyle w:val="Table"/>
        <w:tblW w:type="dxa" w:w="9360"/>
        <w:tblLook w:firstRow="1" w:lastRow="0" w:firstColumn="0" w:lastColumn="0" w:noHBand="0" w:noVBand="0" w:val="0020"/>
        <w:jc w:val="start"/>
        <w:tblLayout w:type="fixed"/>
      </w:tblPr>
      <w:tblGrid>
        <w:gridCol w:w="853"/>
        <w:gridCol w:w="3143"/>
        <w:gridCol w:w="3543"/>
        <w:gridCol w:w="1820"/>
      </w:tblGrid>
      <w:tr>
        <w:trPr>
          <w:tblHeader w:val="true"/>
        </w:trPr>
        <w:tc>
          <w:tcPr>
            <w:tcW w:w="853" w:type="dxa"/>
          </w:tcPr>
          <w:p>
            <w:pPr>
              <w:pStyle w:val="Compact"/>
              <w:jc w:val="left"/>
            </w:pPr>
            <w:r>
              <w:t xml:space="preserve">Minutes</w:t>
            </w:r>
          </w:p>
        </w:tc>
        <w:tc>
          <w:tcPr>
            <w:tcW w:w="3143" w:type="dxa"/>
          </w:tcPr>
          <w:p>
            <w:pPr>
              <w:pStyle w:val="Compact"/>
              <w:jc w:val="left"/>
            </w:pPr>
            <w:r>
              <w:t xml:space="preserve">Check</w:t>
            </w:r>
          </w:p>
        </w:tc>
        <w:tc>
          <w:tcPr>
            <w:tcW w:w="3543" w:type="dxa"/>
          </w:tcPr>
          <w:p>
            <w:pPr>
              <w:pStyle w:val="Compact"/>
              <w:jc w:val="left"/>
            </w:pPr>
            <w:r>
              <w:t xml:space="preserve">Look for</w:t>
            </w:r>
          </w:p>
        </w:tc>
        <w:tc>
          <w:tcPr>
            <w:tcW w:w="1820" w:type="dxa"/>
          </w:tcPr>
          <w:p>
            <w:pPr>
              <w:pStyle w:val="Compact"/>
              <w:jc w:val="left"/>
            </w:pPr>
            <w:r>
              <w:t xml:space="preserve">If relevant</w:t>
            </w:r>
          </w:p>
        </w:tc>
      </w:tr>
      <w:tr>
        <w:tc>
          <w:tcPr>
            <w:tcW w:w="853" w:type="dxa"/>
          </w:tcPr>
          <w:p>
            <w:pPr>
              <w:pStyle w:val="Compact"/>
              <w:jc w:val="left"/>
            </w:pPr>
            <w:r>
              <w:t xml:space="preserve">0 to 4</w:t>
            </w:r>
          </w:p>
        </w:tc>
        <w:tc>
          <w:tcPr>
            <w:tcW w:w="3143" w:type="dxa"/>
          </w:tcPr>
          <w:p>
            <w:pPr>
              <w:pStyle w:val="Compact"/>
              <w:jc w:val="left"/>
            </w:pPr>
            <w:r>
              <w:t xml:space="preserve">CSMS folder since yesterday</w:t>
            </w:r>
          </w:p>
        </w:tc>
        <w:tc>
          <w:tcPr>
            <w:tcW w:w="3543" w:type="dxa"/>
          </w:tcPr>
          <w:p>
            <w:pPr>
              <w:pStyle w:val="Compact"/>
              <w:jc w:val="left"/>
            </w:pPr>
            <w:r>
              <w:t xml:space="preserve">Guidance on Sections 232, 301, 338 and 201, Chapter 99, de minimis, AD/CVD, drawback validations, ACE filing changes, CAPE refunds</w:t>
            </w:r>
          </w:p>
        </w:tc>
        <w:tc>
          <w:tcPr>
            <w:tcW w:w="1820" w:type="dxa"/>
          </w:tcPr>
          <w:p>
            <w:pPr>
              <w:pStyle w:val="Compact"/>
              <w:jc w:val="left"/>
            </w:pPr>
            <w:r>
              <w:t xml:space="preserve">Log it; open the instrument it implements</w:t>
            </w:r>
          </w:p>
        </w:tc>
      </w:tr>
      <w:tr>
        <w:tc>
          <w:tcPr>
            <w:tcW w:w="853" w:type="dxa"/>
          </w:tcPr>
          <w:p>
            <w:pPr>
              <w:pStyle w:val="Compact"/>
              <w:jc w:val="left"/>
            </w:pPr>
            <w:r>
              <w:t xml:space="preserve">4 to 8</w:t>
            </w:r>
          </w:p>
        </w:tc>
        <w:tc>
          <w:tcPr>
            <w:tcW w:w="3143" w:type="dxa"/>
          </w:tcPr>
          <w:p>
            <w:pPr>
              <w:pStyle w:val="Compact"/>
              <w:jc w:val="left"/>
            </w:pPr>
            <w:r>
              <w:t xml:space="preserve">Federal Register alerts and public inspection; White House presidential actions</w:t>
            </w:r>
          </w:p>
        </w:tc>
        <w:tc>
          <w:tcPr>
            <w:tcW w:w="3543" w:type="dxa"/>
          </w:tcPr>
          <w:p>
            <w:pPr>
              <w:pStyle w:val="Compact"/>
              <w:jc w:val="left"/>
            </w:pPr>
            <w:r>
              <w:t xml:space="preserve">Proclamations, executive orders, memoranda, USTR, CBP, Commerce notices</w:t>
            </w:r>
          </w:p>
        </w:tc>
        <w:tc>
          <w:tcPr>
            <w:tcW w:w="1820" w:type="dxa"/>
          </w:tcPr>
          <w:p>
            <w:pPr>
              <w:pStyle w:val="Compact"/>
              <w:jc w:val="left"/>
            </w:pPr>
            <w:r>
              <w:t xml:space="preserve">Log it; if it may touch our items, start the 60-minute first pass</w:t>
            </w:r>
          </w:p>
        </w:tc>
      </w:tr>
      <w:tr>
        <w:tc>
          <w:tcPr>
            <w:tcW w:w="853" w:type="dxa"/>
          </w:tcPr>
          <w:p>
            <w:pPr>
              <w:pStyle w:val="Compact"/>
              <w:jc w:val="left"/>
            </w:pPr>
            <w:r>
              <w:t xml:space="preserve">8 to 10</w:t>
            </w:r>
          </w:p>
        </w:tc>
        <w:tc>
          <w:tcPr>
            <w:tcW w:w="3143" w:type="dxa"/>
          </w:tcPr>
          <w:p>
            <w:pPr>
              <w:pStyle w:val="Compact"/>
              <w:jc w:val="left"/>
            </w:pPr>
            <w:r>
              <w:t xml:space="preserve">USTR and Commerce press releases</w:t>
            </w:r>
          </w:p>
        </w:tc>
        <w:tc>
          <w:tcPr>
            <w:tcW w:w="3543" w:type="dxa"/>
          </w:tcPr>
          <w:p>
            <w:pPr>
              <w:pStyle w:val="Compact"/>
              <w:jc w:val="left"/>
            </w:pPr>
            <w:r>
              <w:t xml:space="preserve">Investigations, determinations, exclusion and inclusion decisions</w:t>
            </w:r>
          </w:p>
        </w:tc>
        <w:tc>
          <w:tcPr>
            <w:tcW w:w="1820" w:type="dxa"/>
          </w:tcPr>
          <w:p>
            <w:pPr>
              <w:pStyle w:val="Compact"/>
              <w:jc w:val="left"/>
            </w:pPr>
            <w:r>
              <w:t xml:space="preserve">Log it</w:t>
            </w:r>
          </w:p>
        </w:tc>
      </w:tr>
      <w:tr>
        <w:tc>
          <w:tcPr>
            <w:tcW w:w="853" w:type="dxa"/>
          </w:tcPr>
          <w:p>
            <w:pPr>
              <w:pStyle w:val="Compact"/>
              <w:jc w:val="left"/>
            </w:pPr>
            <w:r>
              <w:t xml:space="preserve">10 to 12</w:t>
            </w:r>
          </w:p>
        </w:tc>
        <w:tc>
          <w:tcPr>
            <w:tcW w:w="3143" w:type="dxa"/>
          </w:tcPr>
          <w:p>
            <w:pPr>
              <w:pStyle w:val="Compact"/>
              <w:jc w:val="left"/>
            </w:pPr>
            <w:r>
              <w:t xml:space="preserve">Finance Canada news; CBSA Customs Notices</w:t>
            </w:r>
          </w:p>
        </w:tc>
        <w:tc>
          <w:tcPr>
            <w:tcW w:w="3543" w:type="dxa"/>
          </w:tcPr>
          <w:p>
            <w:pPr>
              <w:pStyle w:val="Compact"/>
              <w:jc w:val="left"/>
            </w:pPr>
            <w:r>
              <w:t xml:space="preserve">Surtaxes, remission, steel quotas, CARM changes</w:t>
            </w:r>
          </w:p>
        </w:tc>
        <w:tc>
          <w:tcPr>
            <w:tcW w:w="1820" w:type="dxa"/>
          </w:tcPr>
          <w:p>
            <w:pPr>
              <w:pStyle w:val="Compact"/>
              <w:jc w:val="left"/>
            </w:pPr>
            <w:r>
              <w:t xml:space="preserve">Log it</w:t>
            </w:r>
          </w:p>
        </w:tc>
      </w:tr>
      <w:tr>
        <w:tc>
          <w:tcPr>
            <w:tcW w:w="853" w:type="dxa"/>
          </w:tcPr>
          <w:p>
            <w:pPr>
              <w:pStyle w:val="Compact"/>
              <w:jc w:val="left"/>
            </w:pPr>
            <w:r>
              <w:t xml:space="preserve">12 to 14</w:t>
            </w:r>
          </w:p>
        </w:tc>
        <w:tc>
          <w:tcPr>
            <w:tcW w:w="3143" w:type="dxa"/>
          </w:tcPr>
          <w:p>
            <w:pPr>
              <w:pStyle w:val="Compact"/>
              <w:jc w:val="left"/>
            </w:pPr>
            <w:r>
              <w:t xml:space="preserve">DOF (this morning's edition and yesterday's evening edition): Secretaría de Economía, SHCP, SAT entries; agente aduanal circulars</w:t>
            </w:r>
          </w:p>
        </w:tc>
        <w:tc>
          <w:tcPr>
            <w:tcW w:w="3543" w:type="dxa"/>
          </w:tcPr>
          <w:p>
            <w:pPr>
              <w:pStyle w:val="Compact"/>
              <w:jc w:val="left"/>
            </w:pPr>
            <w:r>
              <w:t xml:space="preserve">Decretos on the TIGIE, acuerdos and avisos on IMMEX or PROSEC, RGCE changes</w:t>
            </w:r>
          </w:p>
        </w:tc>
        <w:tc>
          <w:tcPr>
            <w:tcW w:w="1820" w:type="dxa"/>
          </w:tcPr>
          <w:p>
            <w:pPr>
              <w:pStyle w:val="Compact"/>
              <w:jc w:val="left"/>
            </w:pPr>
            <w:r>
              <w:t xml:space="preserve">Log it</w:t>
            </w:r>
          </w:p>
        </w:tc>
      </w:tr>
      <w:tr>
        <w:tc>
          <w:tcPr>
            <w:tcW w:w="853" w:type="dxa"/>
          </w:tcPr>
          <w:p>
            <w:pPr>
              <w:pStyle w:val="Compact"/>
              <w:jc w:val="left"/>
            </w:pPr>
            <w:r>
              <w:t xml:space="preserve">14 to 15</w:t>
            </w:r>
          </w:p>
        </w:tc>
        <w:tc>
          <w:tcPr>
            <w:tcW w:w="3143" w:type="dxa"/>
          </w:tcPr>
          <w:p>
            <w:pPr>
              <w:pStyle w:val="Compact"/>
              <w:jc w:val="left"/>
            </w:pPr>
            <w:r>
              <w:t xml:space="preserve">Research log</w:t>
            </w:r>
          </w:p>
        </w:tc>
        <w:tc>
          <w:tcPr>
            <w:tcW w:w="3543" w:type="dxa"/>
          </w:tcPr>
          <w:p>
            <w:pPr>
              <w:pStyle w:val="Compact"/>
              <w:jc w:val="left"/>
            </w:pPr>
            <w:r>
              <w:t xml:space="preserve">One line per item</w:t>
            </w:r>
          </w:p>
        </w:tc>
        <w:tc>
          <w:tcPr>
            <w:tcW w:w="1820" w:type="dxa"/>
          </w:tcPr>
          <w:p>
            <w:pPr>
              <w:pStyle w:val="Compact"/>
              <w:jc w:val="left"/>
            </w:pPr>
            <w:r>
              <w:t xml:space="preserve">Escalate (below)</w:t>
            </w:r>
          </w:p>
        </w:tc>
      </w:tr>
    </w:tbl>
    <w:p>
      <w:pPr>
        <w:pStyle w:val="BodyText"/>
      </w:pPr>
      <w:r>
        <w:rPr>
          <w:bCs/>
          <w:b/>
        </w:rPr>
        <w:t xml:space="preserve">Escalation:</w:t>
      </w:r>
      <w:r>
        <w:t xml:space="preserve"> </w:t>
      </w:r>
      <w:r>
        <w:t xml:space="preserve">if an item may affect our items (Yes or "?") and takes effect within 15 business days, message the Manager and the Senior the same day with the effective date and your first candidate count. The urgency rule in</w:t>
      </w:r>
      <w:r>
        <w:t xml:space="preserve"> </w:t>
      </w:r>
      <w:r>
        <w:rPr>
          <w:rStyle w:val="VerbatimChar"/>
        </w:rPr>
        <w:t xml:space="preserve">docs/01-30-60-90-plan.md</w:t>
      </w:r>
      <w:r>
        <w:t xml:space="preserve"> </w:t>
      </w:r>
      <w:r>
        <w:t xml:space="preserve">("Live tariff actions during training") decides who is maker: fewer than 5 business days, a trainer is maker and you shadow and draft a parallel practice brief that is reviewed afterwards; 5 to 15 business days, you are maker and the checker reviews your draft on the same business day you submit it (the time comes from the trainer's buffer or review time); more than 15, the normal process.</w:t>
      </w:r>
    </w:p>
    <w:bookmarkEnd w:id="160"/>
    <w:bookmarkStart w:id="161" w:name="X19ec63e09d79af457cf803a28b87494b2470c9e"/>
    <w:p>
      <w:pPr>
        <w:pStyle w:val="Heading4"/>
      </w:pPr>
      <w:r>
        <w:t xml:space="preserve">Weekly, Friday, 45 minutes (from W5; when Friday is not a working day, the last working day of that week)</w:t>
      </w:r>
    </w:p>
    <w:p>
      <w:pPr>
        <w:numPr>
          <w:ilvl w:val="0"/>
          <w:numId w:val="1011"/>
        </w:numPr>
        <w:pStyle w:val="Compact"/>
      </w:pPr>
      <w:r>
        <w:t xml:space="preserve">☐ HTSUS: is there a new revision? Read its change record for Chapter 99 changes (10 min).</w:t>
      </w:r>
    </w:p>
    <w:p>
      <w:pPr>
        <w:numPr>
          <w:ilvl w:val="0"/>
          <w:numId w:val="1011"/>
        </w:numPr>
        <w:pStyle w:val="Compact"/>
      </w:pPr>
      <w:r>
        <w:t xml:space="preserve">☐ Canada Gazette Part II (every second Wednesday) for Customs Tariff orders; Part I for proposals (5 min).</w:t>
      </w:r>
    </w:p>
    <w:p>
      <w:pPr>
        <w:numPr>
          <w:ilvl w:val="0"/>
          <w:numId w:val="1011"/>
        </w:numPr>
        <w:pStyle w:val="Compact"/>
      </w:pPr>
      <w:r>
        <w:t xml:space="preserve">☐ USTR Section 301 and Commerce Section 232 pages: open investigations, comment deadlines, exclusion expiries, inclusion windows (10 min).</w:t>
      </w:r>
    </w:p>
    <w:p>
      <w:pPr>
        <w:numPr>
          <w:ilvl w:val="0"/>
          <w:numId w:val="1011"/>
        </w:numPr>
        <w:pStyle w:val="Compact"/>
      </w:pPr>
      <w:r>
        <w:t xml:space="preserve">☐ Court of International Trade and Federal Circuit: active tariff cases we follow (Section 122, IEEPA refunds) (5 min).</w:t>
      </w:r>
    </w:p>
    <w:p>
      <w:pPr>
        <w:numPr>
          <w:ilvl w:val="0"/>
          <w:numId w:val="1011"/>
        </w:numPr>
        <w:pStyle w:val="Compact"/>
      </w:pPr>
      <w:r>
        <w:t xml:space="preserve">☐ Update Part 1 of this document, "What changed most recently", the dates-to-watch table and the maintenance log (10 min).</w:t>
      </w:r>
    </w:p>
    <w:p>
      <w:pPr>
        <w:numPr>
          <w:ilvl w:val="0"/>
          <w:numId w:val="1011"/>
        </w:numPr>
        <w:pStyle w:val="Compact"/>
      </w:pPr>
      <w:r>
        <w:t xml:space="preserve">☐ Friday self-report: new actions, status changes, coming dates (5 min).</w:t>
      </w:r>
    </w:p>
    <w:bookmarkEnd w:id="161"/>
    <w:bookmarkStart w:id="162" w:name="research-log-columns"/>
    <w:p>
      <w:pPr>
        <w:pStyle w:val="Heading4"/>
      </w:pPr>
      <w:r>
        <w:t xml:space="preserve">Research log columns</w:t>
      </w:r>
    </w:p>
    <w:tbl>
      <w:tblPr>
        <w:tblStyle w:val="Table"/>
        <w:tblW w:type="dxa" w:w="9360"/>
        <w:tblLook w:firstRow="1" w:lastRow="0" w:firstColumn="0" w:lastColumn="0" w:noHBand="0" w:noVBand="0" w:val="0020"/>
        <w:jc w:val="start"/>
        <w:tblLayout w:type="fixed"/>
      </w:tblPr>
      <w:tblGrid>
        <w:gridCol w:w="882"/>
        <w:gridCol w:w="2900"/>
        <w:gridCol w:w="1417"/>
        <w:gridCol w:w="1716"/>
        <w:gridCol w:w="1559"/>
        <w:gridCol w:w="882"/>
      </w:tblGrid>
      <w:tr>
        <w:trPr>
          <w:tblHeader w:val="true"/>
        </w:trPr>
        <w:tc>
          <w:tcPr>
            <w:tcW w:w="882" w:type="dxa"/>
          </w:tcPr>
          <w:p>
            <w:pPr>
              <w:pStyle w:val="Compact"/>
              <w:jc w:val="left"/>
            </w:pPr>
            <w:r>
              <w:t xml:space="preserve">Date found</w:t>
            </w:r>
          </w:p>
        </w:tc>
        <w:tc>
          <w:tcPr>
            <w:tcW w:w="2900" w:type="dxa"/>
          </w:tcPr>
          <w:p>
            <w:pPr>
              <w:pStyle w:val="Compact"/>
              <w:jc w:val="left"/>
            </w:pPr>
            <w:r>
              <w:t xml:space="preserve">Source and link</w:t>
            </w:r>
          </w:p>
        </w:tc>
        <w:tc>
          <w:tcPr>
            <w:tcW w:w="1417" w:type="dxa"/>
          </w:tcPr>
          <w:p>
            <w:pPr>
              <w:pStyle w:val="Compact"/>
              <w:jc w:val="left"/>
            </w:pPr>
            <w:r>
              <w:t xml:space="preserve">What it is (one line)</w:t>
            </w:r>
          </w:p>
        </w:tc>
        <w:tc>
          <w:tcPr>
            <w:tcW w:w="1716" w:type="dxa"/>
          </w:tcPr>
          <w:p>
            <w:pPr>
              <w:pStyle w:val="Compact"/>
              <w:jc w:val="left"/>
            </w:pPr>
            <w:r>
              <w:t xml:space="preserve">Countries and HTS touched</w:t>
            </w:r>
          </w:p>
        </w:tc>
        <w:tc>
          <w:tcPr>
            <w:tcW w:w="1559" w:type="dxa"/>
          </w:tcPr>
          <w:p>
            <w:pPr>
              <w:pStyle w:val="Compact"/>
              <w:jc w:val="left"/>
            </w:pPr>
            <w:r>
              <w:t xml:space="preserve">May affect us? Next step</w:t>
            </w:r>
          </w:p>
        </w:tc>
        <w:tc>
          <w:tcPr>
            <w:tcW w:w="882" w:type="dxa"/>
          </w:tcPr>
          <w:p>
            <w:pPr>
              <w:pStyle w:val="Compact"/>
              <w:jc w:val="left"/>
            </w:pPr>
            <w:r>
              <w:t xml:space="preserve">Jira key</w:t>
            </w:r>
          </w:p>
        </w:tc>
      </w:tr>
      <w:tr>
        <w:tc>
          <w:tcPr>
            <w:tcW w:w="882" w:type="dxa"/>
          </w:tcPr>
          <w:p>
            <w:pPr>
              <w:pStyle w:val="Compact"/>
              <w:jc w:val="left"/>
            </w:pPr>
            <w:r>
              <w:t xml:space="preserve">[YYYY-MM-DD]</w:t>
            </w:r>
          </w:p>
        </w:tc>
        <w:tc>
          <w:tcPr>
            <w:tcW w:w="2900" w:type="dxa"/>
          </w:tcPr>
          <w:p>
            <w:pPr>
              <w:pStyle w:val="Compact"/>
              <w:jc w:val="left"/>
            </w:pPr>
            <w:r>
              <w:t xml:space="preserve">[CSMS number, FR citation, Gazette SOR, DOF date and link]</w:t>
            </w:r>
          </w:p>
        </w:tc>
        <w:tc>
          <w:tcPr>
            <w:tcW w:w="1417" w:type="dxa"/>
          </w:tcPr>
          <w:p>
            <w:pPr>
              <w:pStyle w:val="Compact"/>
              <w:jc w:val="left"/>
            </w:pPr>
            <w:r>
              <w:t xml:space="preserve">[Action in plain words]</w:t>
            </w:r>
          </w:p>
        </w:tc>
        <w:tc>
          <w:tcPr>
            <w:tcW w:w="1716" w:type="dxa"/>
          </w:tcPr>
          <w:p>
            <w:pPr>
              <w:pStyle w:val="Compact"/>
              <w:jc w:val="left"/>
            </w:pPr>
            <w:r>
              <w:t xml:space="preserve">[Countries; chapters or HTS]</w:t>
            </w:r>
          </w:p>
        </w:tc>
        <w:tc>
          <w:tcPr>
            <w:tcW w:w="1559" w:type="dxa"/>
          </w:tcPr>
          <w:p>
            <w:pPr>
              <w:pStyle w:val="Compact"/>
              <w:jc w:val="left"/>
            </w:pPr>
            <w:r>
              <w:t xml:space="preserve">[Yes, No or ?; next step]</w:t>
            </w:r>
          </w:p>
        </w:tc>
        <w:tc>
          <w:tcPr>
            <w:tcW w:w="882" w:type="dxa"/>
          </w:tcPr>
          <w:p>
            <w:pPr>
              <w:pStyle w:val="Compact"/>
              <w:jc w:val="left"/>
            </w:pPr>
            <w:r>
              <w:t xml:space="preserve">[Key or "none"]</w:t>
            </w:r>
          </w:p>
        </w:tc>
      </w:tr>
    </w:tbl>
    <w:bookmarkEnd w:id="162"/>
    <w:bookmarkEnd w:id="163"/>
    <w:bookmarkStart w:id="164" w:name="X93bde99a5884306ce2dea07e9b4188a74fa71ed"/>
    <w:p>
      <w:pPr>
        <w:pStyle w:val="Heading3"/>
      </w:pPr>
      <w:r>
        <w:t xml:space="preserve">2.5 The research checklist</w:t>
      </w:r>
    </w:p>
    <w:p>
      <w:pPr>
        <w:pStyle w:val="FirstParagraph"/>
      </w:pPr>
      <w:r>
        <w:t xml:space="preserve">Work through it for every action. Each line maps to a part of the Tariff-Impact Brief.</w:t>
      </w:r>
    </w:p>
    <w:tbl>
      <w:tblPr>
        <w:tblStyle w:val="Table"/>
        <w:tblW w:type="dxa" w:w="9360"/>
        <w:tblLook w:firstRow="1" w:lastRow="0" w:firstColumn="0" w:lastColumn="0" w:noHBand="0" w:noVBand="0" w:val="0020"/>
        <w:jc w:val="start"/>
        <w:tblLayout w:type="fixed"/>
      </w:tblPr>
      <w:tblGrid>
        <w:gridCol w:w="819"/>
        <w:gridCol w:w="819"/>
        <w:gridCol w:w="3013"/>
        <w:gridCol w:w="1803"/>
        <w:gridCol w:w="2903"/>
      </w:tblGrid>
      <w:tr>
        <w:trPr>
          <w:tblHeader w:val="true"/>
        </w:trPr>
        <w:tc>
          <w:tcPr>
            <w:tcW w:w="819" w:type="dxa"/>
          </w:tcPr>
          <w:p>
            <w:pPr>
              <w:pStyle w:val="Compact"/>
              <w:jc w:val="left"/>
            </w:pPr>
            <w:r>
              <w:t xml:space="preserve">#</w:t>
            </w:r>
          </w:p>
        </w:tc>
        <w:tc>
          <w:tcPr>
            <w:tcW w:w="819" w:type="dxa"/>
          </w:tcPr>
          <w:p>
            <w:pPr>
              <w:pStyle w:val="Compact"/>
              <w:jc w:val="left"/>
            </w:pPr>
            <w:r>
              <w:t xml:space="preserve">Check</w:t>
            </w:r>
          </w:p>
        </w:tc>
        <w:tc>
          <w:tcPr>
            <w:tcW w:w="3013" w:type="dxa"/>
          </w:tcPr>
          <w:p>
            <w:pPr>
              <w:pStyle w:val="Compact"/>
              <w:jc w:val="left"/>
            </w:pPr>
            <w:r>
              <w:t xml:space="preserve">What to record (brief part)</w:t>
            </w:r>
          </w:p>
        </w:tc>
        <w:tc>
          <w:tcPr>
            <w:tcW w:w="1803" w:type="dxa"/>
          </w:tcPr>
          <w:p>
            <w:pPr>
              <w:pStyle w:val="Compact"/>
              <w:jc w:val="left"/>
            </w:pPr>
            <w:r>
              <w:t xml:space="preserve">Where it usually is</w:t>
            </w:r>
          </w:p>
        </w:tc>
        <w:tc>
          <w:tcPr>
            <w:tcW w:w="2903" w:type="dxa"/>
          </w:tcPr>
          <w:p>
            <w:pPr>
              <w:pStyle w:val="Compact"/>
              <w:jc w:val="left"/>
            </w:pPr>
            <w:r>
              <w:t xml:space="preserve">Common trap</w:t>
            </w:r>
          </w:p>
        </w:tc>
      </w:tr>
      <w:tr>
        <w:tc>
          <w:tcPr>
            <w:tcW w:w="819" w:type="dxa"/>
          </w:tcPr>
          <w:p>
            <w:pPr>
              <w:pStyle w:val="Compact"/>
              <w:jc w:val="left"/>
            </w:pPr>
            <w:r>
              <w:t xml:space="preserve">1</w:t>
            </w:r>
          </w:p>
        </w:tc>
        <w:tc>
          <w:tcPr>
            <w:tcW w:w="819" w:type="dxa"/>
          </w:tcPr>
          <w:p>
            <w:pPr>
              <w:pStyle w:val="Compact"/>
              <w:jc w:val="left"/>
            </w:pPr>
            <w:r>
              <w:t xml:space="preserve">Legal authority and instrument</w:t>
            </w:r>
          </w:p>
        </w:tc>
        <w:tc>
          <w:tcPr>
            <w:tcW w:w="3013" w:type="dxa"/>
          </w:tcPr>
          <w:p>
            <w:pPr>
              <w:pStyle w:val="Compact"/>
              <w:jc w:val="left"/>
            </w:pPr>
            <w:r>
              <w:t xml:space="preserve">Statute, instrument, number, date, issuer; new action, change or extension; any litigation (Part 3)</w:t>
            </w:r>
          </w:p>
        </w:tc>
        <w:tc>
          <w:tcPr>
            <w:tcW w:w="1803" w:type="dxa"/>
          </w:tcPr>
          <w:p>
            <w:pPr>
              <w:pStyle w:val="Compact"/>
              <w:jc w:val="left"/>
            </w:pPr>
            <w:r>
              <w:t xml:space="preserve">US: the opening "By the authority vested in me..." paragraph (19 U.S.C. 1862 for 232; 19 U.S.C. 2411 for 301; 19 U.S.C. 2132 for 122; 19 U.S.C. 1338 for 338). Canada: "pursuant to section 53 of the Customs Tariff". Mexico: the decree's legal basis</w:t>
            </w:r>
          </w:p>
        </w:tc>
        <w:tc>
          <w:tcPr>
            <w:tcW w:w="2903" w:type="dxa"/>
          </w:tcPr>
          <w:p>
            <w:pPr>
              <w:pStyle w:val="Compact"/>
              <w:jc w:val="left"/>
            </w:pPr>
            <w:r>
              <w:t xml:space="preserve">Treating a press release or fact sheet as the action</w:t>
            </w:r>
          </w:p>
        </w:tc>
      </w:tr>
      <w:tr>
        <w:tc>
          <w:tcPr>
            <w:tcW w:w="819" w:type="dxa"/>
          </w:tcPr>
          <w:p>
            <w:pPr>
              <w:pStyle w:val="Compact"/>
              <w:jc w:val="left"/>
            </w:pPr>
            <w:r>
              <w:t xml:space="preserve">2</w:t>
            </w:r>
          </w:p>
        </w:tc>
        <w:tc>
          <w:tcPr>
            <w:tcW w:w="819" w:type="dxa"/>
          </w:tcPr>
          <w:p>
            <w:pPr>
              <w:pStyle w:val="Compact"/>
              <w:jc w:val="left"/>
            </w:pPr>
            <w:r>
              <w:t xml:space="preserve">Effective date, time and basis</w:t>
            </w:r>
          </w:p>
        </w:tc>
        <w:tc>
          <w:tcPr>
            <w:tcW w:w="3013" w:type="dxa"/>
          </w:tcPr>
          <w:p>
            <w:pPr>
              <w:pStyle w:val="Compact"/>
              <w:jc w:val="left"/>
            </w:pPr>
            <w:r>
              <w:t xml:space="preserve">Quote the words: "entered for consumption, or withdrawn from warehouse for consumption, on or after 12:01 a.m. eastern time on..." (US); "imported" and coming-into-force (Canada); transitory articles (Mexico) (Part 5)</w:t>
            </w:r>
          </w:p>
        </w:tc>
        <w:tc>
          <w:tcPr>
            <w:tcW w:w="1803" w:type="dxa"/>
          </w:tcPr>
          <w:p>
            <w:pPr>
              <w:pStyle w:val="Compact"/>
              <w:jc w:val="left"/>
            </w:pPr>
            <w:r>
              <w:t xml:space="preserve">The effective-date section or annex note; the CSMS message</w:t>
            </w:r>
          </w:p>
        </w:tc>
        <w:tc>
          <w:tcPr>
            <w:tcW w:w="2903" w:type="dxa"/>
          </w:tcPr>
          <w:p>
            <w:pPr>
              <w:pStyle w:val="Compact"/>
              <w:jc w:val="left"/>
            </w:pPr>
            <w:r>
              <w:t xml:space="preserve">Daylight versus standard time; announcement date versus legal date; a suspension that moves the start (Section 338 moved from 2026-08-19 to 2026-08-22); bonded warehouse goods take the rate at withdrawal (19 CFR 141.69)</w:t>
            </w:r>
          </w:p>
        </w:tc>
      </w:tr>
      <w:tr>
        <w:tc>
          <w:tcPr>
            <w:tcW w:w="819" w:type="dxa"/>
          </w:tcPr>
          <w:p>
            <w:pPr>
              <w:pStyle w:val="Compact"/>
              <w:jc w:val="left"/>
            </w:pPr>
            <w:r>
              <w:t xml:space="preserve">3</w:t>
            </w:r>
          </w:p>
        </w:tc>
        <w:tc>
          <w:tcPr>
            <w:tcW w:w="819" w:type="dxa"/>
          </w:tcPr>
          <w:p>
            <w:pPr>
              <w:pStyle w:val="Compact"/>
              <w:jc w:val="left"/>
            </w:pPr>
            <w:r>
              <w:t xml:space="preserve">End date, step changes, reviews</w:t>
            </w:r>
          </w:p>
        </w:tc>
        <w:tc>
          <w:tcPr>
            <w:tcW w:w="3013" w:type="dxa"/>
          </w:tcPr>
          <w:p>
            <w:pPr>
              <w:pStyle w:val="Compact"/>
              <w:jc w:val="left"/>
            </w:pPr>
            <w:r>
              <w:t xml:space="preserve">Sunset, statutory limit (for example 150 days for Section 122), scheduled increases, quotas, exclusion expiries, company-specific start dates (Part 5)</w:t>
            </w:r>
          </w:p>
        </w:tc>
        <w:tc>
          <w:tcPr>
            <w:tcW w:w="1803" w:type="dxa"/>
          </w:tcPr>
          <w:p>
            <w:pPr>
              <w:pStyle w:val="Compact"/>
              <w:jc w:val="left"/>
            </w:pPr>
            <w:r>
              <w:t xml:space="preserve">Same section; later notices</w:t>
            </w:r>
          </w:p>
        </w:tc>
        <w:tc>
          <w:tcPr>
            <w:tcW w:w="2903" w:type="dxa"/>
          </w:tcPr>
          <w:p>
            <w:pPr>
              <w:pStyle w:val="Compact"/>
              <w:jc w:val="left"/>
            </w:pPr>
            <w:r>
              <w:t xml:space="preserve">Missing a step change that falls inside the cost period</w:t>
            </w:r>
          </w:p>
        </w:tc>
      </w:tr>
      <w:tr>
        <w:tc>
          <w:tcPr>
            <w:tcW w:w="819" w:type="dxa"/>
          </w:tcPr>
          <w:p>
            <w:pPr>
              <w:pStyle w:val="Compact"/>
              <w:jc w:val="left"/>
            </w:pPr>
            <w:r>
              <w:t xml:space="preserve">4</w:t>
            </w:r>
          </w:p>
        </w:tc>
        <w:tc>
          <w:tcPr>
            <w:tcW w:w="819" w:type="dxa"/>
          </w:tcPr>
          <w:p>
            <w:pPr>
              <w:pStyle w:val="Compact"/>
              <w:jc w:val="left"/>
            </w:pPr>
            <w:r>
              <w:t xml:space="preserve">Scope by HTS and Chapter 99</w:t>
            </w:r>
          </w:p>
        </w:tc>
        <w:tc>
          <w:tcPr>
            <w:tcW w:w="3013" w:type="dxa"/>
          </w:tcPr>
          <w:p>
            <w:pPr>
              <w:pStyle w:val="Compact"/>
              <w:jc w:val="left"/>
            </w:pPr>
            <w:r>
              <w:t xml:space="preserve">Annex lists as text, their digit level, the Chapter 99 headings and U.S. notes (Part 6.1)</w:t>
            </w:r>
          </w:p>
        </w:tc>
        <w:tc>
          <w:tcPr>
            <w:tcW w:w="1803" w:type="dxa"/>
          </w:tcPr>
          <w:p>
            <w:pPr>
              <w:pStyle w:val="Compact"/>
              <w:jc w:val="left"/>
            </w:pPr>
            <w:r>
              <w:t xml:space="preserve">Annexes; HTSUS Chapter 99; CSMS</w:t>
            </w:r>
          </w:p>
        </w:tc>
        <w:tc>
          <w:tcPr>
            <w:tcW w:w="2903" w:type="dxa"/>
          </w:tcPr>
          <w:p>
            <w:pPr>
              <w:pStyle w:val="Compact"/>
              <w:jc w:val="left"/>
            </w:pPr>
            <w:r>
              <w:t xml:space="preserve">Retyping lists; mixing 8-digit and 10-digit lists; missing a later annex change (Section 338 added 122 lines two weeks after it started)</w:t>
            </w:r>
          </w:p>
        </w:tc>
      </w:tr>
      <w:tr>
        <w:tc>
          <w:tcPr>
            <w:tcW w:w="819" w:type="dxa"/>
          </w:tcPr>
          <w:p>
            <w:pPr>
              <w:pStyle w:val="Compact"/>
              <w:jc w:val="left"/>
            </w:pPr>
            <w:r>
              <w:t xml:space="preserve">5</w:t>
            </w:r>
          </w:p>
        </w:tc>
        <w:tc>
          <w:tcPr>
            <w:tcW w:w="819" w:type="dxa"/>
          </w:tcPr>
          <w:p>
            <w:pPr>
              <w:pStyle w:val="Compact"/>
              <w:jc w:val="left"/>
            </w:pPr>
            <w:r>
              <w:t xml:space="preserve">Product scope language</w:t>
            </w:r>
          </w:p>
        </w:tc>
        <w:tc>
          <w:tcPr>
            <w:tcW w:w="3013" w:type="dxa"/>
          </w:tcPr>
          <w:p>
            <w:pPr>
              <w:pStyle w:val="Compact"/>
              <w:jc w:val="left"/>
            </w:pPr>
            <w:r>
              <w:t xml:space="preserve">Narrative scope, "derivative" and "parts" definitions, what the text adds to or removes from the HTS list (Part 6.3)</w:t>
            </w:r>
          </w:p>
        </w:tc>
        <w:tc>
          <w:tcPr>
            <w:tcW w:w="1803" w:type="dxa"/>
          </w:tcPr>
          <w:p>
            <w:pPr>
              <w:pStyle w:val="Compact"/>
              <w:jc w:val="left"/>
            </w:pPr>
            <w:r>
              <w:t xml:space="preserve">Body of the instrument; definitions section</w:t>
            </w:r>
          </w:p>
        </w:tc>
        <w:tc>
          <w:tcPr>
            <w:tcW w:w="2903" w:type="dxa"/>
          </w:tcPr>
          <w:p>
            <w:pPr>
              <w:pStyle w:val="Compact"/>
              <w:jc w:val="left"/>
            </w:pPr>
            <w:r>
              <w:t xml:space="preserve">Assuming the HTS list is the whole scope, or that a list title ("motor vehicles") describes everything on it. For AD/CVD the written scope decides</w:t>
            </w:r>
          </w:p>
        </w:tc>
      </w:tr>
      <w:tr>
        <w:tc>
          <w:tcPr>
            <w:tcW w:w="819" w:type="dxa"/>
          </w:tcPr>
          <w:p>
            <w:pPr>
              <w:pStyle w:val="Compact"/>
              <w:jc w:val="left"/>
            </w:pPr>
            <w:r>
              <w:t xml:space="preserve">6</w:t>
            </w:r>
          </w:p>
        </w:tc>
        <w:tc>
          <w:tcPr>
            <w:tcW w:w="819" w:type="dxa"/>
          </w:tcPr>
          <w:p>
            <w:pPr>
              <w:pStyle w:val="Compact"/>
              <w:jc w:val="left"/>
            </w:pPr>
            <w:r>
              <w:t xml:space="preserve">Country of origin</w:t>
            </w:r>
          </w:p>
        </w:tc>
        <w:tc>
          <w:tcPr>
            <w:tcW w:w="3013" w:type="dxa"/>
          </w:tcPr>
          <w:p>
            <w:pPr>
              <w:pStyle w:val="Compact"/>
              <w:jc w:val="left"/>
            </w:pPr>
            <w:r>
              <w:t xml:space="preserve">Which origin rule the action uses (Part 6.2)</w:t>
            </w:r>
          </w:p>
        </w:tc>
        <w:tc>
          <w:tcPr>
            <w:tcW w:w="1803" w:type="dxa"/>
          </w:tcPr>
          <w:p>
            <w:pPr>
              <w:pStyle w:val="Compact"/>
              <w:jc w:val="left"/>
            </w:pPr>
            <w:r>
              <w:t xml:space="preserve">Instrument; CBP guidance</w:t>
            </w:r>
          </w:p>
        </w:tc>
        <w:tc>
          <w:tcPr>
            <w:tcW w:w="2903" w:type="dxa"/>
          </w:tcPr>
          <w:p>
            <w:pPr>
              <w:pStyle w:val="Compact"/>
              <w:jc w:val="left"/>
            </w:pPr>
            <w:r>
              <w:t xml:space="preserve">Using the supplier's or ship-from country. Rules differ: substantial transformation, melt-and-pour (steel), smelt-and-cast (aluminum), marking rules</w:t>
            </w:r>
          </w:p>
        </w:tc>
      </w:tr>
      <w:tr>
        <w:tc>
          <w:tcPr>
            <w:tcW w:w="819" w:type="dxa"/>
          </w:tcPr>
          <w:p>
            <w:pPr>
              <w:pStyle w:val="Compact"/>
              <w:jc w:val="left"/>
            </w:pPr>
            <w:r>
              <w:t xml:space="preserve">7</w:t>
            </w:r>
          </w:p>
        </w:tc>
        <w:tc>
          <w:tcPr>
            <w:tcW w:w="819" w:type="dxa"/>
          </w:tcPr>
          <w:p>
            <w:pPr>
              <w:pStyle w:val="Compact"/>
              <w:jc w:val="left"/>
            </w:pPr>
            <w:r>
              <w:t xml:space="preserve">Content and value base</w:t>
            </w:r>
          </w:p>
        </w:tc>
        <w:tc>
          <w:tcPr>
            <w:tcW w:w="3013" w:type="dxa"/>
          </w:tcPr>
          <w:p>
            <w:pPr>
              <w:pStyle w:val="Compact"/>
              <w:jc w:val="left"/>
            </w:pPr>
            <w:r>
              <w:t xml:space="preserve">Whether the duty applies to the full value or only part of it. The current partial-value examples are the non-US content of Commerce-approved USMCA vehicles and trucks under Section 232, and the non-US content (plus any US content above 40% of value) of USMCA-qualifying Annex I-C equipment under the Section 232 metals regime (Proclamation 11032, to 2027-12-31). The metal-content base for Section 232 derivatives applied only to entries before 2026-04-06; since then the metals duty is on full value, with a 15% weight test. What must be reported (content value, metal weight, country of melt or smelt) (Parts 6.3 and 7)</w:t>
            </w:r>
          </w:p>
        </w:tc>
        <w:tc>
          <w:tcPr>
            <w:tcW w:w="1803" w:type="dxa"/>
          </w:tcPr>
          <w:p>
            <w:pPr>
              <w:pStyle w:val="Compact"/>
              <w:jc w:val="left"/>
            </w:pPr>
            <w:r>
              <w:t xml:space="preserve">Instrument; CSMS; CBP FAQs</w:t>
            </w:r>
          </w:p>
        </w:tc>
        <w:tc>
          <w:tcPr>
            <w:tcW w:w="2903" w:type="dxa"/>
          </w:tcPr>
          <w:p>
            <w:pPr>
              <w:pStyle w:val="Compact"/>
              <w:jc w:val="left"/>
            </w:pPr>
            <w:r>
              <w:t xml:space="preserve">Applying an old content base after the rule changed, or the full value where a content base applies</w:t>
            </w:r>
          </w:p>
        </w:tc>
      </w:tr>
      <w:tr>
        <w:tc>
          <w:tcPr>
            <w:tcW w:w="819" w:type="dxa"/>
          </w:tcPr>
          <w:p>
            <w:pPr>
              <w:pStyle w:val="Compact"/>
              <w:jc w:val="left"/>
            </w:pPr>
            <w:r>
              <w:t xml:space="preserve">8</w:t>
            </w:r>
          </w:p>
        </w:tc>
        <w:tc>
          <w:tcPr>
            <w:tcW w:w="819" w:type="dxa"/>
          </w:tcPr>
          <w:p>
            <w:pPr>
              <w:pStyle w:val="Compact"/>
              <w:jc w:val="left"/>
            </w:pPr>
            <w:r>
              <w:t xml:space="preserve">Exclusions and exemptions</w:t>
            </w:r>
          </w:p>
        </w:tc>
        <w:tc>
          <w:tcPr>
            <w:tcW w:w="3013" w:type="dxa"/>
          </w:tcPr>
          <w:p>
            <w:pPr>
              <w:pStyle w:val="Compact"/>
              <w:jc w:val="left"/>
            </w:pPr>
            <w:r>
              <w:t xml:space="preserve">Each one: type (HTS, description, end use, certificate, date-limited, company-specific), how we identify our items, evidence at entry, expiry (Part 6.4)</w:t>
            </w:r>
          </w:p>
        </w:tc>
        <w:tc>
          <w:tcPr>
            <w:tcW w:w="1803" w:type="dxa"/>
          </w:tcPr>
          <w:p>
            <w:pPr>
              <w:pStyle w:val="Compact"/>
              <w:jc w:val="left"/>
            </w:pPr>
            <w:r>
              <w:t xml:space="preserve">Annexes; exclusion notices; CSMS</w:t>
            </w:r>
          </w:p>
        </w:tc>
        <w:tc>
          <w:tcPr>
            <w:tcW w:w="2903" w:type="dxa"/>
          </w:tcPr>
          <w:p>
            <w:pPr>
              <w:pStyle w:val="Compact"/>
              <w:jc w:val="left"/>
            </w:pPr>
            <w:r>
              <w:t xml:space="preserve">An exclusion narrower than the HTS line; an expired exclusion still flagged in our data</w:t>
            </w:r>
          </w:p>
        </w:tc>
      </w:tr>
      <w:tr>
        <w:tc>
          <w:tcPr>
            <w:tcW w:w="819" w:type="dxa"/>
          </w:tcPr>
          <w:p>
            <w:pPr>
              <w:pStyle w:val="Compact"/>
              <w:jc w:val="left"/>
            </w:pPr>
            <w:r>
              <w:t xml:space="preserve">9</w:t>
            </w:r>
          </w:p>
        </w:tc>
        <w:tc>
          <w:tcPr>
            <w:tcW w:w="819" w:type="dxa"/>
          </w:tcPr>
          <w:p>
            <w:pPr>
              <w:pStyle w:val="Compact"/>
              <w:jc w:val="left"/>
            </w:pPr>
            <w:r>
              <w:t xml:space="preserve">Stacking and interaction</w:t>
            </w:r>
          </w:p>
        </w:tc>
        <w:tc>
          <w:tcPr>
            <w:tcW w:w="3013" w:type="dxa"/>
          </w:tcPr>
          <w:p>
            <w:pPr>
              <w:pStyle w:val="Compact"/>
              <w:jc w:val="left"/>
            </w:pPr>
            <w:r>
              <w:t xml:space="preserve">With the base rate, other Chapter 99 duties, AD/CVD and surtaxes; filing order (Part 6.6)</w:t>
            </w:r>
          </w:p>
        </w:tc>
        <w:tc>
          <w:tcPr>
            <w:tcW w:w="1803" w:type="dxa"/>
          </w:tcPr>
          <w:p>
            <w:pPr>
              <w:pStyle w:val="Compact"/>
              <w:jc w:val="left"/>
            </w:pPr>
            <w:r>
              <w:t xml:space="preserve">"Does not apply to" paragraphs; CSMS reporting-order guidance</w:t>
            </w:r>
          </w:p>
        </w:tc>
        <w:tc>
          <w:tcPr>
            <w:tcW w:w="2903" w:type="dxa"/>
          </w:tcPr>
          <w:p>
            <w:pPr>
              <w:pStyle w:val="Compact"/>
              <w:jc w:val="left"/>
            </w:pPr>
            <w:r>
              <w:t xml:space="preserve">Double-counting; assuming non-stacking without a text</w:t>
            </w:r>
          </w:p>
        </w:tc>
      </w:tr>
      <w:tr>
        <w:tc>
          <w:tcPr>
            <w:tcW w:w="819" w:type="dxa"/>
          </w:tcPr>
          <w:p>
            <w:pPr>
              <w:pStyle w:val="Compact"/>
              <w:jc w:val="left"/>
            </w:pPr>
            <w:r>
              <w:t xml:space="preserve">10</w:t>
            </w:r>
          </w:p>
        </w:tc>
        <w:tc>
          <w:tcPr>
            <w:tcW w:w="819" w:type="dxa"/>
          </w:tcPr>
          <w:p>
            <w:pPr>
              <w:pStyle w:val="Compact"/>
              <w:jc w:val="left"/>
            </w:pPr>
            <w:r>
              <w:t xml:space="preserve">USMCA treatment</w:t>
            </w:r>
          </w:p>
        </w:tc>
        <w:tc>
          <w:tcPr>
            <w:tcW w:w="3013" w:type="dxa"/>
          </w:tcPr>
          <w:p>
            <w:pPr>
              <w:pStyle w:val="Compact"/>
              <w:jc w:val="left"/>
            </w:pPr>
            <w:r>
              <w:t xml:space="preserve">Exempt, partly exempt (non-US content) or no exemption; evidence needed (Part 6.5)</w:t>
            </w:r>
          </w:p>
        </w:tc>
        <w:tc>
          <w:tcPr>
            <w:tcW w:w="1803" w:type="dxa"/>
          </w:tcPr>
          <w:p>
            <w:pPr>
              <w:pStyle w:val="Compact"/>
              <w:jc w:val="left"/>
            </w:pPr>
            <w:r>
              <w:t xml:space="preserve">Instrument; CSMS</w:t>
            </w:r>
          </w:p>
        </w:tc>
        <w:tc>
          <w:tcPr>
            <w:tcW w:w="2903" w:type="dxa"/>
          </w:tcPr>
          <w:p>
            <w:pPr>
              <w:pStyle w:val="Compact"/>
              <w:jc w:val="left"/>
            </w:pPr>
            <w:r>
              <w:t xml:space="preserve">"Made in Mexico" is not "USMCA-qualifying". Several 2026 carve-outs cover only goods "entered free of duty under USMCA", so the claim must be on the entry line and the certification current. Section 338 gives no USMCA relief; the Section 232 metals regime gives it only for Annex I-C equipment (non-US content, to 2027-12-31)</w:t>
            </w:r>
          </w:p>
        </w:tc>
      </w:tr>
      <w:tr>
        <w:tc>
          <w:tcPr>
            <w:tcW w:w="819" w:type="dxa"/>
          </w:tcPr>
          <w:p>
            <w:pPr>
              <w:pStyle w:val="Compact"/>
              <w:jc w:val="left"/>
            </w:pPr>
            <w:r>
              <w:t xml:space="preserve">11</w:t>
            </w:r>
          </w:p>
        </w:tc>
        <w:tc>
          <w:tcPr>
            <w:tcW w:w="819" w:type="dxa"/>
          </w:tcPr>
          <w:p>
            <w:pPr>
              <w:pStyle w:val="Compact"/>
              <w:jc w:val="left"/>
            </w:pPr>
            <w:r>
              <w:t xml:space="preserve">De minimis and low-value</w:t>
            </w:r>
          </w:p>
        </w:tc>
        <w:tc>
          <w:tcPr>
            <w:tcW w:w="3013" w:type="dxa"/>
          </w:tcPr>
          <w:p>
            <w:pPr>
              <w:pStyle w:val="Compact"/>
              <w:jc w:val="left"/>
            </w:pPr>
            <w:r>
              <w:t xml:space="preserve">Does it apply regardless of value; postal shipments; current Section 321 status (Part 6.7)</w:t>
            </w:r>
          </w:p>
        </w:tc>
        <w:tc>
          <w:tcPr>
            <w:tcW w:w="1803" w:type="dxa"/>
          </w:tcPr>
          <w:p>
            <w:pPr>
              <w:pStyle w:val="Compact"/>
              <w:jc w:val="left"/>
            </w:pPr>
            <w:r>
              <w:t xml:space="preserve">Instrument; CSMS; Part 1 of this document</w:t>
            </w:r>
          </w:p>
        </w:tc>
        <w:tc>
          <w:tcPr>
            <w:tcW w:w="2903" w:type="dxa"/>
          </w:tcPr>
          <w:p>
            <w:pPr>
              <w:pStyle w:val="Compact"/>
              <w:jc w:val="left"/>
            </w:pPr>
            <w:r>
              <w:t xml:space="preserve">Assuming low-value shipments are outside scope</w:t>
            </w:r>
          </w:p>
        </w:tc>
      </w:tr>
      <w:tr>
        <w:tc>
          <w:tcPr>
            <w:tcW w:w="819" w:type="dxa"/>
          </w:tcPr>
          <w:p>
            <w:pPr>
              <w:pStyle w:val="Compact"/>
              <w:jc w:val="left"/>
            </w:pPr>
            <w:r>
              <w:t xml:space="preserve">12</w:t>
            </w:r>
          </w:p>
        </w:tc>
        <w:tc>
          <w:tcPr>
            <w:tcW w:w="819" w:type="dxa"/>
          </w:tcPr>
          <w:p>
            <w:pPr>
              <w:pStyle w:val="Compact"/>
              <w:jc w:val="left"/>
            </w:pPr>
            <w:r>
              <w:t xml:space="preserve">In-transit provision</w:t>
            </w:r>
          </w:p>
        </w:tc>
        <w:tc>
          <w:tcPr>
            <w:tcW w:w="3013" w:type="dxa"/>
          </w:tcPr>
          <w:p>
            <w:pPr>
              <w:pStyle w:val="Compact"/>
              <w:jc w:val="left"/>
            </w:pPr>
            <w:r>
              <w:t xml:space="preserve">Both dates and conditions; the Chapter 99 number or method used to claim it (Part 5)</w:t>
            </w:r>
          </w:p>
        </w:tc>
        <w:tc>
          <w:tcPr>
            <w:tcW w:w="1803" w:type="dxa"/>
          </w:tcPr>
          <w:p>
            <w:pPr>
              <w:pStyle w:val="Compact"/>
              <w:jc w:val="left"/>
            </w:pPr>
            <w:r>
              <w:t xml:space="preserve">Instrument; CSMS</w:t>
            </w:r>
          </w:p>
        </w:tc>
        <w:tc>
          <w:tcPr>
            <w:tcW w:w="2903" w:type="dxa"/>
          </w:tcPr>
          <w:p>
            <w:pPr>
              <w:pStyle w:val="Compact"/>
              <w:jc w:val="left"/>
            </w:pPr>
            <w:r>
              <w:t xml:space="preserve">Missing the second date (entered before...); no proof of loading date</w:t>
            </w:r>
          </w:p>
        </w:tc>
      </w:tr>
      <w:tr>
        <w:tc>
          <w:tcPr>
            <w:tcW w:w="819" w:type="dxa"/>
          </w:tcPr>
          <w:p>
            <w:pPr>
              <w:pStyle w:val="Compact"/>
              <w:jc w:val="left"/>
            </w:pPr>
            <w:r>
              <w:t xml:space="preserve">13</w:t>
            </w:r>
          </w:p>
        </w:tc>
        <w:tc>
          <w:tcPr>
            <w:tcW w:w="819" w:type="dxa"/>
          </w:tcPr>
          <w:p>
            <w:pPr>
              <w:pStyle w:val="Compact"/>
              <w:jc w:val="left"/>
            </w:pPr>
            <w:r>
              <w:t xml:space="preserve">Drawback</w:t>
            </w:r>
          </w:p>
        </w:tc>
        <w:tc>
          <w:tcPr>
            <w:tcW w:w="3013" w:type="dxa"/>
          </w:tcPr>
          <w:p>
            <w:pPr>
              <w:pStyle w:val="Compact"/>
              <w:jc w:val="left"/>
            </w:pPr>
            <w:r>
              <w:t xml:space="preserve">Quote what the instrument says, or "silent"; send to the Senior (Part 6.8)</w:t>
            </w:r>
          </w:p>
        </w:tc>
        <w:tc>
          <w:tcPr>
            <w:tcW w:w="1803" w:type="dxa"/>
          </w:tcPr>
          <w:p>
            <w:pPr>
              <w:pStyle w:val="Compact"/>
              <w:jc w:val="left"/>
            </w:pPr>
            <w:r>
              <w:t xml:space="preserve">Instrument; CBP guidance; drawback CSMS messages</w:t>
            </w:r>
          </w:p>
        </w:tc>
        <w:tc>
          <w:tcPr>
            <w:tcW w:w="2903" w:type="dxa"/>
          </w:tcPr>
          <w:p>
            <w:pPr>
              <w:pStyle w:val="Compact"/>
              <w:jc w:val="left"/>
            </w:pPr>
            <w:r>
              <w:t xml:space="preserve">Assuming every duty is drawback-eligible. Some 2026 actions allow only manufacturing drawback (metals) or none (semiconductors), and CBP can block drawback on a line through ACE validations. AD/CVD never is eligible (19 U.S.C. 1677h)</w:t>
            </w:r>
          </w:p>
        </w:tc>
      </w:tr>
      <w:tr>
        <w:tc>
          <w:tcPr>
            <w:tcW w:w="819" w:type="dxa"/>
          </w:tcPr>
          <w:p>
            <w:pPr>
              <w:pStyle w:val="Compact"/>
              <w:jc w:val="left"/>
            </w:pPr>
            <w:r>
              <w:t xml:space="preserve">14</w:t>
            </w:r>
          </w:p>
        </w:tc>
        <w:tc>
          <w:tcPr>
            <w:tcW w:w="819" w:type="dxa"/>
          </w:tcPr>
          <w:p>
            <w:pPr>
              <w:pStyle w:val="Compact"/>
              <w:jc w:val="left"/>
            </w:pPr>
            <w:r>
              <w:t xml:space="preserve">Refund, protest and retroactivity</w:t>
            </w:r>
          </w:p>
        </w:tc>
        <w:tc>
          <w:tcPr>
            <w:tcW w:w="3013" w:type="dxa"/>
          </w:tcPr>
          <w:p>
            <w:pPr>
              <w:pStyle w:val="Compact"/>
              <w:jc w:val="left"/>
            </w:pPr>
            <w:r>
              <w:t xml:space="preserve">Retroactive dates; how corrections or refunds would work; deadlines (Part 5)</w:t>
            </w:r>
          </w:p>
        </w:tc>
        <w:tc>
          <w:tcPr>
            <w:tcW w:w="1803" w:type="dxa"/>
          </w:tcPr>
          <w:p>
            <w:pPr>
              <w:pStyle w:val="Compact"/>
              <w:jc w:val="left"/>
            </w:pPr>
            <w:r>
              <w:t xml:space="preserve">Instrument; CSMS; counsel</w:t>
            </w:r>
          </w:p>
        </w:tc>
        <w:tc>
          <w:tcPr>
            <w:tcW w:w="2903" w:type="dxa"/>
          </w:tcPr>
          <w:p>
            <w:pPr>
              <w:pStyle w:val="Compact"/>
              <w:jc w:val="left"/>
            </w:pPr>
            <w:r>
              <w:t xml:space="preserve">US: post-summary corrections only before liquidation; protests within 180 days after liquidation (19 U.S.C. 1514); court challenges have their own time limits. IEEPA refunds run through CBP's CAPE process (US-1). Canada and Mexico have their own refund procedures (verify with the Senior). Counsel decides what to file</w:t>
            </w:r>
          </w:p>
        </w:tc>
      </w:tr>
      <w:tr>
        <w:tc>
          <w:tcPr>
            <w:tcW w:w="819" w:type="dxa"/>
          </w:tcPr>
          <w:p>
            <w:pPr>
              <w:pStyle w:val="Compact"/>
              <w:jc w:val="left"/>
            </w:pPr>
            <w:r>
              <w:t xml:space="preserve">15</w:t>
            </w:r>
          </w:p>
        </w:tc>
        <w:tc>
          <w:tcPr>
            <w:tcW w:w="819" w:type="dxa"/>
          </w:tcPr>
          <w:p>
            <w:pPr>
              <w:pStyle w:val="Compact"/>
              <w:jc w:val="left"/>
            </w:pPr>
            <w:r>
              <w:t xml:space="preserve">Special regimes</w:t>
            </w:r>
          </w:p>
        </w:tc>
        <w:tc>
          <w:tcPr>
            <w:tcW w:w="3013" w:type="dxa"/>
          </w:tcPr>
          <w:p>
            <w:pPr>
              <w:pStyle w:val="Compact"/>
              <w:jc w:val="left"/>
            </w:pPr>
            <w:r>
              <w:t xml:space="preserve">Bonded warehouse, Chapter 98 provisions, FTZ (not used: [COMPANY: confirm]), Mexico IMMEX and PROSEC, Canada duty relief and remission (Part 6.9)</w:t>
            </w:r>
          </w:p>
        </w:tc>
        <w:tc>
          <w:tcPr>
            <w:tcW w:w="1803" w:type="dxa"/>
          </w:tcPr>
          <w:p>
            <w:pPr>
              <w:pStyle w:val="Compact"/>
              <w:jc w:val="left"/>
            </w:pPr>
            <w:r>
              <w:t xml:space="preserve">Instrument; CSMS; agente aduanal (through the Senior)</w:t>
            </w:r>
          </w:p>
        </w:tc>
        <w:tc>
          <w:tcPr>
            <w:tcW w:w="2903" w:type="dxa"/>
          </w:tcPr>
          <w:p>
            <w:pPr>
              <w:pStyle w:val="Compact"/>
              <w:jc w:val="left"/>
            </w:pPr>
            <w:r>
              <w:t xml:space="preserve">Forgetting IMMEX duty-deferral limits on exports to USMCA partners</w:t>
            </w:r>
          </w:p>
        </w:tc>
      </w:tr>
      <w:tr>
        <w:tc>
          <w:tcPr>
            <w:tcW w:w="819" w:type="dxa"/>
          </w:tcPr>
          <w:p>
            <w:pPr>
              <w:pStyle w:val="Compact"/>
              <w:jc w:val="left"/>
            </w:pPr>
            <w:r>
              <w:t xml:space="preserve">16</w:t>
            </w:r>
          </w:p>
        </w:tc>
        <w:tc>
          <w:tcPr>
            <w:tcW w:w="819" w:type="dxa"/>
          </w:tcPr>
          <w:p>
            <w:pPr>
              <w:pStyle w:val="Compact"/>
              <w:jc w:val="left"/>
            </w:pPr>
            <w:r>
              <w:t xml:space="preserve">Our data</w:t>
            </w:r>
          </w:p>
        </w:tc>
        <w:tc>
          <w:tcPr>
            <w:tcW w:w="3013" w:type="dxa"/>
          </w:tcPr>
          <w:p>
            <w:pPr>
              <w:pStyle w:val="Compact"/>
              <w:jc w:val="left"/>
            </w:pPr>
            <w:r>
              <w:t xml:space="preserve">Which item fields decide scope (HTS, origin, USMCA flag, content values, metal weight); what we do not hold and who can supply it (Part 9)</w:t>
            </w:r>
          </w:p>
        </w:tc>
        <w:tc>
          <w:tcPr>
            <w:tcW w:w="1803" w:type="dxa"/>
          </w:tcPr>
          <w:p>
            <w:pPr>
              <w:pStyle w:val="Compact"/>
              <w:jc w:val="left"/>
            </w:pPr>
            <w:r>
              <w:t xml:space="preserve">[COMPANY: classification master]; Purchasing; suppliers</w:t>
            </w:r>
          </w:p>
        </w:tc>
        <w:tc>
          <w:tcPr>
            <w:tcW w:w="2903" w:type="dxa"/>
          </w:tcPr>
          <w:p>
            <w:pPr>
              <w:pStyle w:val="Compact"/>
              <w:jc w:val="left"/>
            </w:pPr>
            <w:r>
              <w:t xml:space="preserve">Discovering missing content or weight data after the effective date</w:t>
            </w:r>
          </w:p>
        </w:tc>
      </w:tr>
    </w:tbl>
    <w:p>
      <w:pPr>
        <w:pStyle w:val="BodyText"/>
      </w:pPr>
      <w:r>
        <w:t xml:space="preserve">Before you call the research done:</w:t>
      </w:r>
    </w:p>
    <w:p>
      <w:pPr>
        <w:numPr>
          <w:ilvl w:val="0"/>
          <w:numId w:val="1012"/>
        </w:numPr>
        <w:pStyle w:val="Compact"/>
      </w:pPr>
      <w:r>
        <w:t xml:space="preserve">☐ Every line above has an answer, "not applicable" or an open question, with a source.</w:t>
      </w:r>
    </w:p>
    <w:p>
      <w:pPr>
        <w:numPr>
          <w:ilvl w:val="0"/>
          <w:numId w:val="1012"/>
        </w:numPr>
        <w:pStyle w:val="Compact"/>
      </w:pPr>
      <w:r>
        <w:t xml:space="preserve">☐ Every quote was copied from the source, not retyped from a summary.</w:t>
      </w:r>
    </w:p>
    <w:p>
      <w:pPr>
        <w:numPr>
          <w:ilvl w:val="0"/>
          <w:numId w:val="1012"/>
        </w:numPr>
        <w:pStyle w:val="Compact"/>
      </w:pPr>
      <w:r>
        <w:t xml:space="preserve">☐ The date and time you checked each source is recorded.</w:t>
      </w:r>
    </w:p>
    <w:bookmarkEnd w:id="164"/>
    <w:bookmarkStart w:id="165" w:name="Xe150d274509ab2cd76b77210d01bbe9d9a05004"/>
    <w:p>
      <w:pPr>
        <w:pStyle w:val="Heading3"/>
      </w:pPr>
      <w:r>
        <w:t xml:space="preserve">2.6 What to confirm with the broker or trade counsel</w:t>
      </w:r>
    </w:p>
    <w:p>
      <w:pPr>
        <w:pStyle w:val="FirstParagraph"/>
      </w:pPr>
      <w:r>
        <w:t xml:space="preserve">The BSA does not give legal advice. Record who confirmed what, when and how (Brief Part 8), and file the email in [COMPANY: email archive].</w:t>
      </w:r>
    </w:p>
    <w:p>
      <w:pPr>
        <w:pStyle w:val="BodyText"/>
      </w:pPr>
      <w:r>
        <w:rPr>
          <w:bCs/>
          <w:b/>
        </w:rPr>
        <w:t xml:space="preserve">How the questions travel:</w:t>
      </w:r>
      <w:r>
        <w:t xml:space="preserve"> </w:t>
      </w:r>
      <w:r>
        <w:t xml:space="preserve">before your day-60 review you never contact a customs broker, agente aduanal or trade counsel directly. Write the questions in the brief (Part 10) and send them to the Senior (or the Manager), who asks them. After day 60, with the Senior's agreement, you may email the broker with the Senior copied. Trade counsel is always contacted through [COMPANY: who may contact trade counsel].</w:t>
      </w:r>
    </w:p>
    <w:p>
      <w:pPr>
        <w:pStyle w:val="BodyText"/>
      </w:pPr>
      <w:r>
        <w:t xml:space="preserve">Questions for the licensed customs broker:</w:t>
      </w:r>
    </w:p>
    <w:p>
      <w:pPr>
        <w:numPr>
          <w:ilvl w:val="0"/>
          <w:numId w:val="1013"/>
        </w:numPr>
        <w:pStyle w:val="Compact"/>
      </w:pPr>
      <w:r>
        <w:t xml:space="preserve">How they will file it: Chapter 99 numbers, line splits, reporting order, from which date and time.</w:t>
      </w:r>
    </w:p>
    <w:p>
      <w:pPr>
        <w:numPr>
          <w:ilvl w:val="0"/>
          <w:numId w:val="1013"/>
        </w:numPr>
        <w:pStyle w:val="Compact"/>
      </w:pPr>
      <w:r>
        <w:t xml:space="preserve">What data they need from us that we do not send today (content values, metal weight, melt or smelt country, USMCA claim data).</w:t>
      </w:r>
    </w:p>
    <w:p>
      <w:pPr>
        <w:numPr>
          <w:ilvl w:val="0"/>
          <w:numId w:val="1013"/>
        </w:numPr>
        <w:pStyle w:val="Compact"/>
      </w:pPr>
      <w:r>
        <w:t xml:space="preserve">How they will claim in-transit relief and what proof they need.</w:t>
      </w:r>
    </w:p>
    <w:p>
      <w:pPr>
        <w:numPr>
          <w:ilvl w:val="0"/>
          <w:numId w:val="1013"/>
        </w:numPr>
        <w:pStyle w:val="Compact"/>
      </w:pPr>
      <w:r>
        <w:t xml:space="preserve">Whether their system is ready by the effective date, and what happens to entries near the cutoff. Holding or accelerating entries is a business decision for the Manager, not Research.</w:t>
      </w:r>
    </w:p>
    <w:p>
      <w:pPr>
        <w:pStyle w:val="FirstParagraph"/>
      </w:pPr>
      <w:r>
        <w:t xml:space="preserve">Questions for trade counsel (through [COMPANY: who may contact trade counsel]):</w:t>
      </w:r>
    </w:p>
    <w:p>
      <w:pPr>
        <w:numPr>
          <w:ilvl w:val="0"/>
          <w:numId w:val="1014"/>
        </w:numPr>
        <w:pStyle w:val="Compact"/>
      </w:pPr>
      <w:r>
        <w:t xml:space="preserve">Any Medium or Low interpretation that changes scope, rate or date.</w:t>
      </w:r>
    </w:p>
    <w:p>
      <w:pPr>
        <w:numPr>
          <w:ilvl w:val="0"/>
          <w:numId w:val="1014"/>
        </w:numPr>
        <w:pStyle w:val="Compact"/>
      </w:pPr>
      <w:r>
        <w:t xml:space="preserve">Whether to file post-summary corrections, protests or court actions to preserve refund rights.</w:t>
      </w:r>
    </w:p>
    <w:p>
      <w:pPr>
        <w:numPr>
          <w:ilvl w:val="0"/>
          <w:numId w:val="1014"/>
        </w:numPr>
        <w:pStyle w:val="Compact"/>
      </w:pPr>
      <w:r>
        <w:t xml:space="preserve">Origin questions involving processing in a third country (substantial transformation).</w:t>
      </w:r>
    </w:p>
    <w:p>
      <w:pPr>
        <w:numPr>
          <w:ilvl w:val="0"/>
          <w:numId w:val="1014"/>
        </w:numPr>
        <w:pStyle w:val="Compact"/>
      </w:pPr>
      <w:r>
        <w:t xml:space="preserve">Any proposal to change a classification because of a new duty. Classification follows the goods, never the duty rate: send these to the Senior first.</w:t>
      </w:r>
    </w:p>
    <w:p>
      <w:pPr>
        <w:pStyle w:val="FirstParagraph"/>
      </w:pPr>
      <w:r>
        <w:t xml:space="preserve">Drawback questions go to the Senior, who owns US duty drawback (M9).</w:t>
      </w:r>
    </w:p>
    <w:bookmarkEnd w:id="165"/>
    <w:bookmarkStart w:id="166" w:name="X1e61c0cb5c73ce8ff492d0e22728fc75b56e963"/>
    <w:p>
      <w:pPr>
        <w:pStyle w:val="Heading3"/>
      </w:pPr>
      <w:r>
        <w:t xml:space="preserve">2.7 From findings to the Tariff-Impact Brief and the handoff</w:t>
      </w:r>
    </w:p>
    <w:tbl>
      <w:tblPr>
        <w:tblStyle w:val="Table"/>
        <w:tblW w:type="dxa" w:w="9360"/>
        <w:tblLook w:firstRow="1" w:lastRow="0" w:firstColumn="0" w:lastColumn="0" w:noHBand="0" w:noVBand="0" w:val="0020"/>
        <w:jc w:val="start"/>
        <w:tblLayout w:type="fixed"/>
      </w:tblPr>
      <w:tblGrid>
        <w:gridCol w:w="2492"/>
        <w:gridCol w:w="1350"/>
        <w:gridCol w:w="5517"/>
      </w:tblGrid>
      <w:tr>
        <w:trPr>
          <w:tblHeader w:val="true"/>
        </w:trPr>
        <w:tc>
          <w:tcPr>
            <w:tcW w:w="2492" w:type="dxa"/>
          </w:tcPr>
          <w:p>
            <w:pPr>
              <w:pStyle w:val="Compact"/>
              <w:jc w:val="left"/>
            </w:pPr>
            <w:r>
              <w:t xml:space="preserve">Research checklist step</w:t>
            </w:r>
          </w:p>
        </w:tc>
        <w:tc>
          <w:tcPr>
            <w:tcW w:w="1350" w:type="dxa"/>
          </w:tcPr>
          <w:p>
            <w:pPr>
              <w:pStyle w:val="Compact"/>
              <w:jc w:val="left"/>
            </w:pPr>
            <w:r>
              <w:t xml:space="preserve">Tariff-Impact Brief part</w:t>
            </w:r>
          </w:p>
        </w:tc>
        <w:tc>
          <w:tcPr>
            <w:tcW w:w="5517" w:type="dxa"/>
          </w:tcPr>
          <w:p>
            <w:pPr>
              <w:pStyle w:val="Compact"/>
              <w:jc w:val="left"/>
            </w:pPr>
            <w:r>
              <w:t xml:space="preserve">Model Action tab</w:t>
            </w:r>
          </w:p>
        </w:tc>
      </w:tr>
      <w:tr>
        <w:tc>
          <w:tcPr>
            <w:tcW w:w="2492" w:type="dxa"/>
          </w:tcPr>
          <w:p>
            <w:pPr>
              <w:pStyle w:val="Compact"/>
              <w:jc w:val="left"/>
            </w:pPr>
            <w:r>
              <w:t xml:space="preserve">1 Legal authority</w:t>
            </w:r>
          </w:p>
        </w:tc>
        <w:tc>
          <w:tcPr>
            <w:tcW w:w="1350" w:type="dxa"/>
          </w:tcPr>
          <w:p>
            <w:pPr>
              <w:pStyle w:val="Compact"/>
              <w:jc w:val="left"/>
            </w:pPr>
            <w:r>
              <w:t xml:space="preserve">Part 3; sources in Part 4</w:t>
            </w:r>
          </w:p>
        </w:tc>
        <w:tc>
          <w:tcPr>
            <w:tcW w:w="5517" w:type="dxa"/>
          </w:tcPr>
          <w:p>
            <w:pPr>
              <w:pStyle w:val="Compact"/>
              <w:jc w:val="left"/>
            </w:pPr>
            <w:r>
              <w:t xml:space="preserve">B8 (category), B10 (primary source)</w:t>
            </w:r>
          </w:p>
        </w:tc>
      </w:tr>
      <w:tr>
        <w:tc>
          <w:tcPr>
            <w:tcW w:w="2492" w:type="dxa"/>
          </w:tcPr>
          <w:p>
            <w:pPr>
              <w:pStyle w:val="Compact"/>
              <w:jc w:val="left"/>
            </w:pPr>
            <w:r>
              <w:t xml:space="preserve">2 and 3 Timing, end and steps</w:t>
            </w:r>
          </w:p>
        </w:tc>
        <w:tc>
          <w:tcPr>
            <w:tcW w:w="1350" w:type="dxa"/>
          </w:tcPr>
          <w:p>
            <w:pPr>
              <w:pStyle w:val="Compact"/>
              <w:jc w:val="left"/>
            </w:pPr>
            <w:r>
              <w:t xml:space="preserve">Part 5</w:t>
            </w:r>
          </w:p>
        </w:tc>
        <w:tc>
          <w:tcPr>
            <w:tcW w:w="5517" w:type="dxa"/>
          </w:tcPr>
          <w:p>
            <w:pPr>
              <w:pStyle w:val="Compact"/>
              <w:jc w:val="left"/>
            </w:pPr>
            <w:r>
              <w:t xml:space="preserve">B11 (effective date), B12 (basis), B14 (end date)</w:t>
            </w:r>
          </w:p>
        </w:tc>
      </w:tr>
      <w:tr>
        <w:tc>
          <w:tcPr>
            <w:tcW w:w="2492" w:type="dxa"/>
          </w:tcPr>
          <w:p>
            <w:pPr>
              <w:pStyle w:val="Compact"/>
              <w:jc w:val="left"/>
            </w:pPr>
            <w:r>
              <w:t xml:space="preserve">12 In-transit</w:t>
            </w:r>
          </w:p>
        </w:tc>
        <w:tc>
          <w:tcPr>
            <w:tcW w:w="1350" w:type="dxa"/>
          </w:tcPr>
          <w:p>
            <w:pPr>
              <w:pStyle w:val="Compact"/>
              <w:jc w:val="left"/>
            </w:pPr>
            <w:r>
              <w:t xml:space="preserve">Part 5</w:t>
            </w:r>
          </w:p>
        </w:tc>
        <w:tc>
          <w:tcPr>
            <w:tcW w:w="5517" w:type="dxa"/>
          </w:tcPr>
          <w:p>
            <w:pPr>
              <w:pStyle w:val="Compact"/>
              <w:jc w:val="left"/>
            </w:pPr>
            <w:r>
              <w:t xml:space="preserve">B13</w:t>
            </w:r>
          </w:p>
        </w:tc>
      </w:tr>
      <w:tr>
        <w:tc>
          <w:tcPr>
            <w:tcW w:w="2492" w:type="dxa"/>
          </w:tcPr>
          <w:p>
            <w:pPr>
              <w:pStyle w:val="Compact"/>
              <w:jc w:val="left"/>
            </w:pPr>
            <w:r>
              <w:t xml:space="preserve">4 HTS scope</w:t>
            </w:r>
          </w:p>
        </w:tc>
        <w:tc>
          <w:tcPr>
            <w:tcW w:w="1350" w:type="dxa"/>
          </w:tcPr>
          <w:p>
            <w:pPr>
              <w:pStyle w:val="Compact"/>
              <w:jc w:val="left"/>
            </w:pPr>
            <w:r>
              <w:t xml:space="preserve">Part 6.1</w:t>
            </w:r>
          </w:p>
        </w:tc>
        <w:tc>
          <w:tcPr>
            <w:tcW w:w="5517" w:type="dxa"/>
          </w:tcPr>
          <w:p>
            <w:pPr>
              <w:pStyle w:val="Compact"/>
              <w:jc w:val="left"/>
            </w:pPr>
            <w:r>
              <w:t xml:space="preserve">Scope list (columns E to H; H is the rate group when rate lines differ by product list)</w:t>
            </w:r>
          </w:p>
        </w:tc>
      </w:tr>
      <w:tr>
        <w:tc>
          <w:tcPr>
            <w:tcW w:w="2492" w:type="dxa"/>
          </w:tcPr>
          <w:p>
            <w:pPr>
              <w:pStyle w:val="Compact"/>
              <w:jc w:val="left"/>
            </w:pPr>
            <w:r>
              <w:t xml:space="preserve">6 Origins</w:t>
            </w:r>
          </w:p>
        </w:tc>
        <w:tc>
          <w:tcPr>
            <w:tcW w:w="1350" w:type="dxa"/>
          </w:tcPr>
          <w:p>
            <w:pPr>
              <w:pStyle w:val="Compact"/>
              <w:jc w:val="left"/>
            </w:pPr>
            <w:r>
              <w:t xml:space="preserve">Part 6.2</w:t>
            </w:r>
          </w:p>
        </w:tc>
        <w:tc>
          <w:tcPr>
            <w:tcW w:w="5517" w:type="dxa"/>
          </w:tcPr>
          <w:p>
            <w:pPr>
              <w:pStyle w:val="Compact"/>
              <w:jc w:val="left"/>
            </w:pPr>
            <w:r>
              <w:t xml:space="preserve">Origin list (columns M to N)</w:t>
            </w:r>
          </w:p>
        </w:tc>
      </w:tr>
      <w:tr>
        <w:tc>
          <w:tcPr>
            <w:tcW w:w="2492" w:type="dxa"/>
          </w:tcPr>
          <w:p>
            <w:pPr>
              <w:pStyle w:val="Compact"/>
              <w:jc w:val="left"/>
            </w:pPr>
            <w:r>
              <w:t xml:space="preserve">8 Exclusions defined by HTS</w:t>
            </w:r>
          </w:p>
        </w:tc>
        <w:tc>
          <w:tcPr>
            <w:tcW w:w="1350" w:type="dxa"/>
          </w:tcPr>
          <w:p>
            <w:pPr>
              <w:pStyle w:val="Compact"/>
              <w:jc w:val="left"/>
            </w:pPr>
            <w:r>
              <w:t xml:space="preserve">Part 6.4</w:t>
            </w:r>
          </w:p>
        </w:tc>
        <w:tc>
          <w:tcPr>
            <w:tcW w:w="5517" w:type="dxa"/>
          </w:tcPr>
          <w:p>
            <w:pPr>
              <w:pStyle w:val="Compact"/>
              <w:jc w:val="left"/>
            </w:pPr>
            <w:r>
              <w:t xml:space="preserve">Exclusion list (columns I to K)</w:t>
            </w:r>
          </w:p>
        </w:tc>
      </w:tr>
      <w:tr>
        <w:tc>
          <w:tcPr>
            <w:tcW w:w="2492" w:type="dxa"/>
          </w:tcPr>
          <w:p>
            <w:pPr>
              <w:pStyle w:val="Compact"/>
              <w:jc w:val="left"/>
            </w:pPr>
            <w:r>
              <w:t xml:space="preserve">5 and 8 Exclusions by description, borderline items</w:t>
            </w:r>
          </w:p>
        </w:tc>
        <w:tc>
          <w:tcPr>
            <w:tcW w:w="1350" w:type="dxa"/>
          </w:tcPr>
          <w:p>
            <w:pPr>
              <w:pStyle w:val="Compact"/>
              <w:jc w:val="left"/>
            </w:pPr>
            <w:r>
              <w:t xml:space="preserve">Parts 6.3, 6.4 and 8</w:t>
            </w:r>
          </w:p>
        </w:tc>
        <w:tc>
          <w:tcPr>
            <w:tcW w:w="5517" w:type="dxa"/>
          </w:tcPr>
          <w:p>
            <w:pPr>
              <w:pStyle w:val="Compact"/>
              <w:jc w:val="left"/>
            </w:pPr>
            <w:r>
              <w:t xml:space="preserve">Item-level determinations by item and import country (columns P to U)</w:t>
            </w:r>
          </w:p>
        </w:tc>
      </w:tr>
      <w:tr>
        <w:tc>
          <w:tcPr>
            <w:tcW w:w="2492" w:type="dxa"/>
          </w:tcPr>
          <w:p>
            <w:pPr>
              <w:pStyle w:val="Compact"/>
              <w:jc w:val="left"/>
            </w:pPr>
            <w:r>
              <w:t xml:space="preserve">10 USMCA treatment</w:t>
            </w:r>
          </w:p>
        </w:tc>
        <w:tc>
          <w:tcPr>
            <w:tcW w:w="1350" w:type="dxa"/>
          </w:tcPr>
          <w:p>
            <w:pPr>
              <w:pStyle w:val="Compact"/>
              <w:jc w:val="left"/>
            </w:pPr>
            <w:r>
              <w:t xml:space="preserve">Part 6.5</w:t>
            </w:r>
          </w:p>
        </w:tc>
        <w:tc>
          <w:tcPr>
            <w:tcW w:w="5517" w:type="dxa"/>
          </w:tcPr>
          <w:p>
            <w:pPr>
              <w:pStyle w:val="Compact"/>
              <w:jc w:val="left"/>
            </w:pPr>
            <w:r>
              <w:t xml:space="preserve">B18</w:t>
            </w:r>
          </w:p>
        </w:tc>
      </w:tr>
      <w:tr>
        <w:tc>
          <w:tcPr>
            <w:tcW w:w="2492" w:type="dxa"/>
          </w:tcPr>
          <w:p>
            <w:pPr>
              <w:pStyle w:val="Compact"/>
              <w:jc w:val="left"/>
            </w:pPr>
            <w:r>
              <w:t xml:space="preserve">9 Stacking</w:t>
            </w:r>
          </w:p>
        </w:tc>
        <w:tc>
          <w:tcPr>
            <w:tcW w:w="1350" w:type="dxa"/>
          </w:tcPr>
          <w:p>
            <w:pPr>
              <w:pStyle w:val="Compact"/>
              <w:jc w:val="left"/>
            </w:pPr>
            <w:r>
              <w:t xml:space="preserve">Part 6.6</w:t>
            </w:r>
          </w:p>
        </w:tc>
        <w:tc>
          <w:tcPr>
            <w:tcW w:w="5517" w:type="dxa"/>
          </w:tcPr>
          <w:p>
            <w:pPr>
              <w:pStyle w:val="Compact"/>
              <w:jc w:val="left"/>
            </w:pPr>
            <w:r>
              <w:t xml:space="preserve">B19 (interpretation); B16 and B17 when the action replaces an earlier rate; column S (item) or AF (rate line) when it switches off another duty</w:t>
            </w:r>
          </w:p>
        </w:tc>
      </w:tr>
      <w:tr>
        <w:tc>
          <w:tcPr>
            <w:tcW w:w="2492" w:type="dxa"/>
          </w:tcPr>
          <w:p>
            <w:pPr>
              <w:pStyle w:val="Compact"/>
              <w:jc w:val="left"/>
            </w:pPr>
            <w:r>
              <w:t xml:space="preserve">Rate</w:t>
            </w:r>
          </w:p>
        </w:tc>
        <w:tc>
          <w:tcPr>
            <w:tcW w:w="1350" w:type="dxa"/>
          </w:tcPr>
          <w:p>
            <w:pPr>
              <w:pStyle w:val="Compact"/>
              <w:jc w:val="left"/>
            </w:pPr>
            <w:r>
              <w:t xml:space="preserve">Part 7</w:t>
            </w:r>
          </w:p>
        </w:tc>
        <w:tc>
          <w:tcPr>
            <w:tcW w:w="5517" w:type="dxa"/>
          </w:tcPr>
          <w:p>
            <w:pPr>
              <w:pStyle w:val="Compact"/>
              <w:jc w:val="left"/>
            </w:pPr>
            <w:r>
              <w:t xml:space="preserve">B15 (default rate), B16, B17; one rate line per extra Part 7 line (columns Y to AI)</w:t>
            </w:r>
          </w:p>
        </w:tc>
      </w:tr>
      <w:tr>
        <w:tc>
          <w:tcPr>
            <w:tcW w:w="2492" w:type="dxa"/>
          </w:tcPr>
          <w:p>
            <w:pPr>
              <w:pStyle w:val="Compact"/>
              <w:jc w:val="left"/>
            </w:pPr>
            <w:r>
              <w:t xml:space="preserve">7 Content and value base</w:t>
            </w:r>
          </w:p>
        </w:tc>
        <w:tc>
          <w:tcPr>
            <w:tcW w:w="1350" w:type="dxa"/>
          </w:tcPr>
          <w:p>
            <w:pPr>
              <w:pStyle w:val="Compact"/>
              <w:jc w:val="left"/>
            </w:pPr>
            <w:r>
              <w:t xml:space="preserve">Parts 6.3 and 7</w:t>
            </w:r>
          </w:p>
        </w:tc>
        <w:tc>
          <w:tcPr>
            <w:tcW w:w="5517" w:type="dxa"/>
          </w:tcPr>
          <w:p>
            <w:pPr>
              <w:pStyle w:val="Compact"/>
              <w:jc w:val="left"/>
            </w:pPr>
            <w:r>
              <w:t xml:space="preserve">B20 (FULL or PART) or rate-line column AE; Standard Cost enters each item's dutiable share on Items</w:t>
            </w:r>
          </w:p>
        </w:tc>
      </w:tr>
      <w:tr>
        <w:tc>
          <w:tcPr>
            <w:tcW w:w="2492" w:type="dxa"/>
          </w:tcPr>
          <w:p>
            <w:pPr>
              <w:pStyle w:val="Compact"/>
              <w:jc w:val="left"/>
            </w:pPr>
            <w:r>
              <w:t xml:space="preserve">16 Our data</w:t>
            </w:r>
          </w:p>
        </w:tc>
        <w:tc>
          <w:tcPr>
            <w:tcW w:w="1350" w:type="dxa"/>
          </w:tcPr>
          <w:p>
            <w:pPr>
              <w:pStyle w:val="Compact"/>
              <w:jc w:val="left"/>
            </w:pPr>
            <w:r>
              <w:t xml:space="preserve">Part 9</w:t>
            </w:r>
          </w:p>
        </w:tc>
        <w:tc>
          <w:tcPr>
            <w:tcW w:w="5517" w:type="dxa"/>
          </w:tcPr>
          <w:p>
            <w:pPr>
              <w:pStyle w:val="Compact"/>
              <w:jc w:val="left"/>
            </w:pPr>
            <w:r>
              <w:t xml:space="preserve">Not on Action: Standard Cost fills Items</w:t>
            </w:r>
          </w:p>
        </w:tc>
      </w:tr>
    </w:tbl>
    <w:p>
      <w:pPr>
        <w:pStyle w:val="BodyText"/>
      </w:pPr>
      <w:r>
        <w:t xml:space="preserve">The model applies the rate to the unit customs value on the Items tab. If the duty applies to only part of the value (for example the non-US content of a Commerce-approved USMCA vehicle or truck, or of USMCA-qualifying Annex I-C equipment under the Section 232 metals regime; metal-content bases apply only to entries before 2026-04-06), Research sets the base to PART (Action B20, or column AE on a rate line) and states in Brief Part 7 where each item's share comes from. Standard Cost enters the shares on the Items tab from that source. Research states the base; Standard Cost does the arithmetic. See</w:t>
      </w:r>
      <w:r>
        <w:t xml:space="preserve"> </w:t>
      </w:r>
      <w:r>
        <w:rPr>
          <w:rStyle w:val="VerbatimChar"/>
        </w:rPr>
        <w:t xml:space="preserve">docs/templates/domain/tariff-impact-model-guide.md</w:t>
      </w:r>
      <w:r>
        <w:t xml:space="preserve"> </w:t>
      </w:r>
      <w:r>
        <w:t xml:space="preserve">for every field.</w:t>
      </w:r>
    </w:p>
    <w:p>
      <w:pPr>
        <w:pStyle w:val="BodyText"/>
      </w:pPr>
      <w:r>
        <w:t xml:space="preserve">The sequence:</w:t>
      </w:r>
    </w:p>
    <w:p>
      <w:pPr>
        <w:numPr>
          <w:ilvl w:val="0"/>
          <w:numId w:val="1015"/>
        </w:numPr>
        <w:pStyle w:val="Compact"/>
      </w:pPr>
      <w:r>
        <w:rPr>
          <w:bCs/>
          <w:b/>
        </w:rPr>
        <w:t xml:space="preserve">Intake:</w:t>
      </w:r>
      <w:r>
        <w:t xml:space="preserve"> </w:t>
      </w:r>
      <w:r>
        <w:t xml:space="preserve">create the Jira story with the Action ID (for example TA-US-2026-07) and copy the model template (model guide, step 1).</w:t>
      </w:r>
    </w:p>
    <w:p>
      <w:pPr>
        <w:numPr>
          <w:ilvl w:val="0"/>
          <w:numId w:val="1015"/>
        </w:numPr>
        <w:pStyle w:val="Compact"/>
      </w:pPr>
      <w:r>
        <w:rPr>
          <w:bCs/>
          <w:b/>
        </w:rPr>
        <w:t xml:space="preserve">60-minute first pass:</w:t>
      </w:r>
      <w:r>
        <w:t xml:space="preserve"> </w:t>
      </w:r>
      <w:r>
        <w:t xml:space="preserve">follow "The 60-minute first pass" in the brief template. Tell the Manager the effective date and the candidate count.</w:t>
      </w:r>
    </w:p>
    <w:p>
      <w:pPr>
        <w:numPr>
          <w:ilvl w:val="0"/>
          <w:numId w:val="1015"/>
        </w:numPr>
        <w:pStyle w:val="Compact"/>
      </w:pPr>
      <w:r>
        <w:rPr>
          <w:bCs/>
          <w:b/>
        </w:rPr>
        <w:t xml:space="preserve">Draft v0.1:</w:t>
      </w:r>
      <w:r>
        <w:t xml:space="preserve"> </w:t>
      </w:r>
      <w:r>
        <w:t xml:space="preserve">work through the checklist (2.5). Quote first, then interpret, with a confidence level.</w:t>
      </w:r>
    </w:p>
    <w:p>
      <w:pPr>
        <w:numPr>
          <w:ilvl w:val="0"/>
          <w:numId w:val="1015"/>
        </w:numPr>
        <w:pStyle w:val="Compact"/>
      </w:pPr>
      <w:r>
        <w:rPr>
          <w:bCs/>
          <w:b/>
        </w:rPr>
        <w:t xml:space="preserve">Questions out:</w:t>
      </w:r>
      <w:r>
        <w:t xml:space="preserve"> </w:t>
      </w:r>
      <w:r>
        <w:t xml:space="preserve">send broker and counsel questions early, through the Senior (2.6); log them in Brief Part 10.</w:t>
      </w:r>
    </w:p>
    <w:p>
      <w:pPr>
        <w:numPr>
          <w:ilvl w:val="0"/>
          <w:numId w:val="1015"/>
        </w:numPr>
        <w:pStyle w:val="Compact"/>
      </w:pPr>
      <w:r>
        <w:rPr>
          <w:bCs/>
          <w:b/>
        </w:rPr>
        <w:t xml:space="preserve">Self-check:</w:t>
      </w:r>
      <w:r>
        <w:t xml:space="preserve"> </w:t>
      </w:r>
      <w:r>
        <w:t xml:space="preserve">the maker quality checklist in the brief template.</w:t>
      </w:r>
    </w:p>
    <w:p>
      <w:pPr>
        <w:numPr>
          <w:ilvl w:val="0"/>
          <w:numId w:val="1015"/>
        </w:numPr>
        <w:pStyle w:val="Compact"/>
      </w:pPr>
      <w:r>
        <w:rPr>
          <w:bCs/>
          <w:b/>
        </w:rPr>
        <w:t xml:space="preserve">Check:</w:t>
      </w:r>
      <w:r>
        <w:t xml:space="preserve"> </w:t>
      </w:r>
      <w:r>
        <w:t xml:space="preserve">the Senior (or the Manager) checks the brief against the sources and logs the result on Jira.</w:t>
      </w:r>
    </w:p>
    <w:p>
      <w:pPr>
        <w:numPr>
          <w:ilvl w:val="0"/>
          <w:numId w:val="1015"/>
        </w:numPr>
        <w:pStyle w:val="Compact"/>
      </w:pPr>
      <w:r>
        <w:rPr>
          <w:bCs/>
          <w:b/>
        </w:rPr>
        <w:t xml:space="preserve">Release v1.0 and fill the Action tab:</w:t>
      </w:r>
      <w:r>
        <w:t xml:space="preserve"> </w:t>
      </w:r>
      <w:r>
        <w:t xml:space="preserve">the checker reviews the Action tab against the brief and logs it on the model's Review tab.</w:t>
      </w:r>
    </w:p>
    <w:p>
      <w:pPr>
        <w:numPr>
          <w:ilvl w:val="0"/>
          <w:numId w:val="1015"/>
        </w:numPr>
        <w:pStyle w:val="Compact"/>
      </w:pPr>
      <w:r>
        <w:rPr>
          <w:bCs/>
          <w:b/>
        </w:rPr>
        <w:t xml:space="preserve">Handoff call (15 minutes):</w:t>
      </w:r>
      <w:r>
        <w:t xml:space="preserve"> </w:t>
      </w:r>
      <w:r>
        <w:t xml:space="preserve">walk Hire B through the scope, dates, open questions and any partial-value base. Hire B confirms on Jira.</w:t>
      </w:r>
    </w:p>
    <w:p>
      <w:pPr>
        <w:numPr>
          <w:ilvl w:val="0"/>
          <w:numId w:val="1015"/>
        </w:numPr>
        <w:pStyle w:val="Compact"/>
      </w:pPr>
      <w:r>
        <w:rPr>
          <w:bCs/>
          <w:b/>
        </w:rPr>
        <w:t xml:space="preserve">Changes:</w:t>
      </w:r>
      <w:r>
        <w:t xml:space="preserve"> </w:t>
      </w:r>
      <w:r>
        <w:t xml:space="preserve">any change after release is a new version (v1.1), re-checked and re-sent. Update Part 1 of this document if the action's status changed.</w:t>
      </w:r>
    </w:p>
    <w:p>
      <w:pPr>
        <w:pStyle w:val="FirstParagraph"/>
      </w:pPr>
      <w:r>
        <w:t xml:space="preserve">Never put $ figures, pricing advice or shipment timing recommendations in a brief.</w:t>
      </w:r>
    </w:p>
    <w:bookmarkEnd w:id="166"/>
    <w:bookmarkStart w:id="167" w:name="Xc102ab81f8fda6602e7bbf7b4bfa116384e4fcb"/>
    <w:p>
      <w:pPr>
        <w:pStyle w:val="Heading3"/>
      </w:pPr>
      <w:r>
        <w:t xml:space="preserve">2.8 Practice exercise</w:t>
      </w:r>
    </w:p>
    <w:p>
      <w:pPr>
        <w:pStyle w:val="FirstParagraph"/>
      </w:pPr>
      <w:r>
        <w:t xml:space="preserve">Do this as the A30-6 outline in W3 to W4 and as the full A60-1 brief in W7 (see</w:t>
      </w:r>
      <w:r>
        <w:t xml:space="preserve"> </w:t>
      </w:r>
      <w:r>
        <w:rPr>
          <w:rStyle w:val="VerbatimChar"/>
        </w:rPr>
        <w:t xml:space="preserve">docs/01-30-60-90-plan.md</w:t>
      </w:r>
      <w:r>
        <w:t xml:space="preserve">). Choose the action with the Senior. Each option teaches something different:</w:t>
      </w:r>
    </w:p>
    <w:tbl>
      <w:tblPr>
        <w:tblStyle w:val="Table"/>
        <w:tblW w:type="dxa" w:w="9360"/>
        <w:tblLook w:firstRow="1" w:lastRow="0" w:firstColumn="0" w:lastColumn="0" w:noHBand="0" w:noVBand="0" w:val="0020"/>
        <w:jc w:val="start"/>
        <w:tblLayout w:type="fixed"/>
      </w:tblPr>
      <w:tblGrid>
        <w:gridCol w:w="841"/>
        <w:gridCol w:w="2596"/>
        <w:gridCol w:w="5079"/>
        <w:gridCol w:w="841"/>
      </w:tblGrid>
      <w:tr>
        <w:trPr>
          <w:tblHeader w:val="true"/>
        </w:trPr>
        <w:tc>
          <w:tcPr>
            <w:tcW w:w="841" w:type="dxa"/>
          </w:tcPr>
          <w:p>
            <w:pPr>
              <w:pStyle w:val="Compact"/>
              <w:jc w:val="left"/>
            </w:pPr>
            <w:r>
              <w:t xml:space="preserve">Option</w:t>
            </w:r>
          </w:p>
        </w:tc>
        <w:tc>
          <w:tcPr>
            <w:tcW w:w="2596" w:type="dxa"/>
          </w:tcPr>
          <w:p>
            <w:pPr>
              <w:pStyle w:val="Compact"/>
              <w:jc w:val="left"/>
            </w:pPr>
            <w:r>
              <w:t xml:space="preserve">Action from Part 1</w:t>
            </w:r>
          </w:p>
        </w:tc>
        <w:tc>
          <w:tcPr>
            <w:tcW w:w="5079" w:type="dxa"/>
          </w:tcPr>
          <w:p>
            <w:pPr>
              <w:pStyle w:val="Compact"/>
              <w:jc w:val="left"/>
            </w:pPr>
            <w:r>
              <w:t xml:space="preserve">What it teaches</w:t>
            </w:r>
          </w:p>
        </w:tc>
        <w:tc>
          <w:tcPr>
            <w:tcW w:w="841" w:type="dxa"/>
          </w:tcPr>
          <w:p>
            <w:pPr>
              <w:pStyle w:val="Compact"/>
              <w:jc w:val="left"/>
            </w:pPr>
            <w:r>
              <w:t xml:space="preserve">Importing country</w:t>
            </w:r>
          </w:p>
        </w:tc>
      </w:tr>
      <w:tr>
        <w:tc>
          <w:tcPr>
            <w:tcW w:w="841" w:type="dxa"/>
          </w:tcPr>
          <w:p>
            <w:pPr>
              <w:pStyle w:val="Compact"/>
              <w:jc w:val="left"/>
            </w:pPr>
            <w:r>
              <w:t xml:space="preserve">A (recommended)</w:t>
            </w:r>
          </w:p>
        </w:tc>
        <w:tc>
          <w:tcPr>
            <w:tcW w:w="2596" w:type="dxa"/>
          </w:tcPr>
          <w:p>
            <w:pPr>
              <w:pStyle w:val="Compact"/>
              <w:jc w:val="left"/>
            </w:pPr>
            <w:r>
              <w:t xml:space="preserve">Section 301 forced-labor duties (US-2)</w:t>
            </w:r>
          </w:p>
        </w:tc>
        <w:tc>
          <w:tcPr>
            <w:tcW w:w="5079" w:type="dxa"/>
          </w:tcPr>
          <w:p>
            <w:pPr>
              <w:pStyle w:val="Compact"/>
              <w:jc w:val="left"/>
            </w:pPr>
            <w:r>
              <w:t xml:space="preserve">A live action on our Mexican and Canadian imports: country tiers, the USMCA duty-free carve-out lines (9903.05.93, 9903.05.94), the Section 232 exclusion, in-transit relief, a drawback validation that CBP reversed (CSMS 69535943, then 69567203)</w:t>
            </w:r>
          </w:p>
        </w:tc>
        <w:tc>
          <w:tcPr>
            <w:tcW w:w="841" w:type="dxa"/>
          </w:tcPr>
          <w:p>
            <w:pPr>
              <w:pStyle w:val="Compact"/>
              <w:jc w:val="left"/>
            </w:pPr>
            <w:r>
              <w:t xml:space="preserve">US</w:t>
            </w:r>
          </w:p>
        </w:tc>
      </w:tr>
      <w:tr>
        <w:tc>
          <w:tcPr>
            <w:tcW w:w="841" w:type="dxa"/>
          </w:tcPr>
          <w:p>
            <w:pPr>
              <w:pStyle w:val="Compact"/>
              <w:jc w:val="left"/>
            </w:pPr>
            <w:r>
              <w:t xml:space="preserve">B</w:t>
            </w:r>
          </w:p>
        </w:tc>
        <w:tc>
          <w:tcPr>
            <w:tcW w:w="2596" w:type="dxa"/>
          </w:tcPr>
          <w:p>
            <w:pPr>
              <w:pStyle w:val="Compact"/>
              <w:jc w:val="left"/>
            </w:pPr>
            <w:r>
              <w:t xml:space="preserve">Mexico's IGI increase on non-FTA goods from 2026-01-01 (1.4)</w:t>
            </w:r>
          </w:p>
        </w:tc>
        <w:tc>
          <w:tcPr>
            <w:tcW w:w="5079" w:type="dxa"/>
          </w:tcPr>
          <w:p>
            <w:pPr>
              <w:pStyle w:val="Compact"/>
              <w:jc w:val="left"/>
            </w:pPr>
            <w:r>
              <w:t xml:space="preserve">DOF decrees, fracciones and NICO, preference claims, IMMEX and PROSEC questions for the agente aduanal</w:t>
            </w:r>
          </w:p>
        </w:tc>
        <w:tc>
          <w:tcPr>
            <w:tcW w:w="841" w:type="dxa"/>
          </w:tcPr>
          <w:p>
            <w:pPr>
              <w:pStyle w:val="Compact"/>
              <w:jc w:val="left"/>
            </w:pPr>
            <w:r>
              <w:t xml:space="preserve">MX</w:t>
            </w:r>
          </w:p>
        </w:tc>
      </w:tr>
      <w:tr>
        <w:tc>
          <w:tcPr>
            <w:tcW w:w="841" w:type="dxa"/>
          </w:tcPr>
          <w:p>
            <w:pPr>
              <w:pStyle w:val="Compact"/>
              <w:jc w:val="left"/>
            </w:pPr>
            <w:r>
              <w:t xml:space="preserve">C (live, W3 to W4 only)</w:t>
            </w:r>
          </w:p>
        </w:tc>
        <w:tc>
          <w:tcPr>
            <w:tcW w:w="2596" w:type="dxa"/>
          </w:tcPr>
          <w:p>
            <w:pPr>
              <w:pStyle w:val="Compact"/>
              <w:jc w:val="left"/>
            </w:pPr>
            <w:r>
              <w:t xml:space="preserve">Section 301 China exclusions ending 2026-11-09 (US-4)</w:t>
            </w:r>
          </w:p>
        </w:tc>
        <w:tc>
          <w:tcPr>
            <w:tcW w:w="5079" w:type="dxa"/>
          </w:tcPr>
          <w:p>
            <w:pPr>
              <w:pStyle w:val="Compact"/>
              <w:jc w:val="left"/>
            </w:pPr>
            <w:r>
              <w:t xml:space="preserve">Monitoring an expiry, exclusion descriptions narrower than the HTS line, item-level determinations</w:t>
            </w:r>
          </w:p>
        </w:tc>
        <w:tc>
          <w:tcPr>
            <w:tcW w:w="841" w:type="dxa"/>
          </w:tcPr>
          <w:p>
            <w:pPr>
              <w:pStyle w:val="Compact"/>
              <w:jc w:val="left"/>
            </w:pPr>
            <w:r>
              <w:t xml:space="preserve">US</w:t>
            </w:r>
          </w:p>
        </w:tc>
      </w:tr>
      <w:tr>
        <w:tc>
          <w:tcPr>
            <w:tcW w:w="841" w:type="dxa"/>
          </w:tcPr>
          <w:p>
            <w:pPr>
              <w:pStyle w:val="Compact"/>
              <w:jc w:val="left"/>
            </w:pPr>
            <w:r>
              <w:t xml:space="preserve">D</w:t>
            </w:r>
          </w:p>
        </w:tc>
        <w:tc>
          <w:tcPr>
            <w:tcW w:w="2596" w:type="dxa"/>
          </w:tcPr>
          <w:p>
            <w:pPr>
              <w:pStyle w:val="Compact"/>
              <w:jc w:val="left"/>
            </w:pPr>
            <w:r>
              <w:t xml:space="preserve">Canada's United States Surtax Order (2026) and its remission (1.3)</w:t>
            </w:r>
          </w:p>
        </w:tc>
        <w:tc>
          <w:tcPr>
            <w:tcW w:w="5079" w:type="dxa"/>
          </w:tcPr>
          <w:p>
            <w:pPr>
              <w:pStyle w:val="Compact"/>
              <w:jc w:val="left"/>
            </w:pPr>
            <w:r>
              <w:t xml:space="preserve">Gazette orders, CBSA notices, the marking-based origin rule, schedules by rate, remission claims</w:t>
            </w:r>
          </w:p>
        </w:tc>
        <w:tc>
          <w:tcPr>
            <w:tcW w:w="841" w:type="dxa"/>
          </w:tcPr>
          <w:p>
            <w:pPr>
              <w:pStyle w:val="Compact"/>
              <w:jc w:val="left"/>
            </w:pPr>
            <w:r>
              <w:t xml:space="preserve">CA</w:t>
            </w:r>
          </w:p>
        </w:tc>
      </w:tr>
      <w:tr>
        <w:tc>
          <w:tcPr>
            <w:tcW w:w="841" w:type="dxa"/>
          </w:tcPr>
          <w:p>
            <w:pPr>
              <w:pStyle w:val="Compact"/>
              <w:jc w:val="left"/>
            </w:pPr>
            <w:r>
              <w:t xml:space="preserve">E</w:t>
            </w:r>
          </w:p>
        </w:tc>
        <w:tc>
          <w:tcPr>
            <w:tcW w:w="2596" w:type="dxa"/>
          </w:tcPr>
          <w:p>
            <w:pPr>
              <w:pStyle w:val="Compact"/>
              <w:jc w:val="left"/>
            </w:pPr>
            <w:r>
              <w:t xml:space="preserve">Section 232 metals after Proclamation 11021 (US-3)</w:t>
            </w:r>
          </w:p>
        </w:tc>
        <w:tc>
          <w:tcPr>
            <w:tcW w:w="5079" w:type="dxa"/>
          </w:tcPr>
          <w:p>
            <w:pPr>
              <w:pStyle w:val="Compact"/>
              <w:jc w:val="left"/>
            </w:pPr>
            <w:r>
              <w:t xml:space="preserve">Reading a restructured action: annex tiers, the 15% weight test, the full-value base replacing the content base, a narrow USMCA non-US-content track (Annex I-C)</w:t>
            </w:r>
          </w:p>
        </w:tc>
        <w:tc>
          <w:tcPr>
            <w:tcW w:w="841" w:type="dxa"/>
          </w:tcPr>
          <w:p>
            <w:pPr>
              <w:pStyle w:val="Compact"/>
              <w:jc w:val="left"/>
            </w:pPr>
            <w:r>
              <w:t xml:space="preserve">US</w:t>
            </w:r>
          </w:p>
        </w:tc>
      </w:tr>
      <w:tr>
        <w:tc>
          <w:tcPr>
            <w:tcW w:w="841" w:type="dxa"/>
          </w:tcPr>
          <w:p>
            <w:pPr>
              <w:pStyle w:val="Compact"/>
              <w:jc w:val="left"/>
            </w:pPr>
            <w:r>
              <w:t xml:space="preserve">F (advanced)</w:t>
            </w:r>
          </w:p>
        </w:tc>
        <w:tc>
          <w:tcPr>
            <w:tcW w:w="2596" w:type="dxa"/>
          </w:tcPr>
          <w:p>
            <w:pPr>
              <w:pStyle w:val="Compact"/>
              <w:jc w:val="left"/>
            </w:pPr>
            <w:r>
              <w:t xml:space="preserve">Section 338 on goods of Canada (US-5)</w:t>
            </w:r>
          </w:p>
        </w:tc>
        <w:tc>
          <w:tcPr>
            <w:tcW w:w="5079" w:type="dxa"/>
          </w:tcPr>
          <w:p>
            <w:pPr>
              <w:pStyle w:val="Compact"/>
              <w:jc w:val="left"/>
            </w:pPr>
            <w:r>
              <w:t xml:space="preserve">Several proclamations for one action, a suspension, a mid-course list change, import bans, a mid-course change to Section 232 stacking (9903.03.15 limited to the dairy list from 2026-09-15)</w:t>
            </w:r>
          </w:p>
        </w:tc>
        <w:tc>
          <w:tcPr>
            <w:tcW w:w="841" w:type="dxa"/>
          </w:tcPr>
          <w:p>
            <w:pPr>
              <w:pStyle w:val="Compact"/>
              <w:jc w:val="left"/>
            </w:pPr>
            <w:r>
              <w:t xml:space="preserve">US</w:t>
            </w:r>
          </w:p>
        </w:tc>
      </w:tr>
    </w:tbl>
    <w:p>
      <w:pPr>
        <w:pStyle w:val="BodyText"/>
      </w:pPr>
      <w:r>
        <w:t xml:space="preserve">For the A30-6 outline use Option A, C, E or F (A30-6 needs a US action). Options B and D suit the A60-1 brief or later practice.</w:t>
      </w:r>
    </w:p>
    <w:p>
      <w:pPr>
        <w:pStyle w:val="BodyText"/>
      </w:pPr>
      <w:r>
        <w:t xml:space="preserve">Option C and the urgency rule: through W3 to W4 the expiry is fewer than 15 business days away, and from Wed 11/4 fewer than 5. If any of our items use an exclusion (company check E5), the real brief follows the urgency rule (2.4): you are maker, with the checker reviewing your draft on the same business day you submit it, while 5 to 15 business days remain, then a trainer is maker and your outline becomes the parallel practice brief.</w:t>
      </w:r>
    </w:p>
    <w:p>
      <w:pPr>
        <w:pStyle w:val="BodyText"/>
      </w:pPr>
      <w:r>
        <w:t xml:space="preserve">Steps:</w:t>
      </w:r>
    </w:p>
    <w:p>
      <w:pPr>
        <w:numPr>
          <w:ilvl w:val="0"/>
          <w:numId w:val="1016"/>
        </w:numPr>
        <w:pStyle w:val="Compact"/>
      </w:pPr>
      <w:r>
        <w:rPr>
          <w:bCs/>
          <w:b/>
        </w:rPr>
        <w:t xml:space="preserve">Verify the Part 1 row first (30 minutes).</w:t>
      </w:r>
      <w:r>
        <w:t xml:space="preserve"> </w:t>
      </w:r>
      <w:r>
        <w:t xml:space="preserve">Open the primary sources, update the row and its confidence label, and log it. If the action has ended or changed, tell the Senior and pick again.</w:t>
      </w:r>
    </w:p>
    <w:p>
      <w:pPr>
        <w:numPr>
          <w:ilvl w:val="0"/>
          <w:numId w:val="1016"/>
        </w:numPr>
        <w:pStyle w:val="Compact"/>
      </w:pPr>
      <w:r>
        <w:rPr>
          <w:bCs/>
          <w:b/>
        </w:rPr>
        <w:t xml:space="preserve">60-minute first pass (timed).</w:t>
      </w:r>
      <w:r>
        <w:t xml:space="preserve"> </w:t>
      </w:r>
      <w:r>
        <w:t xml:space="preserve">Find the instrument, the implementing guidance and the HTS list, and copy the timing clause. This is the A30-6 evidence.</w:t>
      </w:r>
    </w:p>
    <w:p>
      <w:pPr>
        <w:numPr>
          <w:ilvl w:val="0"/>
          <w:numId w:val="1016"/>
        </w:numPr>
        <w:pStyle w:val="Compact"/>
      </w:pPr>
      <w:r>
        <w:rPr>
          <w:bCs/>
          <w:b/>
        </w:rPr>
        <w:t xml:space="preserve">Full brief (about 6 hours of self-study across the week).</w:t>
      </w:r>
      <w:r>
        <w:t xml:space="preserve"> </w:t>
      </w:r>
      <w:r>
        <w:t xml:space="preserve">Work the checklist in 2.5. Run the candidate-item query from Brief Part 9 on [COMPANY: classification table]. If your access is not ready, practise the query on the items table in Practice-Data.xlsx in the onboarding folder; its HTS codes are synthetic, so the counts mean nothing for the real action.</w:t>
      </w:r>
    </w:p>
    <w:p>
      <w:pPr>
        <w:numPr>
          <w:ilvl w:val="0"/>
          <w:numId w:val="1016"/>
        </w:numPr>
        <w:pStyle w:val="Compact"/>
      </w:pPr>
      <w:r>
        <w:rPr>
          <w:bCs/>
          <w:b/>
        </w:rPr>
        <w:t xml:space="preserve">Self-check</w:t>
      </w:r>
      <w:r>
        <w:t xml:space="preserve"> </w:t>
      </w:r>
      <w:r>
        <w:t xml:space="preserve">with the maker quality checklist in the brief template.</w:t>
      </w:r>
    </w:p>
    <w:p>
      <w:pPr>
        <w:numPr>
          <w:ilvl w:val="0"/>
          <w:numId w:val="1016"/>
        </w:numPr>
        <w:pStyle w:val="Compact"/>
      </w:pPr>
      <w:r>
        <w:rPr>
          <w:bCs/>
          <w:b/>
        </w:rPr>
        <w:t xml:space="preserve">Checker review</w:t>
      </w:r>
      <w:r>
        <w:t xml:space="preserve"> </w:t>
      </w:r>
      <w:r>
        <w:t xml:space="preserve">by the Senior with the rubric below: 20 minutes for an outline, 45 minutes for a full brief, inside the Senior's weekly review time.</w:t>
      </w:r>
    </w:p>
    <w:p>
      <w:pPr>
        <w:numPr>
          <w:ilvl w:val="0"/>
          <w:numId w:val="1016"/>
        </w:numPr>
        <w:pStyle w:val="Compact"/>
      </w:pPr>
      <w:r>
        <w:rPr>
          <w:bCs/>
          <w:b/>
        </w:rPr>
        <w:t xml:space="preserve">Fix and re-release</w:t>
      </w:r>
      <w:r>
        <w:t xml:space="preserve"> </w:t>
      </w:r>
      <w:r>
        <w:t xml:space="preserve">as training v1.0. It goes to the business only if the Manager decides it is useful.</w:t>
      </w:r>
    </w:p>
    <w:p>
      <w:pPr>
        <w:numPr>
          <w:ilvl w:val="0"/>
          <w:numId w:val="1016"/>
        </w:numPr>
        <w:pStyle w:val="Compact"/>
      </w:pPr>
      <w:r>
        <w:rPr>
          <w:bCs/>
          <w:b/>
        </w:rPr>
        <w:t xml:space="preserve">Optional handoff drill:</w:t>
      </w:r>
      <w:r>
        <w:t xml:space="preserve"> </w:t>
      </w:r>
      <w:r>
        <w:t xml:space="preserve">fill the Action tab and do the 15-minute handoff with Hire B in the W7 to W8 joint tariff drill.</w:t>
      </w:r>
    </w:p>
    <w:bookmarkEnd w:id="167"/>
    <w:bookmarkStart w:id="168" w:name="X4be4cd6a6a74390b973c5a273df2f7f25e43301"/>
    <w:p>
      <w:pPr>
        <w:pStyle w:val="Heading3"/>
      </w:pPr>
      <w:r>
        <w:t xml:space="preserve">2.9 Trainer review rubric</w:t>
      </w:r>
    </w:p>
    <w:p>
      <w:pPr>
        <w:pStyle w:val="FirstParagraph"/>
      </w:pPr>
      <w:r>
        <w:t xml:space="preserve">Score each criterion 0, 1 or 2. A</w:t>
      </w:r>
      <w:r>
        <w:t xml:space="preserve"> </w:t>
      </w:r>
      <w:r>
        <w:rPr>
          <w:bCs/>
          <w:b/>
        </w:rPr>
        <w:t xml:space="preserve">material error</w:t>
      </w:r>
      <w:r>
        <w:t xml:space="preserve"> </w:t>
      </w:r>
      <w:r>
        <w:t xml:space="preserve">is anything that would change which items pay, how much they pay or from when: a wrong or unsupported scope, rate, origin rule, effective date or time, USMCA treatment, value base or stacking result. Any $ figure in a brief is also a material error.</w:t>
      </w:r>
    </w:p>
    <w:tbl>
      <w:tblPr>
        <w:tblStyle w:val="Table"/>
        <w:tblW w:type="dxa" w:w="9360"/>
        <w:tblLook w:firstRow="1" w:lastRow="0" w:firstColumn="0" w:lastColumn="0" w:noHBand="0" w:noVBand="0" w:val="0020"/>
        <w:jc w:val="start"/>
        <w:tblLayout w:type="fixed"/>
      </w:tblPr>
      <w:tblGrid>
        <w:gridCol w:w="831"/>
        <w:gridCol w:w="1059"/>
        <w:gridCol w:w="3154"/>
        <w:gridCol w:w="1687"/>
        <w:gridCol w:w="2626"/>
      </w:tblGrid>
      <w:tr>
        <w:trPr>
          <w:tblHeader w:val="true"/>
        </w:trPr>
        <w:tc>
          <w:tcPr>
            <w:tcW w:w="831" w:type="dxa"/>
          </w:tcPr>
          <w:p>
            <w:pPr>
              <w:pStyle w:val="Compact"/>
              <w:jc w:val="left"/>
            </w:pPr>
            <w:r>
              <w:t xml:space="preserve">#</w:t>
            </w:r>
          </w:p>
        </w:tc>
        <w:tc>
          <w:tcPr>
            <w:tcW w:w="1059" w:type="dxa"/>
          </w:tcPr>
          <w:p>
            <w:pPr>
              <w:pStyle w:val="Compact"/>
              <w:jc w:val="left"/>
            </w:pPr>
            <w:r>
              <w:t xml:space="preserve">Criterion</w:t>
            </w:r>
          </w:p>
        </w:tc>
        <w:tc>
          <w:tcPr>
            <w:tcW w:w="3154" w:type="dxa"/>
          </w:tcPr>
          <w:p>
            <w:pPr>
              <w:pStyle w:val="Compact"/>
              <w:jc w:val="left"/>
            </w:pPr>
            <w:r>
              <w:t xml:space="preserve">2 = Meets</w:t>
            </w:r>
          </w:p>
        </w:tc>
        <w:tc>
          <w:tcPr>
            <w:tcW w:w="1687" w:type="dxa"/>
          </w:tcPr>
          <w:p>
            <w:pPr>
              <w:pStyle w:val="Compact"/>
              <w:jc w:val="left"/>
            </w:pPr>
            <w:r>
              <w:t xml:space="preserve">1 = Partly</w:t>
            </w:r>
          </w:p>
        </w:tc>
        <w:tc>
          <w:tcPr>
            <w:tcW w:w="2626" w:type="dxa"/>
          </w:tcPr>
          <w:p>
            <w:pPr>
              <w:pStyle w:val="Compact"/>
              <w:jc w:val="left"/>
            </w:pPr>
            <w:r>
              <w:t xml:space="preserve">0 = Material error</w:t>
            </w:r>
          </w:p>
        </w:tc>
      </w:tr>
      <w:tr>
        <w:tc>
          <w:tcPr>
            <w:tcW w:w="831" w:type="dxa"/>
          </w:tcPr>
          <w:p>
            <w:pPr>
              <w:pStyle w:val="Compact"/>
              <w:jc w:val="left"/>
            </w:pPr>
            <w:r>
              <w:t xml:space="preserve">1</w:t>
            </w:r>
          </w:p>
        </w:tc>
        <w:tc>
          <w:tcPr>
            <w:tcW w:w="1059" w:type="dxa"/>
          </w:tcPr>
          <w:p>
            <w:pPr>
              <w:pStyle w:val="Compact"/>
              <w:jc w:val="left"/>
            </w:pPr>
            <w:r>
              <w:t xml:space="preserve">Primary sources</w:t>
            </w:r>
          </w:p>
        </w:tc>
        <w:tc>
          <w:tcPr>
            <w:tcW w:w="3154" w:type="dxa"/>
          </w:tcPr>
          <w:p>
            <w:pPr>
              <w:pStyle w:val="Compact"/>
              <w:jc w:val="left"/>
            </w:pPr>
            <w:r>
              <w:t xml:space="preserve">Every fact has a primary source with its date; news, fact sheets and alerts used only as leads</w:t>
            </w:r>
          </w:p>
        </w:tc>
        <w:tc>
          <w:tcPr>
            <w:tcW w:w="1687" w:type="dxa"/>
          </w:tcPr>
          <w:p>
            <w:pPr>
              <w:pStyle w:val="Compact"/>
              <w:jc w:val="left"/>
            </w:pPr>
            <w:r>
              <w:t xml:space="preserve">One or two facts cite a secondary source but are correct</w:t>
            </w:r>
          </w:p>
        </w:tc>
        <w:tc>
          <w:tcPr>
            <w:tcW w:w="2626" w:type="dxa"/>
          </w:tcPr>
          <w:p>
            <w:pPr>
              <w:pStyle w:val="Compact"/>
              <w:jc w:val="left"/>
            </w:pPr>
            <w:r>
              <w:t xml:space="preserve">A fact rests on a secondary source and is wrong, or a key source is missing</w:t>
            </w:r>
          </w:p>
        </w:tc>
      </w:tr>
      <w:tr>
        <w:tc>
          <w:tcPr>
            <w:tcW w:w="831" w:type="dxa"/>
          </w:tcPr>
          <w:p>
            <w:pPr>
              <w:pStyle w:val="Compact"/>
              <w:jc w:val="left"/>
            </w:pPr>
            <w:r>
              <w:t xml:space="preserve">2</w:t>
            </w:r>
          </w:p>
        </w:tc>
        <w:tc>
          <w:tcPr>
            <w:tcW w:w="1059" w:type="dxa"/>
          </w:tcPr>
          <w:p>
            <w:pPr>
              <w:pStyle w:val="Compact"/>
              <w:jc w:val="left"/>
            </w:pPr>
            <w:r>
              <w:t xml:space="preserve">Authority and instrument</w:t>
            </w:r>
          </w:p>
        </w:tc>
        <w:tc>
          <w:tcPr>
            <w:tcW w:w="3154" w:type="dxa"/>
          </w:tcPr>
          <w:p>
            <w:pPr>
              <w:pStyle w:val="Compact"/>
              <w:jc w:val="left"/>
            </w:pPr>
            <w:r>
              <w:t xml:space="preserve">Statute, instrument, number, date and issuer correct</w:t>
            </w:r>
          </w:p>
        </w:tc>
        <w:tc>
          <w:tcPr>
            <w:tcW w:w="1687" w:type="dxa"/>
          </w:tcPr>
          <w:p>
            <w:pPr>
              <w:pStyle w:val="Compact"/>
              <w:jc w:val="left"/>
            </w:pPr>
            <w:r>
              <w:t xml:space="preserve">Minor citation error</w:t>
            </w:r>
          </w:p>
        </w:tc>
        <w:tc>
          <w:tcPr>
            <w:tcW w:w="2626" w:type="dxa"/>
          </w:tcPr>
          <w:p>
            <w:pPr>
              <w:pStyle w:val="Compact"/>
              <w:jc w:val="left"/>
            </w:pPr>
            <w:r>
              <w:t xml:space="preserve">Wrong authority or wrong instrument</w:t>
            </w:r>
          </w:p>
        </w:tc>
      </w:tr>
      <w:tr>
        <w:tc>
          <w:tcPr>
            <w:tcW w:w="831" w:type="dxa"/>
          </w:tcPr>
          <w:p>
            <w:pPr>
              <w:pStyle w:val="Compact"/>
              <w:jc w:val="left"/>
            </w:pPr>
            <w:r>
              <w:t xml:space="preserve">3</w:t>
            </w:r>
          </w:p>
        </w:tc>
        <w:tc>
          <w:tcPr>
            <w:tcW w:w="1059" w:type="dxa"/>
          </w:tcPr>
          <w:p>
            <w:pPr>
              <w:pStyle w:val="Compact"/>
              <w:jc w:val="left"/>
            </w:pPr>
            <w:r>
              <w:t xml:space="preserve">Timing</w:t>
            </w:r>
          </w:p>
        </w:tc>
        <w:tc>
          <w:tcPr>
            <w:tcW w:w="3154" w:type="dxa"/>
          </w:tcPr>
          <w:p>
            <w:pPr>
              <w:pStyle w:val="Compact"/>
              <w:jc w:val="left"/>
            </w:pPr>
            <w:r>
              <w:t xml:space="preserve">Effective date, time, time zone and basis quoted exactly; in-transit and end or step dates stated</w:t>
            </w:r>
          </w:p>
        </w:tc>
        <w:tc>
          <w:tcPr>
            <w:tcW w:w="1687" w:type="dxa"/>
          </w:tcPr>
          <w:p>
            <w:pPr>
              <w:pStyle w:val="Compact"/>
              <w:jc w:val="left"/>
            </w:pPr>
            <w:r>
              <w:t xml:space="preserve">Quoted but one secondary date missing</w:t>
            </w:r>
          </w:p>
        </w:tc>
        <w:tc>
          <w:tcPr>
            <w:tcW w:w="2626" w:type="dxa"/>
          </w:tcPr>
          <w:p>
            <w:pPr>
              <w:pStyle w:val="Compact"/>
              <w:jc w:val="left"/>
            </w:pPr>
            <w:r>
              <w:t xml:space="preserve">Wrong effective date or time, or basis misread</w:t>
            </w:r>
          </w:p>
        </w:tc>
      </w:tr>
      <w:tr>
        <w:tc>
          <w:tcPr>
            <w:tcW w:w="831" w:type="dxa"/>
          </w:tcPr>
          <w:p>
            <w:pPr>
              <w:pStyle w:val="Compact"/>
              <w:jc w:val="left"/>
            </w:pPr>
            <w:r>
              <w:t xml:space="preserve">4</w:t>
            </w:r>
          </w:p>
        </w:tc>
        <w:tc>
          <w:tcPr>
            <w:tcW w:w="1059" w:type="dxa"/>
          </w:tcPr>
          <w:p>
            <w:pPr>
              <w:pStyle w:val="Compact"/>
              <w:jc w:val="left"/>
            </w:pPr>
            <w:r>
              <w:t xml:space="preserve">HTS scope</w:t>
            </w:r>
          </w:p>
        </w:tc>
        <w:tc>
          <w:tcPr>
            <w:tcW w:w="3154" w:type="dxa"/>
          </w:tcPr>
          <w:p>
            <w:pPr>
              <w:pStyle w:val="Compact"/>
              <w:jc w:val="left"/>
            </w:pPr>
            <w:r>
              <w:t xml:space="preserve">List taken from the source as text; digit level and Chapter 99 headings correct</w:t>
            </w:r>
          </w:p>
        </w:tc>
        <w:tc>
          <w:tcPr>
            <w:tcW w:w="1687" w:type="dxa"/>
          </w:tcPr>
          <w:p>
            <w:pPr>
              <w:pStyle w:val="Compact"/>
              <w:jc w:val="left"/>
            </w:pPr>
            <w:r>
              <w:t xml:space="preserve">Small format slip with no effect on matching</w:t>
            </w:r>
          </w:p>
        </w:tc>
        <w:tc>
          <w:tcPr>
            <w:tcW w:w="2626" w:type="dxa"/>
          </w:tcPr>
          <w:p>
            <w:pPr>
              <w:pStyle w:val="Compact"/>
              <w:jc w:val="left"/>
            </w:pPr>
            <w:r>
              <w:t xml:space="preserve">Codes missing or added; wrong heading</w:t>
            </w:r>
          </w:p>
        </w:tc>
      </w:tr>
      <w:tr>
        <w:tc>
          <w:tcPr>
            <w:tcW w:w="831" w:type="dxa"/>
          </w:tcPr>
          <w:p>
            <w:pPr>
              <w:pStyle w:val="Compact"/>
              <w:jc w:val="left"/>
            </w:pPr>
            <w:r>
              <w:t xml:space="preserve">5</w:t>
            </w:r>
          </w:p>
        </w:tc>
        <w:tc>
          <w:tcPr>
            <w:tcW w:w="1059" w:type="dxa"/>
          </w:tcPr>
          <w:p>
            <w:pPr>
              <w:pStyle w:val="Compact"/>
              <w:jc w:val="left"/>
            </w:pPr>
            <w:r>
              <w:t xml:space="preserve">Origin and value base</w:t>
            </w:r>
          </w:p>
        </w:tc>
        <w:tc>
          <w:tcPr>
            <w:tcW w:w="3154" w:type="dxa"/>
          </w:tcPr>
          <w:p>
            <w:pPr>
              <w:pStyle w:val="Compact"/>
              <w:jc w:val="left"/>
            </w:pPr>
            <w:r>
              <w:t xml:space="preserve">Correct origin rule; full value or partial-value base stated correctly</w:t>
            </w:r>
          </w:p>
        </w:tc>
        <w:tc>
          <w:tcPr>
            <w:tcW w:w="1687" w:type="dxa"/>
          </w:tcPr>
          <w:p>
            <w:pPr>
              <w:pStyle w:val="Compact"/>
              <w:jc w:val="left"/>
            </w:pPr>
            <w:r>
              <w:t xml:space="preserve">Rule correct but not explained</w:t>
            </w:r>
          </w:p>
        </w:tc>
        <w:tc>
          <w:tcPr>
            <w:tcW w:w="2626" w:type="dxa"/>
          </w:tcPr>
          <w:p>
            <w:pPr>
              <w:pStyle w:val="Compact"/>
              <w:jc w:val="left"/>
            </w:pPr>
            <w:r>
              <w:t xml:space="preserve">Wrong origin rule; full value used where a content base applies, or an old content base used where the full value applies</w:t>
            </w:r>
          </w:p>
        </w:tc>
      </w:tr>
      <w:tr>
        <w:tc>
          <w:tcPr>
            <w:tcW w:w="831" w:type="dxa"/>
          </w:tcPr>
          <w:p>
            <w:pPr>
              <w:pStyle w:val="Compact"/>
              <w:jc w:val="left"/>
            </w:pPr>
            <w:r>
              <w:t xml:space="preserve">6</w:t>
            </w:r>
          </w:p>
        </w:tc>
        <w:tc>
          <w:tcPr>
            <w:tcW w:w="1059" w:type="dxa"/>
          </w:tcPr>
          <w:p>
            <w:pPr>
              <w:pStyle w:val="Compact"/>
              <w:jc w:val="left"/>
            </w:pPr>
            <w:r>
              <w:t xml:space="preserve">Exclusions and exemptions</w:t>
            </w:r>
          </w:p>
        </w:tc>
        <w:tc>
          <w:tcPr>
            <w:tcW w:w="3154" w:type="dxa"/>
          </w:tcPr>
          <w:p>
            <w:pPr>
              <w:pStyle w:val="Compact"/>
              <w:jc w:val="left"/>
            </w:pPr>
            <w:r>
              <w:t xml:space="preserve">Each has an identification method and the evidence needed</w:t>
            </w:r>
          </w:p>
        </w:tc>
        <w:tc>
          <w:tcPr>
            <w:tcW w:w="1687" w:type="dxa"/>
          </w:tcPr>
          <w:p>
            <w:pPr>
              <w:pStyle w:val="Compact"/>
              <w:jc w:val="left"/>
            </w:pPr>
            <w:r>
              <w:t xml:space="preserve">Identification method vague</w:t>
            </w:r>
          </w:p>
        </w:tc>
        <w:tc>
          <w:tcPr>
            <w:tcW w:w="2626" w:type="dxa"/>
          </w:tcPr>
          <w:p>
            <w:pPr>
              <w:pStyle w:val="Compact"/>
              <w:jc w:val="left"/>
            </w:pPr>
            <w:r>
              <w:t xml:space="preserve">Exclusion missed or misapplied</w:t>
            </w:r>
          </w:p>
        </w:tc>
      </w:tr>
      <w:tr>
        <w:tc>
          <w:tcPr>
            <w:tcW w:w="831" w:type="dxa"/>
          </w:tcPr>
          <w:p>
            <w:pPr>
              <w:pStyle w:val="Compact"/>
              <w:jc w:val="left"/>
            </w:pPr>
            <w:r>
              <w:t xml:space="preserve">7</w:t>
            </w:r>
          </w:p>
        </w:tc>
        <w:tc>
          <w:tcPr>
            <w:tcW w:w="1059" w:type="dxa"/>
          </w:tcPr>
          <w:p>
            <w:pPr>
              <w:pStyle w:val="Compact"/>
              <w:jc w:val="left"/>
            </w:pPr>
            <w:r>
              <w:t xml:space="preserve">USMCA, stacking, de minimis, drawback</w:t>
            </w:r>
          </w:p>
        </w:tc>
        <w:tc>
          <w:tcPr>
            <w:tcW w:w="3154" w:type="dxa"/>
          </w:tcPr>
          <w:p>
            <w:pPr>
              <w:pStyle w:val="Compact"/>
              <w:jc w:val="left"/>
            </w:pPr>
            <w:r>
              <w:t xml:space="preserve">Each answered with a source, or "not applicable"</w:t>
            </w:r>
          </w:p>
        </w:tc>
        <w:tc>
          <w:tcPr>
            <w:tcW w:w="1687" w:type="dxa"/>
          </w:tcPr>
          <w:p>
            <w:pPr>
              <w:pStyle w:val="Compact"/>
              <w:jc w:val="left"/>
            </w:pPr>
            <w:r>
              <w:t xml:space="preserve">One answered without a source</w:t>
            </w:r>
          </w:p>
        </w:tc>
        <w:tc>
          <w:tcPr>
            <w:tcW w:w="2626" w:type="dxa"/>
          </w:tcPr>
          <w:p>
            <w:pPr>
              <w:pStyle w:val="Compact"/>
              <w:jc w:val="left"/>
            </w:pPr>
            <w:r>
              <w:t xml:space="preserve">Wrong USMCA or stacking answer</w:t>
            </w:r>
          </w:p>
        </w:tc>
      </w:tr>
      <w:tr>
        <w:tc>
          <w:tcPr>
            <w:tcW w:w="831" w:type="dxa"/>
          </w:tcPr>
          <w:p>
            <w:pPr>
              <w:pStyle w:val="Compact"/>
              <w:jc w:val="left"/>
            </w:pPr>
            <w:r>
              <w:t xml:space="preserve">8</w:t>
            </w:r>
          </w:p>
        </w:tc>
        <w:tc>
          <w:tcPr>
            <w:tcW w:w="1059" w:type="dxa"/>
          </w:tcPr>
          <w:p>
            <w:pPr>
              <w:pStyle w:val="Compact"/>
              <w:jc w:val="left"/>
            </w:pPr>
            <w:r>
              <w:t xml:space="preserve">Interpretation and confidence</w:t>
            </w:r>
          </w:p>
        </w:tc>
        <w:tc>
          <w:tcPr>
            <w:tcW w:w="3154" w:type="dxa"/>
          </w:tcPr>
          <w:p>
            <w:pPr>
              <w:pStyle w:val="Compact"/>
              <w:jc w:val="left"/>
            </w:pPr>
            <w:r>
              <w:t xml:space="preserve">Quote then interpret; honest confidence; Medium or Low items that change scope sent to the broker or counsel through the Senior</w:t>
            </w:r>
          </w:p>
        </w:tc>
        <w:tc>
          <w:tcPr>
            <w:tcW w:w="1687" w:type="dxa"/>
          </w:tcPr>
          <w:p>
            <w:pPr>
              <w:pStyle w:val="Compact"/>
              <w:jc w:val="left"/>
            </w:pPr>
            <w:r>
              <w:t xml:space="preserve">Confidence missing on one item</w:t>
            </w:r>
          </w:p>
        </w:tc>
        <w:tc>
          <w:tcPr>
            <w:tcW w:w="2626" w:type="dxa"/>
          </w:tcPr>
          <w:p>
            <w:pPr>
              <w:pStyle w:val="Compact"/>
              <w:jc w:val="left"/>
            </w:pPr>
            <w:r>
              <w:t xml:space="preserve">A guess presented as fact</w:t>
            </w:r>
          </w:p>
        </w:tc>
      </w:tr>
      <w:tr>
        <w:tc>
          <w:tcPr>
            <w:tcW w:w="831" w:type="dxa"/>
          </w:tcPr>
          <w:p>
            <w:pPr>
              <w:pStyle w:val="Compact"/>
              <w:jc w:val="left"/>
            </w:pPr>
            <w:r>
              <w:t xml:space="preserve">9</w:t>
            </w:r>
          </w:p>
        </w:tc>
        <w:tc>
          <w:tcPr>
            <w:tcW w:w="1059" w:type="dxa"/>
          </w:tcPr>
          <w:p>
            <w:pPr>
              <w:pStyle w:val="Compact"/>
              <w:jc w:val="left"/>
            </w:pPr>
            <w:r>
              <w:t xml:space="preserve">Item scoping</w:t>
            </w:r>
          </w:p>
        </w:tc>
        <w:tc>
          <w:tcPr>
            <w:tcW w:w="3154" w:type="dxa"/>
          </w:tcPr>
          <w:p>
            <w:pPr>
              <w:pStyle w:val="Compact"/>
              <w:jc w:val="left"/>
            </w:pPr>
            <w:r>
              <w:t xml:space="preserve">Query saved; counts add up; borderline items listed</w:t>
            </w:r>
          </w:p>
        </w:tc>
        <w:tc>
          <w:tcPr>
            <w:tcW w:w="1687" w:type="dxa"/>
          </w:tcPr>
          <w:p>
            <w:pPr>
              <w:pStyle w:val="Compact"/>
              <w:jc w:val="left"/>
            </w:pPr>
            <w:r>
              <w:t xml:space="preserve">Counts add up but the query is not saved</w:t>
            </w:r>
          </w:p>
        </w:tc>
        <w:tc>
          <w:tcPr>
            <w:tcW w:w="2626" w:type="dxa"/>
          </w:tcPr>
          <w:p>
            <w:pPr>
              <w:pStyle w:val="Compact"/>
              <w:jc w:val="left"/>
            </w:pPr>
            <w:r>
              <w:t xml:space="preserve">Counts do not reconcile, or origin taken from the supplier address</w:t>
            </w:r>
          </w:p>
        </w:tc>
      </w:tr>
      <w:tr>
        <w:tc>
          <w:tcPr>
            <w:tcW w:w="831" w:type="dxa"/>
          </w:tcPr>
          <w:p>
            <w:pPr>
              <w:pStyle w:val="Compact"/>
              <w:jc w:val="left"/>
            </w:pPr>
            <w:r>
              <w:t xml:space="preserve">10</w:t>
            </w:r>
          </w:p>
        </w:tc>
        <w:tc>
          <w:tcPr>
            <w:tcW w:w="1059" w:type="dxa"/>
          </w:tcPr>
          <w:p>
            <w:pPr>
              <w:pStyle w:val="Compact"/>
              <w:jc w:val="left"/>
            </w:pPr>
            <w:r>
              <w:t xml:space="preserve">Boundary and control</w:t>
            </w:r>
          </w:p>
        </w:tc>
        <w:tc>
          <w:tcPr>
            <w:tcW w:w="3154" w:type="dxa"/>
          </w:tcPr>
          <w:p>
            <w:pPr>
              <w:pStyle w:val="Compact"/>
              <w:jc w:val="left"/>
            </w:pPr>
            <w:r>
              <w:t xml:space="preserve">No $; version, change log and Jira link complete; maker checklist done</w:t>
            </w:r>
          </w:p>
        </w:tc>
        <w:tc>
          <w:tcPr>
            <w:tcW w:w="1687" w:type="dxa"/>
          </w:tcPr>
          <w:p>
            <w:pPr>
              <w:pStyle w:val="Compact"/>
              <w:jc w:val="left"/>
            </w:pPr>
            <w:r>
              <w:t xml:space="preserve">One control item missing</w:t>
            </w:r>
          </w:p>
        </w:tc>
        <w:tc>
          <w:tcPr>
            <w:tcW w:w="2626" w:type="dxa"/>
          </w:tcPr>
          <w:p>
            <w:pPr>
              <w:pStyle w:val="Compact"/>
              <w:jc w:val="left"/>
            </w:pPr>
            <w:r>
              <w:t xml:space="preserve">$ figures or pricing advice in the brief</w:t>
            </w:r>
          </w:p>
        </w:tc>
      </w:tr>
    </w:tbl>
    <w:p>
      <w:pPr>
        <w:pStyle w:val="BodyText"/>
      </w:pPr>
      <w:r>
        <w:t xml:space="preserve">How to use it:</w:t>
      </w:r>
    </w:p>
    <w:p>
      <w:pPr>
        <w:numPr>
          <w:ilvl w:val="0"/>
          <w:numId w:val="1017"/>
        </w:numPr>
        <w:pStyle w:val="Compact"/>
      </w:pPr>
      <w:r>
        <w:rPr>
          <w:bCs/>
          <w:b/>
        </w:rPr>
        <w:t xml:space="preserve">Outline (A30-6):</w:t>
      </w:r>
      <w:r>
        <w:t xml:space="preserve"> </w:t>
      </w:r>
      <w:r>
        <w:t xml:space="preserve">score criteria 1 to 4 only. Pass: no 0 and at least 6 of 8, with the sources found within 60 minutes.</w:t>
      </w:r>
    </w:p>
    <w:p>
      <w:pPr>
        <w:numPr>
          <w:ilvl w:val="0"/>
          <w:numId w:val="1017"/>
        </w:numPr>
        <w:pStyle w:val="Compact"/>
      </w:pPr>
      <w:r>
        <w:rPr>
          <w:bCs/>
          <w:b/>
        </w:rPr>
        <w:t xml:space="preserve">Full brief (A60-1):</w:t>
      </w:r>
      <w:r>
        <w:t xml:space="preserve"> </w:t>
      </w:r>
      <w:r>
        <w:t xml:space="preserve">pass means no 0 (no material error) and at least 16 of 20.</w:t>
      </w:r>
    </w:p>
    <w:p>
      <w:pPr>
        <w:numPr>
          <w:ilvl w:val="0"/>
          <w:numId w:val="1017"/>
        </w:numPr>
        <w:pStyle w:val="Compact"/>
      </w:pPr>
      <w:r>
        <w:rPr>
          <w:bCs/>
          <w:b/>
        </w:rPr>
        <w:t xml:space="preserve">Proficiency:</w:t>
      </w:r>
      <w:r>
        <w:t xml:space="preserve"> </w:t>
      </w:r>
      <w:r>
        <w:t xml:space="preserve">two full briefs in a row with no 0 and only light edits support a rating of 3 (Independent) for "find and read primary sources" (A60-6).</w:t>
      </w:r>
    </w:p>
    <w:p>
      <w:pPr>
        <w:numPr>
          <w:ilvl w:val="0"/>
          <w:numId w:val="1017"/>
        </w:numPr>
        <w:pStyle w:val="Compact"/>
      </w:pPr>
      <w:r>
        <w:t xml:space="preserve">The checker records the scores, findings and decision on the Jira story and in Brief Part 12.</w:t>
      </w:r>
    </w:p>
    <w:bookmarkEnd w:id="168"/>
    <w:bookmarkEnd w:id="169"/>
    <w:bookmarkStart w:id="170" w:name="maintenance-log"/>
    <w:p>
      <w:pPr>
        <w:pStyle w:val="Heading2"/>
      </w:pPr>
      <w:r>
        <w:t xml:space="preserve">Maintenance log</w:t>
      </w:r>
    </w:p>
    <w:tbl>
      <w:tblPr>
        <w:tblStyle w:val="Table"/>
        <w:tblW w:type="dxa" w:w="9360"/>
        <w:tblLook w:firstRow="1" w:lastRow="0" w:firstColumn="0" w:lastColumn="0" w:noHBand="0" w:noVBand="0" w:val="0020"/>
        <w:jc w:val="start"/>
        <w:tblLayout w:type="fixed"/>
      </w:tblPr>
      <w:tblGrid>
        <w:gridCol w:w="848"/>
        <w:gridCol w:w="4656"/>
        <w:gridCol w:w="2694"/>
        <w:gridCol w:w="1161"/>
      </w:tblGrid>
      <w:tr>
        <w:trPr>
          <w:tblHeader w:val="true"/>
        </w:trPr>
        <w:tc>
          <w:tcPr>
            <w:tcW w:w="848" w:type="dxa"/>
          </w:tcPr>
          <w:p>
            <w:pPr>
              <w:pStyle w:val="Compact"/>
              <w:jc w:val="left"/>
            </w:pPr>
            <w:r>
              <w:t xml:space="preserve">Date</w:t>
            </w:r>
          </w:p>
        </w:tc>
        <w:tc>
          <w:tcPr>
            <w:tcW w:w="4656" w:type="dxa"/>
          </w:tcPr>
          <w:p>
            <w:pPr>
              <w:pStyle w:val="Compact"/>
              <w:jc w:val="left"/>
            </w:pPr>
            <w:r>
              <w:t xml:space="preserve">Change</w:t>
            </w:r>
          </w:p>
        </w:tc>
        <w:tc>
          <w:tcPr>
            <w:tcW w:w="2694" w:type="dxa"/>
          </w:tcPr>
          <w:p>
            <w:pPr>
              <w:pStyle w:val="Compact"/>
              <w:jc w:val="left"/>
            </w:pPr>
            <w:r>
              <w:t xml:space="preserve">Source</w:t>
            </w:r>
          </w:p>
        </w:tc>
        <w:tc>
          <w:tcPr>
            <w:tcW w:w="1161" w:type="dxa"/>
          </w:tcPr>
          <w:p>
            <w:pPr>
              <w:pStyle w:val="Compact"/>
              <w:jc w:val="left"/>
            </w:pPr>
            <w:r>
              <w:t xml:space="preserve">Updated by</w:t>
            </w:r>
          </w:p>
        </w:tc>
      </w:tr>
      <w:tr>
        <w:tc>
          <w:tcPr>
            <w:tcW w:w="848" w:type="dxa"/>
          </w:tcPr>
          <w:p>
            <w:pPr>
              <w:pStyle w:val="Compact"/>
              <w:jc w:val="left"/>
            </w:pPr>
            <w:r>
              <w:t xml:space="preserve">2026-10-08</w:t>
            </w:r>
          </w:p>
        </w:tc>
        <w:tc>
          <w:tcPr>
            <w:tcW w:w="4656" w:type="dxa"/>
          </w:tcPr>
          <w:p>
            <w:pPr>
              <w:pStyle w:val="Compact"/>
              <w:jc w:val="left"/>
            </w:pPr>
            <w:r>
              <w:t xml:space="preserve">Edition v0.9 first draft compiled without opening any primary source</w:t>
            </w:r>
          </w:p>
        </w:tc>
        <w:tc>
          <w:tcPr>
            <w:tcW w:w="2694" w:type="dxa"/>
          </w:tcPr>
          <w:p>
            <w:pPr>
              <w:pStyle w:val="Compact"/>
              <w:jc w:val="left"/>
            </w:pPr>
            <w:r>
              <w:t xml:space="preserve">None opened</w:t>
            </w:r>
          </w:p>
        </w:tc>
        <w:tc>
          <w:tcPr>
            <w:tcW w:w="1161" w:type="dxa"/>
          </w:tcPr>
          <w:p>
            <w:pPr>
              <w:pStyle w:val="Compact"/>
              <w:jc w:val="left"/>
            </w:pPr>
            <w:r>
              <w:t xml:space="preserve">Compiled for the BSA Manager</w:t>
            </w:r>
          </w:p>
        </w:tc>
      </w:tr>
      <w:tr>
        <w:tc>
          <w:tcPr>
            <w:tcW w:w="848" w:type="dxa"/>
          </w:tcPr>
          <w:p>
            <w:pPr>
              <w:pStyle w:val="Compact"/>
              <w:jc w:val="left"/>
            </w:pPr>
            <w:r>
              <w:t xml:space="preserve">2026-10-08</w:t>
            </w:r>
          </w:p>
        </w:tc>
        <w:tc>
          <w:tcPr>
            <w:tcW w:w="4656" w:type="dxa"/>
          </w:tcPr>
          <w:p>
            <w:pPr>
              <w:pStyle w:val="Compact"/>
              <w:jc w:val="left"/>
            </w:pPr>
            <w:r>
              <w:t xml:space="preserve">Review found many 2026 actions missing or wrong. Every Part 1 row re-checked by search the same day and labelled. US: IEEPA rows set to Ended (2026-02-24); CAPE refunds added; Section 122 set to Ended (2026-07-24); Section 301 forced-labor and excess-capacity rows added; metals rows replaced by the Proclamation 11021 regime (full value from 2026-04-06); pharmaceuticals, drones, polysilicon and aircraft added; Section 338 Canada added; Brazil, Nicaragua, legacy chips, exclusions and maritime rows updated; solar safeguard set to Ended; de minimis rule and FY2027 MPF added; US-7, US-8 and US-10 rewritten</w:t>
            </w:r>
          </w:p>
        </w:tc>
        <w:tc>
          <w:tcPr>
            <w:tcW w:w="2694" w:type="dxa"/>
          </w:tcPr>
          <w:p>
            <w:pPr>
              <w:pStyle w:val="Compact"/>
              <w:jc w:val="left"/>
            </w:pPr>
            <w:r>
              <w:t xml:space="preserve">Official texts named in each row (Federal Register, White House, CBP CSMS and pages, USTR, USITC, CIT), read in search excerpts on 2026-10-08; secondary sources where labelled Reported</w:t>
            </w:r>
          </w:p>
        </w:tc>
        <w:tc>
          <w:tcPr>
            <w:tcW w:w="1161" w:type="dxa"/>
          </w:tcPr>
          <w:p>
            <w:pPr>
              <w:pStyle w:val="Compact"/>
              <w:jc w:val="left"/>
            </w:pPr>
            <w:r>
              <w:t xml:space="preserve">Compiled for the BSA Manager; Senior spot-check pending</w:t>
            </w:r>
          </w:p>
        </w:tc>
      </w:tr>
      <w:tr>
        <w:tc>
          <w:tcPr>
            <w:tcW w:w="848" w:type="dxa"/>
          </w:tcPr>
          <w:p>
            <w:pPr>
              <w:pStyle w:val="Compact"/>
              <w:jc w:val="left"/>
            </w:pPr>
            <w:r>
              <w:t xml:space="preserve">2026-10-08</w:t>
            </w:r>
          </w:p>
        </w:tc>
        <w:tc>
          <w:tcPr>
            <w:tcW w:w="4656" w:type="dxa"/>
          </w:tcPr>
          <w:p>
            <w:pPr>
              <w:pStyle w:val="Compact"/>
              <w:jc w:val="left"/>
            </w:pPr>
            <w:r>
              <w:t xml:space="preserve">Canada: 2026 surtax order and steel and aluminum increase added; remission, steel measures and China rows updated. Mexico: LIGIE decree cited; 2026-04-23 textile and PROSEC decree, IMMEX cancellations and MVE dates added; single window updated. USMCA: 2026 review outcome and 2027 comment request added. 1.1 replaced by open-and-confirm and company exposure checks; "What changed most recently" added; dates to watch rebuilt</w:t>
            </w:r>
          </w:p>
        </w:tc>
        <w:tc>
          <w:tcPr>
            <w:tcW w:w="2694" w:type="dxa"/>
          </w:tcPr>
          <w:p>
            <w:pPr>
              <w:pStyle w:val="Compact"/>
              <w:jc w:val="left"/>
            </w:pPr>
            <w:r>
              <w:t xml:space="preserve">Gazette, CBSA, Finance Canada, DOF, Secretaría de Economía, SAT, USTR and FR texts named in each row, read in search excerpts on 2026-10-08</w:t>
            </w:r>
          </w:p>
        </w:tc>
        <w:tc>
          <w:tcPr>
            <w:tcW w:w="1161" w:type="dxa"/>
          </w:tcPr>
          <w:p>
            <w:pPr>
              <w:pStyle w:val="Compact"/>
              <w:jc w:val="left"/>
            </w:pPr>
            <w:r>
              <w:t xml:space="preserve">Compiled for the BSA Manager; Senior spot-check pending</w:t>
            </w:r>
          </w:p>
        </w:tc>
      </w:tr>
      <w:tr>
        <w:tc>
          <w:tcPr>
            <w:tcW w:w="848" w:type="dxa"/>
          </w:tcPr>
          <w:p>
            <w:pPr>
              <w:pStyle w:val="Compact"/>
              <w:jc w:val="left"/>
            </w:pPr>
            <w:r>
              <w:t xml:space="preserve">2026-10-08</w:t>
            </w:r>
          </w:p>
        </w:tc>
        <w:tc>
          <w:tcPr>
            <w:tcW w:w="4656" w:type="dxa"/>
          </w:tcPr>
          <w:p>
            <w:pPr>
              <w:pStyle w:val="Compact"/>
              <w:jc w:val="left"/>
            </w:pPr>
            <w:r>
              <w:t xml:space="preserve">Part 2: monitoring set-up moved to Fri 10/30 to match the W2 schedule; broker, agente aduanal and counsel contact routed through the Senior before day 60; content-rule examples, entry headings and practice options updated for the 2026 rules; practice data reference changed to Practice-Data.xlsx</w:t>
            </w:r>
          </w:p>
        </w:tc>
        <w:tc>
          <w:tcPr>
            <w:tcW w:w="2694" w:type="dxa"/>
          </w:tcPr>
          <w:p>
            <w:pPr>
              <w:pStyle w:val="Compact"/>
              <w:jc w:val="left"/>
            </w:pPr>
            <w:r>
              <w:rPr>
                <w:rStyle w:val="VerbatimChar"/>
              </w:rPr>
              <w:t xml:space="preserve">docs/02-weeks-1-2-schedule.md</w:t>
            </w:r>
            <w:r>
              <w:t xml:space="preserve">; program rules</w:t>
            </w:r>
          </w:p>
        </w:tc>
        <w:tc>
          <w:tcPr>
            <w:tcW w:w="1161" w:type="dxa"/>
          </w:tcPr>
          <w:p>
            <w:pPr>
              <w:pStyle w:val="Compact"/>
              <w:jc w:val="left"/>
            </w:pPr>
            <w:r>
              <w:t xml:space="preserve">Compiled for the BSA Manager</w:t>
            </w:r>
          </w:p>
        </w:tc>
      </w:tr>
      <w:tr>
        <w:tc>
          <w:tcPr>
            <w:tcW w:w="848" w:type="dxa"/>
          </w:tcPr>
          <w:p>
            <w:pPr>
              <w:pStyle w:val="Compact"/>
              <w:jc w:val="left"/>
            </w:pPr>
            <w:r>
              <w:t xml:space="preserve">2026-10-08</w:t>
            </w:r>
          </w:p>
        </w:tc>
        <w:tc>
          <w:tcPr>
            <w:tcW w:w="4656" w:type="dxa"/>
          </w:tcPr>
          <w:p>
            <w:pPr>
              <w:pStyle w:val="Compact"/>
              <w:jc w:val="left"/>
            </w:pPr>
            <w:r>
              <w:t xml:space="preserve">Second review corrections. US-3, US-7, US-8, 1.6 and Part 2: Section 232 metals no longer shown as giving USMCA goods no relief; Annex I-C mobile equipment and its USMCA non-US-content track (9903.82.20 and 9903.82.21, to 2027-12-31) and the Annex III 15% cap added (Reported). US-10: forced-labor and Brazil drawback changed from Unclear to Eligible (FD07 block of 2026-08-12 reversed). US-8: Section 338 stacking with Section 232 settled (only dairy-list goods keep 9903.03.15 from 2026-09-15); 9903.03.16 corrected to the civil aircraft exclusion; ban guidance CSMS added. US-3 and US-5: pharmaceutical 0% condition, drone partner caps, truck parts exemption, aircraft proclamation number and 180-day date, auto content timelines, solar safeguard sources. US-6: postal rule effective 2026-07-24. Canada: China-melt surtax exemption is US origin under the CUSMA marking rules (not country of export), C$5,000 threshold; quota schedules revised; remission coverage of the 2026 surtax and Schedule 6; SOR/2026-33 cited. Mexico: 2024 temporary IGI decrees and their 2026-04-23 renewal on about 185 fracciones; IMMEX cancellation list of 2026-09-29. USMCA: withdrawal clause and postponed fourth US-Mexico round. "What changed most recently" and C1, C3, C7, C10, E6 updated</w:t>
            </w:r>
          </w:p>
        </w:tc>
        <w:tc>
          <w:tcPr>
            <w:tcW w:w="2694" w:type="dxa"/>
          </w:tcPr>
          <w:p>
            <w:pPr>
              <w:pStyle w:val="Compact"/>
              <w:jc w:val="left"/>
            </w:pPr>
            <w:r>
              <w:t xml:space="preserve">Proclamation 11032 (FR 2026-11314) as summarised by law firms and brokers; CBP CSMS 69535943, 69567203, 69851916 and 70050970; FR 2026-09489, 2026-12669, 2026-16859; Proclamations 10984, 11040, 11055, 10339; USITC Pub. 5773; CBSA CN 25-24, 25-28, 26-23, 24-32; SOR/2025-154, SOR/2026-33, SOR/2025-122 consolidation; DOF decrees of 2024-04-22, 2024-12-19 and 2026-04-23 and avisos of 2026-06-30 and 2026-09-29 (law-firm and press summaries); SAT release of 2026-10-02; USMCA Article 34.6. All read in search excerpts on 2026-10-08</w:t>
            </w:r>
          </w:p>
        </w:tc>
        <w:tc>
          <w:tcPr>
            <w:tcW w:w="1161" w:type="dxa"/>
          </w:tcPr>
          <w:p>
            <w:pPr>
              <w:pStyle w:val="Compact"/>
              <w:jc w:val="left"/>
            </w:pPr>
            <w:r>
              <w:t xml:space="preserve">Compiled for the BSA Manager; Senior spot-check pending</w:t>
            </w:r>
          </w:p>
        </w:tc>
      </w:tr>
      <w:tr>
        <w:tc>
          <w:tcPr>
            <w:tcW w:w="848" w:type="dxa"/>
          </w:tcPr>
          <w:p>
            <w:pPr>
              <w:pStyle w:val="Compact"/>
              <w:jc w:val="left"/>
            </w:pPr>
            <w:r>
              <w:t xml:space="preserve">2026-10-08</w:t>
            </w:r>
          </w:p>
        </w:tc>
        <w:tc>
          <w:tcPr>
            <w:tcW w:w="4656" w:type="dxa"/>
          </w:tcPr>
          <w:p>
            <w:pPr>
              <w:pStyle w:val="Compact"/>
              <w:jc w:val="left"/>
            </w:pPr>
            <w:r>
              <w:t xml:space="preserve">Part 2: urgency rule for 5 to 15 business days now says the checker reviews the draft on the same business day it is submitted; the weekly Friday routine moves to the last working day of the week when Friday is a holiday</w:t>
            </w:r>
          </w:p>
        </w:tc>
        <w:tc>
          <w:tcPr>
            <w:tcW w:w="2694" w:type="dxa"/>
          </w:tcPr>
          <w:p>
            <w:pPr>
              <w:pStyle w:val="Compact"/>
              <w:jc w:val="left"/>
            </w:pPr>
            <w:r>
              <w:rPr>
                <w:rStyle w:val="VerbatimChar"/>
              </w:rPr>
              <w:t xml:space="preserve">docs/01-30-60-90-plan.md</w:t>
            </w:r>
            <w:r>
              <w:t xml:space="preserve">; program rules</w:t>
            </w:r>
          </w:p>
        </w:tc>
        <w:tc>
          <w:tcPr>
            <w:tcW w:w="1161" w:type="dxa"/>
          </w:tcPr>
          <w:p>
            <w:pPr>
              <w:pStyle w:val="Compact"/>
              <w:jc w:val="left"/>
            </w:pPr>
            <w:r>
              <w:t xml:space="preserve">Compiled for the BSA Manager</w:t>
            </w:r>
          </w:p>
        </w:tc>
      </w:tr>
      <w:tr>
        <w:tc>
          <w:tcPr>
            <w:tcW w:w="848" w:type="dxa"/>
          </w:tcPr>
          <w:p>
            <w:pPr>
              <w:pStyle w:val="Compact"/>
              <w:jc w:val="left"/>
            </w:pPr>
            <w:r>
              <w:t xml:space="preserve">[YYYY-MM-DD]</w:t>
            </w:r>
          </w:p>
        </w:tc>
        <w:tc>
          <w:tcPr>
            <w:tcW w:w="4656" w:type="dxa"/>
          </w:tcPr>
          <w:p>
            <w:pPr>
              <w:pStyle w:val="Compact"/>
              <w:jc w:val="left"/>
            </w:pPr>
            <w:r>
              <w:t xml:space="preserve">[Row changed, old status, new status]</w:t>
            </w:r>
          </w:p>
        </w:tc>
        <w:tc>
          <w:tcPr>
            <w:tcW w:w="2694" w:type="dxa"/>
          </w:tcPr>
          <w:p>
            <w:pPr>
              <w:pStyle w:val="Compact"/>
              <w:jc w:val="left"/>
            </w:pPr>
            <w:r>
              <w:t xml:space="preserve">[Primary source and its date]</w:t>
            </w:r>
          </w:p>
        </w:tc>
        <w:tc>
          <w:tcPr>
            <w:tcW w:w="1161" w:type="dxa"/>
          </w:tcPr>
          <w:p>
            <w:pPr>
              <w:pStyle w:val="Compact"/>
              <w:jc w:val="left"/>
            </w:pPr>
            <w:r>
              <w:t xml:space="preserve">[Name; Senior initials if spot-checked]</w:t>
            </w:r>
          </w:p>
        </w:tc>
      </w:tr>
    </w:tbl>
    <w:bookmarkEnd w:id="170"/>
    <w:bookmarkEnd w:id="1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hyperlink" Target="https://content.govdelivery.com/accounts/USDHSCBP/bulletins/40b3b7b" TargetMode="External"/><Relationship Id="rId34" Type="http://schemas.openxmlformats.org/officeDocument/2006/relationships/hyperlink" Target="https://content.govdelivery.com/accounts/USDHSCBP/bulletins/421d887" TargetMode="External"/><Relationship Id="rId91" Type="http://schemas.openxmlformats.org/officeDocument/2006/relationships/hyperlink" Target="https://content.govdelivery.com/accounts/USDHSCBP/bulletins/42508c7" TargetMode="External"/><Relationship Id="rId92" Type="http://schemas.openxmlformats.org/officeDocument/2006/relationships/hyperlink" Target="https://content.govdelivery.com/accounts/USDHSCBP/bulletins/42582e3" TargetMode="External"/><Relationship Id="rId71" Type="http://schemas.openxmlformats.org/officeDocument/2006/relationships/hyperlink" Target="https://content.govdelivery.com/accounts/USDHSCBP/bulletins/429db0c" TargetMode="External"/><Relationship Id="rId72" Type="http://schemas.openxmlformats.org/officeDocument/2006/relationships/hyperlink" Target="https://content.govdelivery.com/accounts/USDHSCBP/bulletins/42ce49a" TargetMode="External"/><Relationship Id="rId123" Type="http://schemas.openxmlformats.org/officeDocument/2006/relationships/hyperlink" Target="https://dof.gob.mx/nota_detalle.php?codigo=5773357&amp;fecha=19/11/2025" TargetMode="External"/><Relationship Id="rId115" Type="http://schemas.openxmlformats.org/officeDocument/2006/relationships/hyperlink" Target="https://dof.gob.mx/nota_detalle.php?codigo=5777376&amp;fecha=29/12/2025" TargetMode="External"/><Relationship Id="rId121" Type="http://schemas.openxmlformats.org/officeDocument/2006/relationships/hyperlink" Target="https://dof.gob.mx/nota_detalle.php?codigo=5792091&amp;fecha=30/06/2026" TargetMode="External"/><Relationship Id="rId125" Type="http://schemas.openxmlformats.org/officeDocument/2006/relationships/hyperlink" Target="https://dof.gob.mx/nota_detalle_popup.php?codigo=5777199" TargetMode="External"/><Relationship Id="rId149" Type="http://schemas.openxmlformats.org/officeDocument/2006/relationships/hyperlink" Target="https://gazette.gc.ca/" TargetMode="External"/><Relationship Id="rId106" Type="http://schemas.openxmlformats.org/officeDocument/2006/relationships/hyperlink" Target="https://gazette.gc.ca/rp-pr/p2/2025/2025-08-13/html/sor-dors154-eng.html" TargetMode="External"/><Relationship Id="rId109" Type="http://schemas.openxmlformats.org/officeDocument/2006/relationships/hyperlink" Target="https://gazette.gc.ca/rp-pr/p2/2026/2026-03-11/html/sor-dors33-eng.html" TargetMode="External"/><Relationship Id="rId104" Type="http://schemas.openxmlformats.org/officeDocument/2006/relationships/hyperlink" Target="https://gazette.gc.ca/rp-pr/p2/2026/2026-07-01/html/sor-dors119-eng.html" TargetMode="External"/><Relationship Id="rId100" Type="http://schemas.openxmlformats.org/officeDocument/2006/relationships/hyperlink" Target="https://gazette.gc.ca/rp-pr/p2/2026/2026-07-01/html/sor-dors154-eng.html" TargetMode="External"/><Relationship Id="rId98" Type="http://schemas.openxmlformats.org/officeDocument/2006/relationships/hyperlink" Target="https://gazette.gc.ca/rp-pr/p2/2026/2026-09-23/html/sor-dors186-eng.html" TargetMode="External"/><Relationship Id="rId145" Type="http://schemas.openxmlformats.org/officeDocument/2006/relationships/hyperlink" Target="https://hts.usitc.gov/" TargetMode="External"/><Relationship Id="rId102" Type="http://schemas.openxmlformats.org/officeDocument/2006/relationships/hyperlink" Target="https://laws-lois.justice.gc.ca/eng/regulations/SOR-2025-122/index.html" TargetMode="External"/><Relationship Id="rId93" Type="http://schemas.openxmlformats.org/officeDocument/2006/relationships/hyperlink" Target="https://uscode.house.gov/" TargetMode="External"/><Relationship Id="rId158" Type="http://schemas.openxmlformats.org/officeDocument/2006/relationships/hyperlink" Target="https://ustr.gov/" TargetMode="External"/><Relationship Id="rId132" Type="http://schemas.openxmlformats.org/officeDocument/2006/relationships/hyperlink" Target="https://ustr.gov/about/policy-offices/press-office/press-releases/2026/july/ambassador-greer-issues-statement-usmca-joint-review" TargetMode="External"/><Relationship Id="rId36" Type="http://schemas.openxmlformats.org/officeDocument/2006/relationships/hyperlink" Target="https://ustr.gov/issue-areas/enforcement/section-301-investigations" TargetMode="External"/><Relationship Id="rId131" Type="http://schemas.openxmlformats.org/officeDocument/2006/relationships/hyperlink" Target="https://ustr.gov/sites/default/files/files/agreements/FTA/USMCA/Text/34_Final_Provisions.pdf" TargetMode="External"/><Relationship Id="rId129" Type="http://schemas.openxmlformats.org/officeDocument/2006/relationships/hyperlink" Target="https://ustr.gov/trade-agreements/free-trade-agreements/united-states-mexico-canada-agreement/agreement-between" TargetMode="External"/><Relationship Id="rId154" Type="http://schemas.openxmlformats.org/officeDocument/2006/relationships/hyperlink" Target="https://www.anam.gob.mx/" TargetMode="External"/><Relationship Id="rId55" Type="http://schemas.openxmlformats.org/officeDocument/2006/relationships/hyperlink" Target="https://www.bis.gov/about-bis/bis-leadership-and-offices/SIES/section-232-investigations" TargetMode="External"/><Relationship Id="rId148" Type="http://schemas.openxmlformats.org/officeDocument/2006/relationships/hyperlink" Target="https://www.canada.ca/en/department-finance.html" TargetMode="External"/><Relationship Id="rId96" Type="http://schemas.openxmlformats.org/officeDocument/2006/relationships/hyperlink" Target="https://www.canada.ca/en/department-finance/news/2026/08/canada-announces-targeted-countermeasures-and-substantive-support-for-workers-and-businesses-in-response-to-us-tariffs.html" TargetMode="External"/><Relationship Id="rId97" Type="http://schemas.openxmlformats.org/officeDocument/2006/relationships/hyperlink" Target="https://www.canada.ca/en/department-finance/programs/international-trade-finance-policy/canadas-response-us-tariffs/complete-list-us-products-subject-to-counter-tariffs.html" TargetMode="External"/><Relationship Id="rId103" Type="http://schemas.openxmlformats.org/officeDocument/2006/relationships/hyperlink" Target="https://www.canada.ca/en/department-finance/programs/international-trade-finance-policy/canadas-tariff-responses/canadas-tariffs-steel-aluminum.html" TargetMode="External"/><Relationship Id="rId144" Type="http://schemas.openxmlformats.org/officeDocument/2006/relationships/hyperlink" Target="https://www.cbp.gov/document/guidance/csms-archive" TargetMode="External"/><Relationship Id="rId28" Type="http://schemas.openxmlformats.org/officeDocument/2006/relationships/hyperlink" Target="https://www.cbp.gov/document/guidance/trade-information-notice-cape" TargetMode="External"/><Relationship Id="rId143" Type="http://schemas.openxmlformats.org/officeDocument/2006/relationships/hyperlink" Target="https://www.cbp.gov/trade/automated/cargo-systems-messaging-service" TargetMode="External"/><Relationship Id="rId86" Type="http://schemas.openxmlformats.org/officeDocument/2006/relationships/hyperlink" Target="https://www.cbp.gov/trade/basic-import-export/user-fee-table" TargetMode="External"/><Relationship Id="rId83" Type="http://schemas.openxmlformats.org/officeDocument/2006/relationships/hyperlink" Target="https://www.cbp.gov/trade/programs-administration/entry-summary/order-of-reporting-multiple-hts-in-ace" TargetMode="External"/><Relationship Id="rId90" Type="http://schemas.openxmlformats.org/officeDocument/2006/relationships/hyperlink" Target="https://www.cbp.gov/trade/programs-administration/entry-summary/section-301-trade-remedies/faqs" TargetMode="External"/><Relationship Id="rId146" Type="http://schemas.openxmlformats.org/officeDocument/2006/relationships/hyperlink" Target="https://www.cbp.gov/trade/programs-administration/trade-remedies" TargetMode="External"/><Relationship Id="rId24" Type="http://schemas.openxmlformats.org/officeDocument/2006/relationships/hyperlink" Target="https://www.cbp.gov/trade/programs-administration/trade-remedies/ieepa-duty-refunds" TargetMode="External"/><Relationship Id="rId110" Type="http://schemas.openxmlformats.org/officeDocument/2006/relationships/hyperlink" Target="https://www.cbsa-asfc.gc.ca/publications/cn-ad/cn24-32-eng.html" TargetMode="External"/><Relationship Id="rId108" Type="http://schemas.openxmlformats.org/officeDocument/2006/relationships/hyperlink" Target="https://www.cbsa-asfc.gc.ca/publications/cn-ad/cn25-24-eng.html" TargetMode="External"/><Relationship Id="rId107" Type="http://schemas.openxmlformats.org/officeDocument/2006/relationships/hyperlink" Target="https://www.cbsa-asfc.gc.ca/publications/cn-ad/cn25-28-eng.html" TargetMode="External"/><Relationship Id="rId105" Type="http://schemas.openxmlformats.org/officeDocument/2006/relationships/hyperlink" Target="https://www.cbsa-asfc.gc.ca/publications/cn-ad/cn25-33-eng.html" TargetMode="External"/><Relationship Id="rId101" Type="http://schemas.openxmlformats.org/officeDocument/2006/relationships/hyperlink" Target="https://www.cbsa-asfc.gc.ca/publications/cn-ad/cn26-10-eng.html" TargetMode="External"/><Relationship Id="rId99" Type="http://schemas.openxmlformats.org/officeDocument/2006/relationships/hyperlink" Target="https://www.cbsa-asfc.gc.ca/publications/cn-ad/cn26-23-eng.html" TargetMode="External"/><Relationship Id="rId150" Type="http://schemas.openxmlformats.org/officeDocument/2006/relationships/hyperlink" Target="https://www.cbsa-asfc.gc.ca/publications/cn-ad/menu-eng.html" TargetMode="External"/><Relationship Id="rId113" Type="http://schemas.openxmlformats.org/officeDocument/2006/relationships/hyperlink" Target="https://www.cbsa-asfc.gc.ca/services/carm-gcra/menu-eng.html" TargetMode="External"/><Relationship Id="rId151" Type="http://schemas.openxmlformats.org/officeDocument/2006/relationships/hyperlink" Target="https://www.cbsa-asfc.gc.ca/trade-commerce/tariff-tarif/2026/menu-eng.html" TargetMode="External"/><Relationship Id="rId32" Type="http://schemas.openxmlformats.org/officeDocument/2006/relationships/hyperlink" Target="https://www.cit.uscourts.gov/sites/cit/files/26-47.pdf" TargetMode="External"/><Relationship Id="rId80" Type="http://schemas.openxmlformats.org/officeDocument/2006/relationships/hyperlink" Target="https://www.congress.gov/bill/119th-congress/house-bill/1" TargetMode="External"/><Relationship Id="rId133" Type="http://schemas.openxmlformats.org/officeDocument/2006/relationships/hyperlink" Target="https://www.congress.gov/crs-product/R48787" TargetMode="External"/><Relationship Id="rId122" Type="http://schemas.openxmlformats.org/officeDocument/2006/relationships/hyperlink" Target="https://www.dof.gob.mx/" TargetMode="External"/><Relationship Id="rId118" Type="http://schemas.openxmlformats.org/officeDocument/2006/relationships/hyperlink" Target="https://www.dof.gob.mx/nota_detalle.php?codigo=5745788&amp;fecha=19/12/2024" TargetMode="External"/><Relationship Id="rId117" Type="http://schemas.openxmlformats.org/officeDocument/2006/relationships/hyperlink" Target="https://www.dof.gob.mx/nota_detalle.php?codigo=5785818&amp;fecha=23/04/2026" TargetMode="External"/><Relationship Id="rId127" Type="http://schemas.openxmlformats.org/officeDocument/2006/relationships/hyperlink" Target="https://www.dof.gob.mx/nota_detalle.php?codigo=5786598&amp;fecha=04/05/2026" TargetMode="External"/><Relationship Id="rId87" Type="http://schemas.openxmlformats.org/officeDocument/2006/relationships/hyperlink" Target="https://www.ecfr.gov/current/title-19/section-24.23" TargetMode="External"/><Relationship Id="rId88" Type="http://schemas.openxmlformats.org/officeDocument/2006/relationships/hyperlink" Target="https://www.ecfr.gov/current/title-19/section-24.24" TargetMode="External"/><Relationship Id="rId142" Type="http://schemas.openxmlformats.org/officeDocument/2006/relationships/hyperlink" Target="https://www.federalregister.gov/" TargetMode="External"/><Relationship Id="rId59" Type="http://schemas.openxmlformats.org/officeDocument/2006/relationships/hyperlink" Target="https://www.federalregister.gov/d/2024-21217" TargetMode="External"/><Relationship Id="rId40" Type="http://schemas.openxmlformats.org/officeDocument/2006/relationships/hyperlink" Target="https://www.federalregister.gov/d/2025-05930" TargetMode="External"/><Relationship Id="rId44" Type="http://schemas.openxmlformats.org/officeDocument/2006/relationships/hyperlink" Target="https://www.federalregister.gov/d/2025-19482" TargetMode="External"/><Relationship Id="rId42" Type="http://schemas.openxmlformats.org/officeDocument/2006/relationships/hyperlink" Target="https://www.federalregister.gov/d/2025-19639" TargetMode="External"/><Relationship Id="rId62" Type="http://schemas.openxmlformats.org/officeDocument/2006/relationships/hyperlink" Target="https://www.federalregister.gov/d/2025-19873" TargetMode="External"/><Relationship Id="rId60" Type="http://schemas.openxmlformats.org/officeDocument/2006/relationships/hyperlink" Target="https://www.federalregister.gov/d/2025-21671" TargetMode="External"/><Relationship Id="rId64" Type="http://schemas.openxmlformats.org/officeDocument/2006/relationships/hyperlink" Target="https://www.federalregister.gov/d/2025-23892" TargetMode="External"/><Relationship Id="rId63" Type="http://schemas.openxmlformats.org/officeDocument/2006/relationships/hyperlink" Target="https://www.federalregister.gov/d/2025-23912" TargetMode="External"/><Relationship Id="rId45" Type="http://schemas.openxmlformats.org/officeDocument/2006/relationships/hyperlink" Target="https://www.federalregister.gov/d/2026-00327" TargetMode="External"/><Relationship Id="rId50" Type="http://schemas.openxmlformats.org/officeDocument/2006/relationships/hyperlink" Target="https://www.federalregister.gov/d/2026-01045" TargetMode="External"/><Relationship Id="rId46" Type="http://schemas.openxmlformats.org/officeDocument/2006/relationships/hyperlink" Target="https://www.federalregister.gov/d/2026-01052" TargetMode="External"/><Relationship Id="rId43" Type="http://schemas.openxmlformats.org/officeDocument/2006/relationships/hyperlink" Target="https://www.federalregister.gov/d/2026-02049" TargetMode="External"/><Relationship Id="rId30" Type="http://schemas.openxmlformats.org/officeDocument/2006/relationships/hyperlink" Target="https://www.federalregister.gov/d/2026-03824" TargetMode="External"/><Relationship Id="rId26" Type="http://schemas.openxmlformats.org/officeDocument/2006/relationships/hyperlink" Target="https://www.federalregister.gov/d/2026-03832" TargetMode="External"/><Relationship Id="rId73" Type="http://schemas.openxmlformats.org/officeDocument/2006/relationships/hyperlink" Target="https://www.federalregister.gov/d/2026-05170" TargetMode="External"/><Relationship Id="rId35" Type="http://schemas.openxmlformats.org/officeDocument/2006/relationships/hyperlink" Target="https://www.federalregister.gov/d/2026-05214" TargetMode="External"/><Relationship Id="rId47" Type="http://schemas.openxmlformats.org/officeDocument/2006/relationships/hyperlink" Target="https://www.federalregister.gov/d/2026-06956" TargetMode="External"/><Relationship Id="rId22" Type="http://schemas.openxmlformats.org/officeDocument/2006/relationships/hyperlink" Target="https://www.federalregister.gov/d/2026-06960" TargetMode="External"/><Relationship Id="rId57" Type="http://schemas.openxmlformats.org/officeDocument/2006/relationships/hyperlink" Target="https://www.federalregister.gov/d/2026-08806" TargetMode="External"/><Relationship Id="rId49" Type="http://schemas.openxmlformats.org/officeDocument/2006/relationships/hyperlink" Target="https://www.federalregister.gov/d/2026-09489" TargetMode="External"/><Relationship Id="rId38" Type="http://schemas.openxmlformats.org/officeDocument/2006/relationships/hyperlink" Target="https://www.federalregister.gov/d/2026-11314" TargetMode="External"/><Relationship Id="rId79" Type="http://schemas.openxmlformats.org/officeDocument/2006/relationships/hyperlink" Target="https://www.federalregister.gov/d/2026-12669" TargetMode="External"/><Relationship Id="rId78" Type="http://schemas.openxmlformats.org/officeDocument/2006/relationships/hyperlink" Target="https://www.federalregister.gov/d/2026-12670" TargetMode="External"/><Relationship Id="rId54" Type="http://schemas.openxmlformats.org/officeDocument/2006/relationships/hyperlink" Target="https://www.federalregister.gov/d/2026-14334" TargetMode="External"/><Relationship Id="rId65" Type="http://schemas.openxmlformats.org/officeDocument/2006/relationships/hyperlink" Target="https://www.federalregister.gov/d/2026-14542" TargetMode="External"/><Relationship Id="rId39" Type="http://schemas.openxmlformats.org/officeDocument/2006/relationships/hyperlink" Target="https://www.federalregister.gov/d/2026-14990" TargetMode="External"/><Relationship Id="rId67" Type="http://schemas.openxmlformats.org/officeDocument/2006/relationships/hyperlink" Target="https://www.federalregister.gov/d/2026-14997" TargetMode="External"/><Relationship Id="rId33" Type="http://schemas.openxmlformats.org/officeDocument/2006/relationships/hyperlink" Target="https://www.federalregister.gov/d/2026-15181" TargetMode="External"/><Relationship Id="rId85" Type="http://schemas.openxmlformats.org/officeDocument/2006/relationships/hyperlink" Target="https://www.federalregister.gov/d/2026-15530" TargetMode="External"/><Relationship Id="rId48" Type="http://schemas.openxmlformats.org/officeDocument/2006/relationships/hyperlink" Target="https://www.federalregister.gov/d/2026-15799" TargetMode="External"/><Relationship Id="rId52" Type="http://schemas.openxmlformats.org/officeDocument/2006/relationships/hyperlink" Target="https://www.federalregister.gov/d/2026-16400" TargetMode="External"/><Relationship Id="rId41" Type="http://schemas.openxmlformats.org/officeDocument/2006/relationships/hyperlink" Target="https://www.federalregister.gov/d/2026-16859" TargetMode="External"/><Relationship Id="rId51" Type="http://schemas.openxmlformats.org/officeDocument/2006/relationships/hyperlink" Target="https://www.federalregister.gov/d/2026-16979" TargetMode="External"/><Relationship Id="rId68" Type="http://schemas.openxmlformats.org/officeDocument/2006/relationships/hyperlink" Target="https://www.federalregister.gov/d/2026-17294" TargetMode="External"/><Relationship Id="rId69" Type="http://schemas.openxmlformats.org/officeDocument/2006/relationships/hyperlink" Target="https://www.federalregister.gov/d/2026-18837" TargetMode="External"/><Relationship Id="rId70" Type="http://schemas.openxmlformats.org/officeDocument/2006/relationships/hyperlink" Target="https://www.federalregister.gov/d/2026-18839" TargetMode="External"/><Relationship Id="rId53" Type="http://schemas.openxmlformats.org/officeDocument/2006/relationships/hyperlink" Target="https://www.federalregister.gov/d/2026-19537" TargetMode="External"/><Relationship Id="rId134" Type="http://schemas.openxmlformats.org/officeDocument/2006/relationships/hyperlink" Target="https://www.federalregister.gov/d/2026-20341" TargetMode="External"/><Relationship Id="rId58" Type="http://schemas.openxmlformats.org/officeDocument/2006/relationships/hyperlink" Target="https://www.federalregister.gov/d/2026-20510" TargetMode="External"/><Relationship Id="rId61" Type="http://schemas.openxmlformats.org/officeDocument/2006/relationships/hyperlink" Target="https://www.federalregister.gov/d/2026-20511" TargetMode="External"/><Relationship Id="rId141" Type="http://schemas.openxmlformats.org/officeDocument/2006/relationships/hyperlink" Target="https://www.federalregister.gov/public-inspection/current" TargetMode="External"/><Relationship Id="rId124" Type="http://schemas.openxmlformats.org/officeDocument/2006/relationships/hyperlink" Target="https://www.gob.mx/sat/prensa/sat-anam-y-atdt-amplian-al-31-de-octubre-plazo-para-presentar-manifestacion-de-valor-electronica" TargetMode="External"/><Relationship Id="rId128" Type="http://schemas.openxmlformats.org/officeDocument/2006/relationships/hyperlink" Target="https://www.gob.mx/se" TargetMode="External"/><Relationship Id="rId116" Type="http://schemas.openxmlformats.org/officeDocument/2006/relationships/hyperlink" Target="https://www.gob.mx/se/prensa/se-publica-en-el-dof-la-modificacion-de-aranceles-de-la-ligie" TargetMode="External"/><Relationship Id="rId111" Type="http://schemas.openxmlformats.org/officeDocument/2006/relationships/hyperlink" Target="https://www.international.gc.ca/trade-commerce/controls-controles/electric-vehicle-vehicule-electrique/index.aspx?lang=eng" TargetMode="External"/><Relationship Id="rId112" Type="http://schemas.openxmlformats.org/officeDocument/2006/relationships/hyperlink" Target="https://www.pm.gc.ca/en/news/news-releases/2026/01/16/prime-minister-carney-forges-new-strategic-partnership-peoples" TargetMode="External"/><Relationship Id="rId153" Type="http://schemas.openxmlformats.org/officeDocument/2006/relationships/hyperlink" Target="https://www.sat.gob.mx/" TargetMode="External"/><Relationship Id="rId120" Type="http://schemas.openxmlformats.org/officeDocument/2006/relationships/hyperlink" Target="https://www.snice.gob.mx/cs/avi/snice/ligie.info22.mod24.html" TargetMode="External"/><Relationship Id="rId119" Type="http://schemas.openxmlformats.org/officeDocument/2006/relationships/hyperlink" Target="https://www.snice.gob.mx/cs/avi/snice/ligie.info22.mod26.html" TargetMode="External"/><Relationship Id="rId27" Type="http://schemas.openxmlformats.org/officeDocument/2006/relationships/hyperlink" Target="https://www.supremecourt.gov/opinions/slipopinion/25" TargetMode="External"/><Relationship Id="rId75" Type="http://schemas.openxmlformats.org/officeDocument/2006/relationships/hyperlink" Target="https://www.trade.gov/" TargetMode="External"/><Relationship Id="rId74" Type="http://schemas.openxmlformats.org/officeDocument/2006/relationships/hyperlink" Target="https://www.usitc.gov/publications/safeguards/pub5773.pdf" TargetMode="External"/><Relationship Id="rId126" Type="http://schemas.openxmlformats.org/officeDocument/2006/relationships/hyperlink" Target="https://www.ventanillaunica.gob.mx" TargetMode="External"/><Relationship Id="rId140" Type="http://schemas.openxmlformats.org/officeDocument/2006/relationships/hyperlink" Target="https://www.whitehouse.gov/presidential-actions/" TargetMode="External"/><Relationship Id="rId77" Type="http://schemas.openxmlformats.org/officeDocument/2006/relationships/hyperlink" Target="https://www.whitehouse.gov/presidential-actions/2026/02/continuing-the-suspension-of-duty-free-de-minimis-treatment-for-all-countries/" TargetMode="External"/></Relationships>
</file>

<file path=word/_rels/footnotes.xml.rels><?xml version='1.0' encoding='UTF-8' standalone='yes'?>
<Relationships xmlns="http://schemas.openxmlformats.org/package/2006/relationships"><Relationship Id="rId31" Type="http://schemas.openxmlformats.org/officeDocument/2006/relationships/hyperlink" Target="https://content.govdelivery.com/accounts/USDHSCBP/bulletins/40b3b7b" TargetMode="External"/><Relationship Id="rId34" Type="http://schemas.openxmlformats.org/officeDocument/2006/relationships/hyperlink" Target="https://content.govdelivery.com/accounts/USDHSCBP/bulletins/421d887" TargetMode="External"/><Relationship Id="rId91" Type="http://schemas.openxmlformats.org/officeDocument/2006/relationships/hyperlink" Target="https://content.govdelivery.com/accounts/USDHSCBP/bulletins/42508c7" TargetMode="External"/><Relationship Id="rId92" Type="http://schemas.openxmlformats.org/officeDocument/2006/relationships/hyperlink" Target="https://content.govdelivery.com/accounts/USDHSCBP/bulletins/42582e3" TargetMode="External"/><Relationship Id="rId71" Type="http://schemas.openxmlformats.org/officeDocument/2006/relationships/hyperlink" Target="https://content.govdelivery.com/accounts/USDHSCBP/bulletins/429db0c" TargetMode="External"/><Relationship Id="rId72" Type="http://schemas.openxmlformats.org/officeDocument/2006/relationships/hyperlink" Target="https://content.govdelivery.com/accounts/USDHSCBP/bulletins/42ce49a" TargetMode="External"/><Relationship Id="rId123" Type="http://schemas.openxmlformats.org/officeDocument/2006/relationships/hyperlink" Target="https://dof.gob.mx/nota_detalle.php?codigo=5773357&amp;fecha=19/11/2025" TargetMode="External"/><Relationship Id="rId115" Type="http://schemas.openxmlformats.org/officeDocument/2006/relationships/hyperlink" Target="https://dof.gob.mx/nota_detalle.php?codigo=5777376&amp;fecha=29/12/2025" TargetMode="External"/><Relationship Id="rId121" Type="http://schemas.openxmlformats.org/officeDocument/2006/relationships/hyperlink" Target="https://dof.gob.mx/nota_detalle.php?codigo=5792091&amp;fecha=30/06/2026" TargetMode="External"/><Relationship Id="rId125" Type="http://schemas.openxmlformats.org/officeDocument/2006/relationships/hyperlink" Target="https://dof.gob.mx/nota_detalle_popup.php?codigo=5777199" TargetMode="External"/><Relationship Id="rId149" Type="http://schemas.openxmlformats.org/officeDocument/2006/relationships/hyperlink" Target="https://gazette.gc.ca/" TargetMode="External"/><Relationship Id="rId106" Type="http://schemas.openxmlformats.org/officeDocument/2006/relationships/hyperlink" Target="https://gazette.gc.ca/rp-pr/p2/2025/2025-08-13/html/sor-dors154-eng.html" TargetMode="External"/><Relationship Id="rId109" Type="http://schemas.openxmlformats.org/officeDocument/2006/relationships/hyperlink" Target="https://gazette.gc.ca/rp-pr/p2/2026/2026-03-11/html/sor-dors33-eng.html" TargetMode="External"/><Relationship Id="rId104" Type="http://schemas.openxmlformats.org/officeDocument/2006/relationships/hyperlink" Target="https://gazette.gc.ca/rp-pr/p2/2026/2026-07-01/html/sor-dors119-eng.html" TargetMode="External"/><Relationship Id="rId100" Type="http://schemas.openxmlformats.org/officeDocument/2006/relationships/hyperlink" Target="https://gazette.gc.ca/rp-pr/p2/2026/2026-07-01/html/sor-dors154-eng.html" TargetMode="External"/><Relationship Id="rId98" Type="http://schemas.openxmlformats.org/officeDocument/2006/relationships/hyperlink" Target="https://gazette.gc.ca/rp-pr/p2/2026/2026-09-23/html/sor-dors186-eng.html" TargetMode="External"/><Relationship Id="rId145" Type="http://schemas.openxmlformats.org/officeDocument/2006/relationships/hyperlink" Target="https://hts.usitc.gov/" TargetMode="External"/><Relationship Id="rId102" Type="http://schemas.openxmlformats.org/officeDocument/2006/relationships/hyperlink" Target="https://laws-lois.justice.gc.ca/eng/regulations/SOR-2025-122/index.html" TargetMode="External"/><Relationship Id="rId93" Type="http://schemas.openxmlformats.org/officeDocument/2006/relationships/hyperlink" Target="https://uscode.house.gov/" TargetMode="External"/><Relationship Id="rId158" Type="http://schemas.openxmlformats.org/officeDocument/2006/relationships/hyperlink" Target="https://ustr.gov/" TargetMode="External"/><Relationship Id="rId132" Type="http://schemas.openxmlformats.org/officeDocument/2006/relationships/hyperlink" Target="https://ustr.gov/about/policy-offices/press-office/press-releases/2026/july/ambassador-greer-issues-statement-usmca-joint-review" TargetMode="External"/><Relationship Id="rId36" Type="http://schemas.openxmlformats.org/officeDocument/2006/relationships/hyperlink" Target="https://ustr.gov/issue-areas/enforcement/section-301-investigations" TargetMode="External"/><Relationship Id="rId131" Type="http://schemas.openxmlformats.org/officeDocument/2006/relationships/hyperlink" Target="https://ustr.gov/sites/default/files/files/agreements/FTA/USMCA/Text/34_Final_Provisions.pdf" TargetMode="External"/><Relationship Id="rId129" Type="http://schemas.openxmlformats.org/officeDocument/2006/relationships/hyperlink" Target="https://ustr.gov/trade-agreements/free-trade-agreements/united-states-mexico-canada-agreement/agreement-between" TargetMode="External"/><Relationship Id="rId154" Type="http://schemas.openxmlformats.org/officeDocument/2006/relationships/hyperlink" Target="https://www.anam.gob.mx/" TargetMode="External"/><Relationship Id="rId55" Type="http://schemas.openxmlformats.org/officeDocument/2006/relationships/hyperlink" Target="https://www.bis.gov/about-bis/bis-leadership-and-offices/SIES/section-232-investigations" TargetMode="External"/><Relationship Id="rId148" Type="http://schemas.openxmlformats.org/officeDocument/2006/relationships/hyperlink" Target="https://www.canada.ca/en/department-finance.html" TargetMode="External"/><Relationship Id="rId96" Type="http://schemas.openxmlformats.org/officeDocument/2006/relationships/hyperlink" Target="https://www.canada.ca/en/department-finance/news/2026/08/canada-announces-targeted-countermeasures-and-substantive-support-for-workers-and-businesses-in-response-to-us-tariffs.html" TargetMode="External"/><Relationship Id="rId97" Type="http://schemas.openxmlformats.org/officeDocument/2006/relationships/hyperlink" Target="https://www.canada.ca/en/department-finance/programs/international-trade-finance-policy/canadas-response-us-tariffs/complete-list-us-products-subject-to-counter-tariffs.html" TargetMode="External"/><Relationship Id="rId103" Type="http://schemas.openxmlformats.org/officeDocument/2006/relationships/hyperlink" Target="https://www.canada.ca/en/department-finance/programs/international-trade-finance-policy/canadas-tariff-responses/canadas-tariffs-steel-aluminum.html" TargetMode="External"/><Relationship Id="rId144" Type="http://schemas.openxmlformats.org/officeDocument/2006/relationships/hyperlink" Target="https://www.cbp.gov/document/guidance/csms-archive" TargetMode="External"/><Relationship Id="rId28" Type="http://schemas.openxmlformats.org/officeDocument/2006/relationships/hyperlink" Target="https://www.cbp.gov/document/guidance/trade-information-notice-cape" TargetMode="External"/><Relationship Id="rId143" Type="http://schemas.openxmlformats.org/officeDocument/2006/relationships/hyperlink" Target="https://www.cbp.gov/trade/automated/cargo-systems-messaging-service" TargetMode="External"/><Relationship Id="rId86" Type="http://schemas.openxmlformats.org/officeDocument/2006/relationships/hyperlink" Target="https://www.cbp.gov/trade/basic-import-export/user-fee-table" TargetMode="External"/><Relationship Id="rId83" Type="http://schemas.openxmlformats.org/officeDocument/2006/relationships/hyperlink" Target="https://www.cbp.gov/trade/programs-administration/entry-summary/order-of-reporting-multiple-hts-in-ace" TargetMode="External"/><Relationship Id="rId90" Type="http://schemas.openxmlformats.org/officeDocument/2006/relationships/hyperlink" Target="https://www.cbp.gov/trade/programs-administration/entry-summary/section-301-trade-remedies/faqs" TargetMode="External"/><Relationship Id="rId146" Type="http://schemas.openxmlformats.org/officeDocument/2006/relationships/hyperlink" Target="https://www.cbp.gov/trade/programs-administration/trade-remedies" TargetMode="External"/><Relationship Id="rId24" Type="http://schemas.openxmlformats.org/officeDocument/2006/relationships/hyperlink" Target="https://www.cbp.gov/trade/programs-administration/trade-remedies/ieepa-duty-refunds" TargetMode="External"/><Relationship Id="rId110" Type="http://schemas.openxmlformats.org/officeDocument/2006/relationships/hyperlink" Target="https://www.cbsa-asfc.gc.ca/publications/cn-ad/cn24-32-eng.html" TargetMode="External"/><Relationship Id="rId108" Type="http://schemas.openxmlformats.org/officeDocument/2006/relationships/hyperlink" Target="https://www.cbsa-asfc.gc.ca/publications/cn-ad/cn25-24-eng.html" TargetMode="External"/><Relationship Id="rId107" Type="http://schemas.openxmlformats.org/officeDocument/2006/relationships/hyperlink" Target="https://www.cbsa-asfc.gc.ca/publications/cn-ad/cn25-28-eng.html" TargetMode="External"/><Relationship Id="rId105" Type="http://schemas.openxmlformats.org/officeDocument/2006/relationships/hyperlink" Target="https://www.cbsa-asfc.gc.ca/publications/cn-ad/cn25-33-eng.html" TargetMode="External"/><Relationship Id="rId101" Type="http://schemas.openxmlformats.org/officeDocument/2006/relationships/hyperlink" Target="https://www.cbsa-asfc.gc.ca/publications/cn-ad/cn26-10-eng.html" TargetMode="External"/><Relationship Id="rId99" Type="http://schemas.openxmlformats.org/officeDocument/2006/relationships/hyperlink" Target="https://www.cbsa-asfc.gc.ca/publications/cn-ad/cn26-23-eng.html" TargetMode="External"/><Relationship Id="rId150" Type="http://schemas.openxmlformats.org/officeDocument/2006/relationships/hyperlink" Target="https://www.cbsa-asfc.gc.ca/publications/cn-ad/menu-eng.html" TargetMode="External"/><Relationship Id="rId113" Type="http://schemas.openxmlformats.org/officeDocument/2006/relationships/hyperlink" Target="https://www.cbsa-asfc.gc.ca/services/carm-gcra/menu-eng.html" TargetMode="External"/><Relationship Id="rId151" Type="http://schemas.openxmlformats.org/officeDocument/2006/relationships/hyperlink" Target="https://www.cbsa-asfc.gc.ca/trade-commerce/tariff-tarif/2026/menu-eng.html" TargetMode="External"/><Relationship Id="rId32" Type="http://schemas.openxmlformats.org/officeDocument/2006/relationships/hyperlink" Target="https://www.cit.uscourts.gov/sites/cit/files/26-47.pdf" TargetMode="External"/><Relationship Id="rId80" Type="http://schemas.openxmlformats.org/officeDocument/2006/relationships/hyperlink" Target="https://www.congress.gov/bill/119th-congress/house-bill/1" TargetMode="External"/><Relationship Id="rId133" Type="http://schemas.openxmlformats.org/officeDocument/2006/relationships/hyperlink" Target="https://www.congress.gov/crs-product/R48787" TargetMode="External"/><Relationship Id="rId122" Type="http://schemas.openxmlformats.org/officeDocument/2006/relationships/hyperlink" Target="https://www.dof.gob.mx/" TargetMode="External"/><Relationship Id="rId118" Type="http://schemas.openxmlformats.org/officeDocument/2006/relationships/hyperlink" Target="https://www.dof.gob.mx/nota_detalle.php?codigo=5745788&amp;fecha=19/12/2024" TargetMode="External"/><Relationship Id="rId117" Type="http://schemas.openxmlformats.org/officeDocument/2006/relationships/hyperlink" Target="https://www.dof.gob.mx/nota_detalle.php?codigo=5785818&amp;fecha=23/04/2026" TargetMode="External"/><Relationship Id="rId127" Type="http://schemas.openxmlformats.org/officeDocument/2006/relationships/hyperlink" Target="https://www.dof.gob.mx/nota_detalle.php?codigo=5786598&amp;fecha=04/05/2026" TargetMode="External"/><Relationship Id="rId87" Type="http://schemas.openxmlformats.org/officeDocument/2006/relationships/hyperlink" Target="https://www.ecfr.gov/current/title-19/section-24.23" TargetMode="External"/><Relationship Id="rId88" Type="http://schemas.openxmlformats.org/officeDocument/2006/relationships/hyperlink" Target="https://www.ecfr.gov/current/title-19/section-24.24" TargetMode="External"/><Relationship Id="rId142" Type="http://schemas.openxmlformats.org/officeDocument/2006/relationships/hyperlink" Target="https://www.federalregister.gov/" TargetMode="External"/><Relationship Id="rId59" Type="http://schemas.openxmlformats.org/officeDocument/2006/relationships/hyperlink" Target="https://www.federalregister.gov/d/2024-21217" TargetMode="External"/><Relationship Id="rId40" Type="http://schemas.openxmlformats.org/officeDocument/2006/relationships/hyperlink" Target="https://www.federalregister.gov/d/2025-05930" TargetMode="External"/><Relationship Id="rId44" Type="http://schemas.openxmlformats.org/officeDocument/2006/relationships/hyperlink" Target="https://www.federalregister.gov/d/2025-19482" TargetMode="External"/><Relationship Id="rId42" Type="http://schemas.openxmlformats.org/officeDocument/2006/relationships/hyperlink" Target="https://www.federalregister.gov/d/2025-19639" TargetMode="External"/><Relationship Id="rId62" Type="http://schemas.openxmlformats.org/officeDocument/2006/relationships/hyperlink" Target="https://www.federalregister.gov/d/2025-19873" TargetMode="External"/><Relationship Id="rId60" Type="http://schemas.openxmlformats.org/officeDocument/2006/relationships/hyperlink" Target="https://www.federalregister.gov/d/2025-21671" TargetMode="External"/><Relationship Id="rId64" Type="http://schemas.openxmlformats.org/officeDocument/2006/relationships/hyperlink" Target="https://www.federalregister.gov/d/2025-23892" TargetMode="External"/><Relationship Id="rId63" Type="http://schemas.openxmlformats.org/officeDocument/2006/relationships/hyperlink" Target="https://www.federalregister.gov/d/2025-23912" TargetMode="External"/><Relationship Id="rId45" Type="http://schemas.openxmlformats.org/officeDocument/2006/relationships/hyperlink" Target="https://www.federalregister.gov/d/2026-00327" TargetMode="External"/><Relationship Id="rId50" Type="http://schemas.openxmlformats.org/officeDocument/2006/relationships/hyperlink" Target="https://www.federalregister.gov/d/2026-01045" TargetMode="External"/><Relationship Id="rId46" Type="http://schemas.openxmlformats.org/officeDocument/2006/relationships/hyperlink" Target="https://www.federalregister.gov/d/2026-01052" TargetMode="External"/><Relationship Id="rId43" Type="http://schemas.openxmlformats.org/officeDocument/2006/relationships/hyperlink" Target="https://www.federalregister.gov/d/2026-02049" TargetMode="External"/><Relationship Id="rId30" Type="http://schemas.openxmlformats.org/officeDocument/2006/relationships/hyperlink" Target="https://www.federalregister.gov/d/2026-03824" TargetMode="External"/><Relationship Id="rId26" Type="http://schemas.openxmlformats.org/officeDocument/2006/relationships/hyperlink" Target="https://www.federalregister.gov/d/2026-03832" TargetMode="External"/><Relationship Id="rId73" Type="http://schemas.openxmlformats.org/officeDocument/2006/relationships/hyperlink" Target="https://www.federalregister.gov/d/2026-05170" TargetMode="External"/><Relationship Id="rId35" Type="http://schemas.openxmlformats.org/officeDocument/2006/relationships/hyperlink" Target="https://www.federalregister.gov/d/2026-05214" TargetMode="External"/><Relationship Id="rId47" Type="http://schemas.openxmlformats.org/officeDocument/2006/relationships/hyperlink" Target="https://www.federalregister.gov/d/2026-06956" TargetMode="External"/><Relationship Id="rId22" Type="http://schemas.openxmlformats.org/officeDocument/2006/relationships/hyperlink" Target="https://www.federalregister.gov/d/2026-06960" TargetMode="External"/><Relationship Id="rId57" Type="http://schemas.openxmlformats.org/officeDocument/2006/relationships/hyperlink" Target="https://www.federalregister.gov/d/2026-08806" TargetMode="External"/><Relationship Id="rId49" Type="http://schemas.openxmlformats.org/officeDocument/2006/relationships/hyperlink" Target="https://www.federalregister.gov/d/2026-09489" TargetMode="External"/><Relationship Id="rId38" Type="http://schemas.openxmlformats.org/officeDocument/2006/relationships/hyperlink" Target="https://www.federalregister.gov/d/2026-11314" TargetMode="External"/><Relationship Id="rId79" Type="http://schemas.openxmlformats.org/officeDocument/2006/relationships/hyperlink" Target="https://www.federalregister.gov/d/2026-12669" TargetMode="External"/><Relationship Id="rId78" Type="http://schemas.openxmlformats.org/officeDocument/2006/relationships/hyperlink" Target="https://www.federalregister.gov/d/2026-12670" TargetMode="External"/><Relationship Id="rId54" Type="http://schemas.openxmlformats.org/officeDocument/2006/relationships/hyperlink" Target="https://www.federalregister.gov/d/2026-14334" TargetMode="External"/><Relationship Id="rId65" Type="http://schemas.openxmlformats.org/officeDocument/2006/relationships/hyperlink" Target="https://www.federalregister.gov/d/2026-14542" TargetMode="External"/><Relationship Id="rId39" Type="http://schemas.openxmlformats.org/officeDocument/2006/relationships/hyperlink" Target="https://www.federalregister.gov/d/2026-14990" TargetMode="External"/><Relationship Id="rId67" Type="http://schemas.openxmlformats.org/officeDocument/2006/relationships/hyperlink" Target="https://www.federalregister.gov/d/2026-14997" TargetMode="External"/><Relationship Id="rId33" Type="http://schemas.openxmlformats.org/officeDocument/2006/relationships/hyperlink" Target="https://www.federalregister.gov/d/2026-15181" TargetMode="External"/><Relationship Id="rId85" Type="http://schemas.openxmlformats.org/officeDocument/2006/relationships/hyperlink" Target="https://www.federalregister.gov/d/2026-15530" TargetMode="External"/><Relationship Id="rId48" Type="http://schemas.openxmlformats.org/officeDocument/2006/relationships/hyperlink" Target="https://www.federalregister.gov/d/2026-15799" TargetMode="External"/><Relationship Id="rId52" Type="http://schemas.openxmlformats.org/officeDocument/2006/relationships/hyperlink" Target="https://www.federalregister.gov/d/2026-16400" TargetMode="External"/><Relationship Id="rId41" Type="http://schemas.openxmlformats.org/officeDocument/2006/relationships/hyperlink" Target="https://www.federalregister.gov/d/2026-16859" TargetMode="External"/><Relationship Id="rId51" Type="http://schemas.openxmlformats.org/officeDocument/2006/relationships/hyperlink" Target="https://www.federalregister.gov/d/2026-16979" TargetMode="External"/><Relationship Id="rId68" Type="http://schemas.openxmlformats.org/officeDocument/2006/relationships/hyperlink" Target="https://www.federalregister.gov/d/2026-17294" TargetMode="External"/><Relationship Id="rId69" Type="http://schemas.openxmlformats.org/officeDocument/2006/relationships/hyperlink" Target="https://www.federalregister.gov/d/2026-18837" TargetMode="External"/><Relationship Id="rId70" Type="http://schemas.openxmlformats.org/officeDocument/2006/relationships/hyperlink" Target="https://www.federalregister.gov/d/2026-18839" TargetMode="External"/><Relationship Id="rId53" Type="http://schemas.openxmlformats.org/officeDocument/2006/relationships/hyperlink" Target="https://www.federalregister.gov/d/2026-19537" TargetMode="External"/><Relationship Id="rId134" Type="http://schemas.openxmlformats.org/officeDocument/2006/relationships/hyperlink" Target="https://www.federalregister.gov/d/2026-20341" TargetMode="External"/><Relationship Id="rId58" Type="http://schemas.openxmlformats.org/officeDocument/2006/relationships/hyperlink" Target="https://www.federalregister.gov/d/2026-20510" TargetMode="External"/><Relationship Id="rId61" Type="http://schemas.openxmlformats.org/officeDocument/2006/relationships/hyperlink" Target="https://www.federalregister.gov/d/2026-20511" TargetMode="External"/><Relationship Id="rId141" Type="http://schemas.openxmlformats.org/officeDocument/2006/relationships/hyperlink" Target="https://www.federalregister.gov/public-inspection/current" TargetMode="External"/><Relationship Id="rId124" Type="http://schemas.openxmlformats.org/officeDocument/2006/relationships/hyperlink" Target="https://www.gob.mx/sat/prensa/sat-anam-y-atdt-amplian-al-31-de-octubre-plazo-para-presentar-manifestacion-de-valor-electronica" TargetMode="External"/><Relationship Id="rId128" Type="http://schemas.openxmlformats.org/officeDocument/2006/relationships/hyperlink" Target="https://www.gob.mx/se" TargetMode="External"/><Relationship Id="rId116" Type="http://schemas.openxmlformats.org/officeDocument/2006/relationships/hyperlink" Target="https://www.gob.mx/se/prensa/se-publica-en-el-dof-la-modificacion-de-aranceles-de-la-ligie" TargetMode="External"/><Relationship Id="rId111" Type="http://schemas.openxmlformats.org/officeDocument/2006/relationships/hyperlink" Target="https://www.international.gc.ca/trade-commerce/controls-controles/electric-vehicle-vehicule-electrique/index.aspx?lang=eng" TargetMode="External"/><Relationship Id="rId112" Type="http://schemas.openxmlformats.org/officeDocument/2006/relationships/hyperlink" Target="https://www.pm.gc.ca/en/news/news-releases/2026/01/16/prime-minister-carney-forges-new-strategic-partnership-peoples" TargetMode="External"/><Relationship Id="rId153" Type="http://schemas.openxmlformats.org/officeDocument/2006/relationships/hyperlink" Target="https://www.sat.gob.mx/" TargetMode="External"/><Relationship Id="rId120" Type="http://schemas.openxmlformats.org/officeDocument/2006/relationships/hyperlink" Target="https://www.snice.gob.mx/cs/avi/snice/ligie.info22.mod24.html" TargetMode="External"/><Relationship Id="rId119" Type="http://schemas.openxmlformats.org/officeDocument/2006/relationships/hyperlink" Target="https://www.snice.gob.mx/cs/avi/snice/ligie.info22.mod26.html" TargetMode="External"/><Relationship Id="rId27" Type="http://schemas.openxmlformats.org/officeDocument/2006/relationships/hyperlink" Target="https://www.supremecourt.gov/opinions/slipopinion/25" TargetMode="External"/><Relationship Id="rId75" Type="http://schemas.openxmlformats.org/officeDocument/2006/relationships/hyperlink" Target="https://www.trade.gov/" TargetMode="External"/><Relationship Id="rId74" Type="http://schemas.openxmlformats.org/officeDocument/2006/relationships/hyperlink" Target="https://www.usitc.gov/publications/safeguards/pub5773.pdf" TargetMode="External"/><Relationship Id="rId126" Type="http://schemas.openxmlformats.org/officeDocument/2006/relationships/hyperlink" Target="https://www.ventanillaunica.gob.mx" TargetMode="External"/><Relationship Id="rId140" Type="http://schemas.openxmlformats.org/officeDocument/2006/relationships/hyperlink" Target="https://www.whitehouse.gov/presidential-actions/" TargetMode="External"/><Relationship Id="rId77" Type="http://schemas.openxmlformats.org/officeDocument/2006/relationships/hyperlink" Target="https://www.whitehouse.gov/presidential-actions/2026/02/continuing-the-suspension-of-duty-free-de-minimis-treatment-for-all-count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2026-10-08T20:57:14Z</dcterms:created>
  <dcterms:modified xsi:type="dcterms:W3CDTF">2026-10-08T20:57:14Z</dcterms:modified>
</cp:coreProperties>
</file>

<file path=docProps/custom.xml><?xml version="1.0" encoding="utf-8"?>
<Properties xmlns="http://schemas.openxmlformats.org/officeDocument/2006/custom-properties" xmlns:vt="http://schemas.openxmlformats.org/officeDocument/2006/docPropsVTypes"/>
</file>