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291"/>
        <w:gridCol w:w="3078"/>
        <w:gridCol w:w="2664"/>
        <w:gridCol w:w="2325"/>
      </w:tblGrid>
      <w:tr>
        <w:trPr>
          <w:tblHeader w:val="true"/>
        </w:trPr>
        <w:tc>
          <w:tcPr>
            <w:tcW w:w="1291" w:type="dxa"/>
          </w:tcPr>
          <w:p>
            <w:pPr>
              <w:pStyle w:val="Compact"/>
              <w:jc w:val="left"/>
            </w:pPr>
            <w:r>
              <w:t xml:space="preserve">Deck</w:t>
            </w:r>
          </w:p>
        </w:tc>
        <w:tc>
          <w:tcPr>
            <w:tcW w:w="3078" w:type="dxa"/>
          </w:tcPr>
          <w:p>
            <w:pPr>
              <w:pStyle w:val="Compact"/>
              <w:jc w:val="left"/>
            </w:pPr>
            <w:r>
              <w:t xml:space="preserve">What is in it</w:t>
            </w:r>
          </w:p>
        </w:tc>
        <w:tc>
          <w:tcPr>
            <w:tcW w:w="2664" w:type="dxa"/>
          </w:tcPr>
          <w:p>
            <w:pPr>
              <w:pStyle w:val="Compact"/>
              <w:jc w:val="left"/>
            </w:pPr>
            <w:r>
              <w:t xml:space="preserve">Where it comes from</w:t>
            </w:r>
          </w:p>
        </w:tc>
        <w:tc>
          <w:tcPr>
            <w:tcW w:w="2325" w:type="dxa"/>
          </w:tcPr>
          <w:p>
            <w:pPr>
              <w:pStyle w:val="Compact"/>
              <w:jc w:val="left"/>
            </w:pPr>
            <w:r>
              <w:t xml:space="preserve">May it leave company systems?</w:t>
            </w:r>
          </w:p>
        </w:tc>
      </w:tr>
      <w:tr>
        <w:tc>
          <w:tcPr>
            <w:tcW w:w="1291" w:type="dxa"/>
          </w:tcPr>
          <w:p>
            <w:pPr>
              <w:pStyle w:val="Compact"/>
              <w:jc w:val="left"/>
            </w:pPr>
            <w:r>
              <w:t xml:space="preserve">Team deck: "BSA Onboarding" (3 sub-decks)</w:t>
            </w:r>
          </w:p>
        </w:tc>
        <w:tc>
          <w:tcPr>
            <w:tcW w:w="3078" w:type="dxa"/>
          </w:tcPr>
          <w:p>
            <w:pPr>
              <w:pStyle w:val="Compact"/>
              <w:jc w:val="left"/>
            </w:pPr>
            <w:r>
              <w:t xml:space="preserve">Industry and regulatory knowledge, BSA craft and data skills. Nothing company-specific</w:t>
            </w:r>
          </w:p>
        </w:tc>
        <w:tc>
          <w:tcPr>
            <w:tcW w:w="2664" w:type="dxa"/>
          </w:tcPr>
          <w:p>
            <w:pPr>
              <w:pStyle w:val="Compact"/>
              <w:jc w:val="left"/>
            </w:pPr>
            <w:r>
              <w:t xml:space="preserve">BSA-Onboarding.apkg in the onboarding folder, built by the Manager. You study it; you do not edit it</w:t>
            </w:r>
          </w:p>
        </w:tc>
        <w:tc>
          <w:tcPr>
            <w:tcW w:w="2325" w:type="dxa"/>
          </w:tcPr>
          <w:p>
            <w:pPr>
              <w:pStyle w:val="Compact"/>
              <w:jc w:val="left"/>
            </w:pPr>
            <w:r>
              <w:t xml:space="preserve">Yes: it contains no company data. But Anki syncs whole profiles, so the sync rules below still apply</w:t>
            </w:r>
          </w:p>
        </w:tc>
      </w:tr>
      <w:tr>
        <w:tc>
          <w:tcPr>
            <w:tcW w:w="1291" w:type="dxa"/>
          </w:tcPr>
          <w:p>
            <w:pPr>
              <w:pStyle w:val="Compact"/>
              <w:jc w:val="left"/>
            </w:pPr>
            <w:r>
              <w:t xml:space="preserve">Your own deck, for example "BSA Company Internal"</w:t>
            </w:r>
          </w:p>
        </w:tc>
        <w:tc>
          <w:tcPr>
            <w:tcW w:w="3078"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664" w:type="dxa"/>
          </w:tcPr>
          <w:p>
            <w:pPr>
              <w:pStyle w:val="Compact"/>
              <w:jc w:val="left"/>
            </w:pPr>
            <w:r>
              <w:t xml:space="preserve">Written by you as you learn; company cards shared through [COMPANY: SharePoint or OneNote location]</w:t>
            </w:r>
          </w:p>
        </w:tc>
        <w:tc>
          <w:tcPr>
            <w:tcW w:w="2325"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principles"/>
    <w:p>
      <w:pPr>
        <w:pStyle w:val="Heading2"/>
      </w:pPr>
      <w:r>
        <w:t xml:space="preserve">Principles</w:t>
      </w:r>
    </w:p>
    <w:p>
      <w:pPr>
        <w:numPr>
          <w:ilvl w:val="0"/>
          <w:numId w:val="1002"/>
        </w:numPr>
        <w:pStyle w:val="Compact"/>
      </w:pPr>
      <w:r>
        <w:rPr>
          <w:bCs/>
          <w:b/>
        </w:rPr>
        <w:t xml:space="preserve">Atomic: one fact per card.</w:t>
      </w:r>
      <w:r>
        <w:t xml:space="preserve"> </w:t>
      </w:r>
      <w:r>
        <w:t xml:space="preserve">If the back has "and" joining two facts, make two cards.</w:t>
      </w:r>
    </w:p>
    <w:p>
      <w:pPr>
        <w:numPr>
          <w:ilvl w:val="0"/>
          <w:numId w:val="1002"/>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2"/>
        </w:numPr>
        <w:pStyle w:val="Compact"/>
      </w:pPr>
      <w:r>
        <w:rPr>
          <w:bCs/>
          <w:b/>
        </w:rPr>
        <w:t xml:space="preserve">Short back: 40 words or fewer.</w:t>
      </w:r>
      <w:r>
        <w:t xml:space="preserve"> </w:t>
      </w:r>
      <w:r>
        <w:t xml:space="preserve">The answer first, then at most one line of why or source.</w:t>
      </w:r>
    </w:p>
    <w:p>
      <w:pPr>
        <w:numPr>
          <w:ilvl w:val="0"/>
          <w:numId w:val="1002"/>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2"/>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2"/>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2"/>
        </w:numPr>
        <w:pStyle w:val="Compact"/>
      </w:pPr>
      <w:r>
        <w:rPr>
          <w:bCs/>
          <w:b/>
        </w:rPr>
        <w:t xml:space="preserve">Your own words,</w:t>
      </w:r>
      <w:r>
        <w:t xml:space="preserve"> </w:t>
      </w:r>
      <w:r>
        <w:t xml:space="preserve">not copied paragraphs. Writing the card is half the learning.</w:t>
      </w:r>
    </w:p>
    <w:p>
      <w:pPr>
        <w:numPr>
          <w:ilvl w:val="0"/>
          <w:numId w:val="1002"/>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2"/>
        </w:numPr>
        <w:pStyle w:val="Compact"/>
      </w:pPr>
      <w:r>
        <w:rPr>
          <w:bCs/>
          <w:b/>
        </w:rPr>
        <w:t xml:space="preserve">No yes or no questions.</w:t>
      </w:r>
      <w:r>
        <w:t xml:space="preserve"> </w:t>
      </w:r>
      <w:r>
        <w:t xml:space="preserve">Ask for the thing itself.</w:t>
      </w:r>
    </w:p>
    <w:p>
      <w:pPr>
        <w:numPr>
          <w:ilvl w:val="0"/>
          <w:numId w:val="1002"/>
        </w:numPr>
        <w:pStyle w:val="Compact"/>
      </w:pPr>
      <w:r>
        <w:rPr>
          <w:bCs/>
          <w:b/>
        </w:rPr>
        <w:t xml:space="preserve">Fix or suspend bad cards.</w:t>
      </w:r>
      <w:r>
        <w:t xml:space="preserve"> </w:t>
      </w:r>
      <w:r>
        <w:t xml:space="preserve">A card you keep failing is badly written more often than it is hard. Rewrite it.</w:t>
      </w:r>
    </w:p>
    <w:bookmarkEnd w:id="21"/>
    <w:bookmarkStart w:id="22"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281"/>
        <w:gridCol w:w="1609"/>
        <w:gridCol w:w="5469"/>
      </w:tblGrid>
      <w:tr>
        <w:trPr>
          <w:tblHeader w:val="true"/>
        </w:trPr>
        <w:tc>
          <w:tcPr>
            <w:tcW w:w="2281" w:type="dxa"/>
          </w:tcPr>
          <w:p>
            <w:pPr>
              <w:pStyle w:val="Compact"/>
              <w:jc w:val="left"/>
            </w:pPr>
            <w:r>
              <w:t xml:space="preserve">Bad card</w:t>
            </w:r>
          </w:p>
        </w:tc>
        <w:tc>
          <w:tcPr>
            <w:tcW w:w="1609" w:type="dxa"/>
          </w:tcPr>
          <w:p>
            <w:pPr>
              <w:pStyle w:val="Compact"/>
              <w:jc w:val="left"/>
            </w:pPr>
            <w:r>
              <w:t xml:space="preserve">Problem</w:t>
            </w:r>
          </w:p>
        </w:tc>
        <w:tc>
          <w:tcPr>
            <w:tcW w:w="5469" w:type="dxa"/>
          </w:tcPr>
          <w:p>
            <w:pPr>
              <w:pStyle w:val="Compact"/>
              <w:jc w:val="left"/>
            </w:pPr>
            <w:r>
              <w:t xml:space="preserve">Better card</w:t>
            </w:r>
          </w:p>
        </w:tc>
      </w:tr>
      <w:tr>
        <w:tc>
          <w:tcPr>
            <w:tcW w:w="2281" w:type="dxa"/>
          </w:tcPr>
          <w:p>
            <w:pPr>
              <w:pStyle w:val="Compact"/>
              <w:jc w:val="left"/>
            </w:pPr>
            <w:r>
              <w:t xml:space="preserve">Front: "USMCA" / Back: a paragraph on the agreement</w:t>
            </w:r>
          </w:p>
        </w:tc>
        <w:tc>
          <w:tcPr>
            <w:tcW w:w="1609" w:type="dxa"/>
          </w:tcPr>
          <w:p>
            <w:pPr>
              <w:pStyle w:val="Compact"/>
              <w:jc w:val="left"/>
            </w:pPr>
            <w:r>
              <w:t xml:space="preserve">Not a question; many facts; too long</w:t>
            </w:r>
          </w:p>
        </w:tc>
        <w:tc>
          <w:tcPr>
            <w:tcW w:w="5469"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281" w:type="dxa"/>
          </w:tcPr>
          <w:p>
            <w:pPr>
              <w:pStyle w:val="Compact"/>
              <w:jc w:val="left"/>
            </w:pPr>
            <w:r>
              <w:t xml:space="preserve">Front: "What is the Section 301 rate on our items?" / Back: "25%"</w:t>
            </w:r>
          </w:p>
        </w:tc>
        <w:tc>
          <w:tcPr>
            <w:tcW w:w="1609" w:type="dxa"/>
          </w:tcPr>
          <w:p>
            <w:pPr>
              <w:pStyle w:val="Compact"/>
              <w:jc w:val="left"/>
            </w:pPr>
            <w:r>
              <w:t xml:space="preserve">Volatile, company-specific, no date or source</w:t>
            </w:r>
          </w:p>
        </w:tc>
        <w:tc>
          <w:tcPr>
            <w:tcW w:w="5469"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281" w:type="dxa"/>
          </w:tcPr>
          <w:p>
            <w:pPr>
              <w:pStyle w:val="Compact"/>
              <w:jc w:val="left"/>
            </w:pPr>
            <w:r>
              <w:t xml:space="preserve">Front: "True or false: the PO date decides the US duty rate."</w:t>
            </w:r>
          </w:p>
        </w:tc>
        <w:tc>
          <w:tcPr>
            <w:tcW w:w="1609" w:type="dxa"/>
          </w:tcPr>
          <w:p>
            <w:pPr>
              <w:pStyle w:val="Compact"/>
              <w:jc w:val="left"/>
            </w:pPr>
            <w:r>
              <w:t xml:space="preserve">Yes or no question</w:t>
            </w:r>
          </w:p>
        </w:tc>
        <w:tc>
          <w:tcPr>
            <w:tcW w:w="5469"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281" w:type="dxa"/>
          </w:tcPr>
          <w:p>
            <w:pPr>
              <w:pStyle w:val="Compact"/>
              <w:jc w:val="left"/>
            </w:pPr>
            <w:r>
              <w:t xml:space="preserve">Front: "Protest?" / Back: "180 days"</w:t>
            </w:r>
          </w:p>
        </w:tc>
        <w:tc>
          <w:tcPr>
            <w:tcW w:w="1609" w:type="dxa"/>
          </w:tcPr>
          <w:p>
            <w:pPr>
              <w:pStyle w:val="Compact"/>
              <w:jc w:val="left"/>
            </w:pPr>
            <w:r>
              <w:t xml:space="preserve">No context; the answer has no meaning on its own</w:t>
            </w:r>
          </w:p>
        </w:tc>
        <w:tc>
          <w:tcPr>
            <w:tcW w:w="5469" w:type="dxa"/>
          </w:tcPr>
          <w:p>
            <w:pPr>
              <w:pStyle w:val="Compact"/>
              <w:jc w:val="left"/>
            </w:pPr>
            <w:r>
              <w:t xml:space="preserve">Front: "US: how long does an importer have to protest a CBP liquidation decision?" / Back: "180 days from the date of liquidation (19 U.S.C. 1514)."</w:t>
            </w:r>
          </w:p>
        </w:tc>
      </w:tr>
      <w:tr>
        <w:tc>
          <w:tcPr>
            <w:tcW w:w="2281" w:type="dxa"/>
          </w:tcPr>
          <w:p>
            <w:pPr>
              <w:pStyle w:val="Compact"/>
              <w:jc w:val="left"/>
            </w:pPr>
            <w:r>
              <w:t xml:space="preserve">Front: "List all landed-cost components."</w:t>
            </w:r>
          </w:p>
        </w:tc>
        <w:tc>
          <w:tcPr>
            <w:tcW w:w="1609" w:type="dxa"/>
          </w:tcPr>
          <w:p>
            <w:pPr>
              <w:pStyle w:val="Compact"/>
              <w:jc w:val="left"/>
            </w:pPr>
            <w:r>
              <w:t xml:space="preserve">A long list on one card</w:t>
            </w:r>
          </w:p>
        </w:tc>
        <w:tc>
          <w:tcPr>
            <w:tcW w:w="5469" w:type="dxa"/>
          </w:tcPr>
          <w:p>
            <w:pPr>
              <w:pStyle w:val="Compact"/>
              <w:jc w:val="left"/>
            </w:pPr>
            <w:r>
              <w:t xml:space="preserve">Cloze: "Landed cost = purchase price + {{c1::international freight and insurance}} + {{c2::duty}} + {{c3::customs fees and brokerage}} + inland freight."</w:t>
            </w:r>
          </w:p>
        </w:tc>
      </w:tr>
      <w:tr>
        <w:tc>
          <w:tcPr>
            <w:tcW w:w="2281" w:type="dxa"/>
          </w:tcPr>
          <w:p>
            <w:pPr>
              <w:pStyle w:val="Compact"/>
              <w:jc w:val="left"/>
            </w:pPr>
            <w:r>
              <w:t xml:space="preserve">Front: "Explain IMMEX, Anexo 24 and Anexo 30."</w:t>
            </w:r>
          </w:p>
        </w:tc>
        <w:tc>
          <w:tcPr>
            <w:tcW w:w="1609" w:type="dxa"/>
          </w:tcPr>
          <w:p>
            <w:pPr>
              <w:pStyle w:val="Compact"/>
              <w:jc w:val="left"/>
            </w:pPr>
            <w:r>
              <w:t xml:space="preserve">Three topics on one card</w:t>
            </w:r>
          </w:p>
        </w:tc>
        <w:tc>
          <w:tcPr>
            <w:tcW w:w="5469"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281" w:type="dxa"/>
          </w:tcPr>
          <w:p>
            <w:pPr>
              <w:pStyle w:val="Compact"/>
              <w:jc w:val="left"/>
            </w:pPr>
            <w:r>
              <w:t xml:space="preserve">Front: "Who owns tariffs?"</w:t>
            </w:r>
          </w:p>
        </w:tc>
        <w:tc>
          <w:tcPr>
            <w:tcW w:w="1609" w:type="dxa"/>
          </w:tcPr>
          <w:p>
            <w:pPr>
              <w:pStyle w:val="Compact"/>
              <w:jc w:val="left"/>
            </w:pPr>
            <w:r>
              <w:t xml:space="preserve">Vague; several right answers</w:t>
            </w:r>
          </w:p>
        </w:tc>
        <w:tc>
          <w:tcPr>
            <w:tcW w:w="5469"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281" w:type="dxa"/>
          </w:tcPr>
          <w:p>
            <w:pPr>
              <w:pStyle w:val="Compact"/>
              <w:jc w:val="left"/>
            </w:pPr>
            <w:r>
              <w:t xml:space="preserve">Front: "SQL HTS" / Back: "text"</w:t>
            </w:r>
          </w:p>
        </w:tc>
        <w:tc>
          <w:tcPr>
            <w:tcW w:w="1609" w:type="dxa"/>
          </w:tcPr>
          <w:p>
            <w:pPr>
              <w:pStyle w:val="Compact"/>
              <w:jc w:val="left"/>
            </w:pPr>
            <w:r>
              <w:t xml:space="preserve">Cryptic both ways</w:t>
            </w:r>
          </w:p>
        </w:tc>
        <w:tc>
          <w:tcPr>
            <w:tcW w:w="5469"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3"/>
        </w:numPr>
        <w:pStyle w:val="Compact"/>
      </w:pPr>
      <w:r>
        <w:t xml:space="preserve">Front: "Which table holds our item classification master?" / Back: "[COMPANY: table]. Key: item number + import country." / Source: "[COMPANY: OneNote page]".</w:t>
      </w:r>
    </w:p>
    <w:p>
      <w:pPr>
        <w:numPr>
          <w:ilvl w:val="0"/>
          <w:numId w:val="1003"/>
        </w:numPr>
        <w:pStyle w:val="Compact"/>
      </w:pPr>
      <w:r>
        <w:t xml:space="preserve">Front: "Standard Cost: who approves a cost update before it loads to Oracle?" / Back: "[COMPANY: Finance approver role], after the checker's sign-off." / Source: "SOP-STC-01 step [n]".</w:t>
      </w:r>
    </w:p>
    <w:p>
      <w:pPr>
        <w:numPr>
          <w:ilvl w:val="0"/>
          <w:numId w:val="1003"/>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2"/>
    <w:bookmarkStart w:id="23"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4"/>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4"/>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4"/>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4"/>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4"/>
        </w:numPr>
        <w:pStyle w:val="Compact"/>
      </w:pPr>
      <w:r>
        <w:t xml:space="preserve">Keep topic names short and reuse existing ones. Check the tag tree before you invent a new topic.</w:t>
      </w:r>
    </w:p>
    <w:bookmarkEnd w:id="23"/>
    <w:bookmarkStart w:id="24"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914"/>
        <w:gridCol w:w="6328"/>
        <w:gridCol w:w="1116"/>
      </w:tblGrid>
      <w:tr>
        <w:trPr>
          <w:tblHeader w:val="true"/>
        </w:trPr>
        <w:tc>
          <w:tcPr>
            <w:tcW w:w="1914" w:type="dxa"/>
          </w:tcPr>
          <w:p>
            <w:pPr>
              <w:pStyle w:val="Compact"/>
              <w:jc w:val="left"/>
            </w:pPr>
            <w:r>
              <w:t xml:space="preserve">When</w:t>
            </w:r>
          </w:p>
        </w:tc>
        <w:tc>
          <w:tcPr>
            <w:tcW w:w="6328" w:type="dxa"/>
          </w:tcPr>
          <w:p>
            <w:pPr>
              <w:pStyle w:val="Compact"/>
              <w:jc w:val="left"/>
            </w:pPr>
            <w:r>
              <w:t xml:space="preserve">What</w:t>
            </w:r>
          </w:p>
        </w:tc>
        <w:tc>
          <w:tcPr>
            <w:tcW w:w="1116" w:type="dxa"/>
          </w:tcPr>
          <w:p>
            <w:pPr>
              <w:pStyle w:val="Compact"/>
              <w:jc w:val="left"/>
            </w:pPr>
            <w:r>
              <w:t xml:space="preserve">Time</w:t>
            </w:r>
          </w:p>
        </w:tc>
      </w:tr>
      <w:tr>
        <w:tc>
          <w:tcPr>
            <w:tcW w:w="1914" w:type="dxa"/>
          </w:tcPr>
          <w:p>
            <w:pPr>
              <w:pStyle w:val="Compact"/>
              <w:jc w:val="left"/>
            </w:pPr>
            <w:r>
              <w:t xml:space="preserve">Every morning, first thing</w:t>
            </w:r>
          </w:p>
        </w:tc>
        <w:tc>
          <w:tcPr>
            <w:tcW w:w="6328" w:type="dxa"/>
          </w:tcPr>
          <w:p>
            <w:pPr>
              <w:pStyle w:val="Compact"/>
              <w:jc w:val="left"/>
            </w:pPr>
            <w:r>
              <w:t xml:space="preserve">Review all due cards in both decks. Reviews before new cards</w:t>
            </w:r>
          </w:p>
        </w:tc>
        <w:tc>
          <w:tcPr>
            <w:tcW w:w="1116" w:type="dxa"/>
          </w:tcPr>
          <w:p>
            <w:pPr>
              <w:pStyle w:val="Compact"/>
              <w:jc w:val="left"/>
            </w:pPr>
            <w:r>
              <w:t xml:space="preserve">15 min</w:t>
            </w:r>
          </w:p>
        </w:tc>
      </w:tr>
      <w:tr>
        <w:tc>
          <w:tcPr>
            <w:tcW w:w="1914" w:type="dxa"/>
          </w:tcPr>
          <w:p>
            <w:pPr>
              <w:pStyle w:val="Compact"/>
              <w:jc w:val="left"/>
            </w:pPr>
            <w:r>
              <w:t xml:space="preserve">During the day</w:t>
            </w:r>
          </w:p>
        </w:tc>
        <w:tc>
          <w:tcPr>
            <w:tcW w:w="6328" w:type="dxa"/>
          </w:tcPr>
          <w:p>
            <w:pPr>
              <w:pStyle w:val="Compact"/>
              <w:jc w:val="left"/>
            </w:pPr>
            <w:r>
              <w:t xml:space="preserve">Note card candidates in OneNote as you learn (last 5 minutes of each study block)</w:t>
            </w:r>
          </w:p>
        </w:tc>
        <w:tc>
          <w:tcPr>
            <w:tcW w:w="1116" w:type="dxa"/>
          </w:tcPr>
          <w:p>
            <w:pPr>
              <w:pStyle w:val="Compact"/>
              <w:jc w:val="left"/>
            </w:pPr>
            <w:r>
              <w:t xml:space="preserve">1 to 2 min each</w:t>
            </w:r>
          </w:p>
        </w:tc>
      </w:tr>
      <w:tr>
        <w:tc>
          <w:tcPr>
            <w:tcW w:w="1914" w:type="dxa"/>
          </w:tcPr>
          <w:p>
            <w:pPr>
              <w:pStyle w:val="Compact"/>
              <w:jc w:val="left"/>
            </w:pPr>
            <w:r>
              <w:t xml:space="preserve">16:45 daily wrap</w:t>
            </w:r>
          </w:p>
        </w:tc>
        <w:tc>
          <w:tcPr>
            <w:tcW w:w="6328" w:type="dxa"/>
          </w:tcPr>
          <w:p>
            <w:pPr>
              <w:pStyle w:val="Compact"/>
              <w:jc w:val="left"/>
            </w:pPr>
            <w:r>
              <w:t xml:space="preserve">Turn the day's card candidates and answered questions into cards</w:t>
            </w:r>
          </w:p>
        </w:tc>
        <w:tc>
          <w:tcPr>
            <w:tcW w:w="1116" w:type="dxa"/>
          </w:tcPr>
          <w:p>
            <w:pPr>
              <w:pStyle w:val="Compact"/>
              <w:jc w:val="left"/>
            </w:pPr>
            <w:r>
              <w:t xml:space="preserve">Inside the wrap</w:t>
            </w:r>
          </w:p>
        </w:tc>
      </w:tr>
      <w:tr>
        <w:tc>
          <w:tcPr>
            <w:tcW w:w="1914" w:type="dxa"/>
          </w:tcPr>
          <w:p>
            <w:pPr>
              <w:pStyle w:val="Compact"/>
              <w:jc w:val="left"/>
            </w:pPr>
            <w:r>
              <w:t xml:space="preserve">Friday, 10 minutes</w:t>
            </w:r>
          </w:p>
        </w:tc>
        <w:tc>
          <w:tcPr>
            <w:tcW w:w="6328"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116" w:type="dxa"/>
          </w:tcPr>
          <w:p>
            <w:pPr>
              <w:pStyle w:val="Compact"/>
              <w:jc w:val="left"/>
            </w:pPr>
            <w:r>
              <w:t xml:space="preserve">10 min</w:t>
            </w:r>
          </w:p>
        </w:tc>
      </w:tr>
    </w:tbl>
    <w:p>
      <w:pPr>
        <w:pStyle w:val="BodyText"/>
      </w:pPr>
      <w:r>
        <w:t xml:space="preserve">Settings that keep it at 15 minutes: in the deck options for the team deck, set new cards per day to about 10.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4"/>
    <w:bookmarkStart w:id="25" w:name="adding-your-own-cards-in-a-separate-deck"/>
    <w:p>
      <w:pPr>
        <w:pStyle w:val="Heading2"/>
      </w:pPr>
      <w:r>
        <w:t xml:space="preserve">Adding your own cards in a separate deck</w:t>
      </w:r>
    </w:p>
    <w:p>
      <w:pPr>
        <w:numPr>
          <w:ilvl w:val="0"/>
          <w:numId w:val="1005"/>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5"/>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5"/>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5"/>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5"/>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5"/>
    <w:bookmarkStart w:id="26" w:name="caution-ankiweb-sync"/>
    <w:p>
      <w:pPr>
        <w:pStyle w:val="Heading2"/>
      </w:pPr>
      <w:r>
        <w:t xml:space="preserve">Caution: AnkiWeb sync</w:t>
      </w:r>
    </w:p>
    <w:p>
      <w:pPr>
        <w:numPr>
          <w:ilvl w:val="0"/>
          <w:numId w:val="1006"/>
        </w:numPr>
        <w:pStyle w:val="Compact"/>
      </w:pPr>
      <w:r>
        <w:t xml:space="preserve">AnkiWeb sync uploads your whole collection to AnkiWeb, a cloud service run by the makers of Anki, under a personal account. That is outside company systems.</w:t>
      </w:r>
    </w:p>
    <w:p>
      <w:pPr>
        <w:numPr>
          <w:ilvl w:val="0"/>
          <w:numId w:val="1006"/>
        </w:numPr>
        <w:pStyle w:val="Compact"/>
      </w:pPr>
      <w:r>
        <w:t xml:space="preserve">Anki syncs the whole collection, not chosen decks. If your own deck is in the same profile as anything you sync, your own deck goes to AnkiWeb too.</w:t>
      </w:r>
    </w:p>
    <w:p>
      <w:pPr>
        <w:numPr>
          <w:ilvl w:val="0"/>
          <w:numId w:val="1006"/>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6"/>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6"/>
    <w:bookmarkStart w:id="27"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7"/>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7"/>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7"/>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7"/>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7"/>
        </w:numPr>
        <w:pStyle w:val="Compact"/>
      </w:pPr>
      <w:r>
        <w:t xml:space="preserve">When a fact changes, fix it in the shared workbook first, then in Anki, and tell the other hire.</w:t>
      </w:r>
    </w:p>
    <w:bookmarkEnd w:id="27"/>
    <w:bookmarkStart w:id="28" w:name="quality-checklist-for-each-card"/>
    <w:p>
      <w:pPr>
        <w:pStyle w:val="Heading2"/>
      </w:pPr>
      <w:r>
        <w:t xml:space="preserve">Quality checklist for each card</w:t>
      </w:r>
    </w:p>
    <w:p>
      <w:pPr>
        <w:numPr>
          <w:ilvl w:val="0"/>
          <w:numId w:val="1008"/>
        </w:numPr>
        <w:pStyle w:val="Compact"/>
      </w:pPr>
      <w:r>
        <w:t xml:space="preserve">☐ One fact; the question has one right answer.</w:t>
      </w:r>
    </w:p>
    <w:p>
      <w:pPr>
        <w:numPr>
          <w:ilvl w:val="0"/>
          <w:numId w:val="1008"/>
        </w:numPr>
        <w:pStyle w:val="Compact"/>
      </w:pPr>
      <w:r>
        <w:t xml:space="preserve">☐ Country or context on the front where rules differ.</w:t>
      </w:r>
    </w:p>
    <w:p>
      <w:pPr>
        <w:numPr>
          <w:ilvl w:val="0"/>
          <w:numId w:val="1008"/>
        </w:numPr>
        <w:pStyle w:val="Compact"/>
      </w:pPr>
      <w:r>
        <w:t xml:space="preserve">☐ Back is 40 words or fewer, answer first.</w:t>
      </w:r>
    </w:p>
    <w:p>
      <w:pPr>
        <w:numPr>
          <w:ilvl w:val="0"/>
          <w:numId w:val="1008"/>
        </w:numPr>
        <w:pStyle w:val="Compact"/>
      </w:pPr>
      <w:r>
        <w:t xml:space="preserve">☐ Source field filled.</w:t>
      </w:r>
    </w:p>
    <w:p>
      <w:pPr>
        <w:numPr>
          <w:ilvl w:val="0"/>
          <w:numId w:val="1008"/>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8"/>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8"/>
        </w:numPr>
        <w:pStyle w:val="Compact"/>
      </w:pPr>
      <w:r>
        <w:t xml:space="preserve">☐ My cards are in my own deck only, never in the team deck, with no confidential data.</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2026-10-08T20:57:16Z</dcterms:created>
  <dcterms:modified xsi:type="dcterms:W3CDTF">2026-10-08T20:57:16Z</dcterms:modified>
</cp:coreProperties>
</file>

<file path=docProps/custom.xml><?xml version="1.0" encoding="utf-8"?>
<Properties xmlns="http://schemas.openxmlformats.org/officeDocument/2006/custom-properties" xmlns:vt="http://schemas.openxmlformats.org/officeDocument/2006/docPropsVTypes"/>
</file>