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gram-at-a-glance-bsa-new-hires"/>
    <w:p>
      <w:pPr>
        <w:pStyle w:val="Heading1"/>
      </w:pPr>
      <w:r>
        <w:t xml:space="preserve">Program at a Glance: BSA New Hires</w:t>
      </w:r>
    </w:p>
    <w:p>
      <w:pPr>
        <w:pStyle w:val="FirstParagraph"/>
      </w:pPr>
      <w:r>
        <w:t xml:space="preserve">Last updated: 2026-10-17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 short summary of the 90-day program for the two new BSAs. The full plan is</w:t>
      </w:r>
      <w:r>
        <w:t xml:space="preserve"> </w:t>
      </w:r>
      <w:r>
        <w:rPr>
          <w:rStyle w:val="VerbatimChar"/>
        </w:rPr>
        <w:t xml:space="preserve">docs/01-30-60-90-plan.md</w:t>
      </w:r>
      <w:r>
        <w:t xml:space="preserve">; if this page and the plan ever differ, the plan wins.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BSA Manager (owner), Senior BSA (co-trainer), Hire A (Research track), Hire B (Standard Cost track).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Manager and Senior before Day 1 (Mon 2026-10-19); hires at the Day-1 welcome (Mon 10/19 13:00). Everyone: check the current week's roadmap row every Monday.</w:t>
      </w:r>
    </w:p>
    <w:bookmarkStart w:id="20" w:name="key-dates"/>
    <w:p>
      <w:pPr>
        <w:pStyle w:val="Heading2"/>
      </w:pPr>
      <w:r>
        <w:t xml:space="preserve">Key dates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482"/>
        <w:gridCol w:w="1523"/>
        <w:gridCol w:w="900"/>
        <w:gridCol w:w="5454"/>
      </w:tblGrid>
      <w:tr>
        <w:trPr>
          <w:tblHeader w:val="true"/>
        </w:trP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Mon 2026-10-19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Orientation, access checks, first sessions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First teach-back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Fri 2026-10-30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First weekly Friday teach-back (15 min per hire)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Day-30 review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Wed 2026-11-18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60 min per hire; knowledge check and evidence due Mon 11/16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Exports items start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Mon 2026-11-23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3-day week: Thanksgiving Thu 11/26; Fri 11/27 assumed off ([COMPANY: confirm holiday calendar])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Day-60 review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Fri 2026-12-18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60 min per hire, with an owned-tool demo; evidence due Wed 12/16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Reporting items start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Mon 2026-12-21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Reduced capacity (Christmas)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e2open kickoff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Expected W12 (1/4–1/8)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[COMPANY: confirm kickoff date]</w:t>
            </w:r>
          </w:p>
        </w:tc>
      </w:tr>
      <w:tr>
        <w:tc>
          <w:tcPr>
            <w:tcW w:w="1482" w:type="dxa"/>
          </w:tcPr>
          <w:p>
            <w:pPr>
              <w:pStyle w:val="Compact"/>
              <w:jc w:val="left"/>
            </w:pPr>
            <w:r>
              <w:t xml:space="preserve">Day-90 review</w:t>
            </w:r>
          </w:p>
        </w:tc>
        <w:tc>
          <w:tcPr>
            <w:tcW w:w="1523" w:type="dxa"/>
          </w:tcPr>
          <w:p>
            <w:pPr>
              <w:pStyle w:val="Compact"/>
              <w:jc w:val="left"/>
            </w:pPr>
            <w:r>
              <w:t xml:space="preserve">Fri 2027-01-15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>
            <w:tcW w:w="5454" w:type="dxa"/>
          </w:tcPr>
          <w:p>
            <w:pPr>
              <w:pStyle w:val="Compact"/>
              <w:jc w:val="left"/>
            </w:pPr>
            <w:r>
              <w:t xml:space="preserve">60 min per hire; ownership decision; evidence due Wed 1/13</w:t>
            </w:r>
          </w:p>
        </w:tc>
      </w:tr>
    </w:tbl>
    <w:bookmarkEnd w:id="20"/>
    <w:bookmarkStart w:id="21" w:name="the-two-tracks"/>
    <w:p>
      <w:pPr>
        <w:pStyle w:val="Heading2"/>
      </w:pPr>
      <w:r>
        <w:t xml:space="preserve">The two tracks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Hire A, Research (M5R):</w:t>
      </w:r>
      <w:r>
        <w:t xml:space="preserve"> </w:t>
      </w:r>
      <w:r>
        <w:t xml:space="preserve">tariff and regulatory change research, ad-hoc investigations, modeling new tariff actions before they take effect. Checker: Senior or Manager.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Hire B, Standard Cost (M5C):</w:t>
      </w:r>
      <w:r>
        <w:t xml:space="preserve"> </w:t>
      </w:r>
      <w:r>
        <w:t xml:space="preserve">duty and landed-cost inputs to Oracle standard costs, the cost update cycle with Finance, tariff impact on cost and margin, PPV. Checker: Manager, plus Finance sign-off.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Both:</w:t>
      </w:r>
      <w:r>
        <w:t xml:space="preserve"> </w:t>
      </w:r>
      <w:r>
        <w:t xml:space="preserve">exports backlog items from W6 (M7), reporting backlog items from W10 (M8), drawback exposure only (M9; the Senior keeps it).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Shared modules for both:</w:t>
      </w:r>
      <w:r>
        <w:t xml:space="preserve"> </w:t>
      </w:r>
      <w:r>
        <w:t xml:space="preserve">M0 orientation, M1 customs, M2 trade systems, M3 data and analytics (with analytics depth in W7–W9: KPI design, star-schema model, DAX measures, variance statistics), M4 BSA fundamentals (W2–W3) and craft, M6 custom tools, M10 e2open, and three newer modules: M11 Copilot Chat for BSA work (W1 onward), M12 data platform (team database, SSMS, DBeaver on Oracle EBS read-only, Power BI, Power Automate, Power Apps, the remote server; W1–W6, then ongoing) and M13 SDLC and change delivery (W5–W6, applied in W8 and on e2open). Their self-study comes out of the existing self-study time.</w:t>
      </w:r>
    </w:p>
    <w:bookmarkEnd w:id="21"/>
    <w:bookmarkStart w:id="22" w:name="trainers-and-weekly-capacity"/>
    <w:p>
      <w:pPr>
        <w:pStyle w:val="Heading2"/>
      </w:pPr>
      <w:r>
        <w:t xml:space="preserve">Trainers and weekly capacity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BSA Manager: 8 h a week for both hires</w:t>
      </w:r>
      <w:r>
        <w:t xml:space="preserve"> </w:t>
      </w:r>
      <w:r>
        <w:t xml:space="preserve">(about 5 h in W6, 4 h in W10 and W11). The only trainer for AS400 and the custom tools; also orientation, Oracle touchpoints, BSA fundamentals and craft, Copilot Chat rules, the data platform walkthrough, SDLC coaching on the owned tool, track coaching, 1:1s, reviews.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Senior BSA: 4–5 h a week, planned at no more than 4.5 h</w:t>
      </w:r>
      <w:r>
        <w:t xml:space="preserve"> </w:t>
      </w:r>
      <w:r>
        <w:t xml:space="preserve">(about 3 h in W6, 2.5 h in W10 and W11). Customs and trade compliance, data and analytics, exports, reporting, drawback; not AS400 or the custom tools.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Each hire:</w:t>
      </w:r>
      <w:r>
        <w:t xml:space="preserve"> </w:t>
      </w:r>
      <w:r>
        <w:t xml:space="preserve">about 40 h a week, about 5–8 h guided (about 9–10 h in W1–W2, about 5 h in W10–W13); the rest is structured self-study, shadowing, real low-risk work and documentation.</w:t>
      </w:r>
    </w:p>
    <w:bookmarkEnd w:id="22"/>
    <w:bookmarkStart w:id="23" w:name="standard-week-w3-onward"/>
    <w:p>
      <w:pPr>
        <w:pStyle w:val="Heading2"/>
      </w:pPr>
      <w:r>
        <w:t xml:space="preserve">Standard week (W3 onward)</w:t>
      </w:r>
    </w:p>
    <w:p>
      <w:pPr>
        <w:pStyle w:val="FirstParagraph"/>
      </w:pPr>
      <w:r>
        <w:t xml:space="preserve">Every recurring session from W3 sits in one of these slots ([COMPANY: confirm slots against core hours]). W1–W2 run day by day from</w:t>
      </w:r>
      <w:r>
        <w:t xml:space="preserve"> </w:t>
      </w:r>
      <w:r>
        <w:rPr>
          <w:rStyle w:val="VerbatimChar"/>
        </w:rPr>
        <w:t xml:space="preserve">docs/02-weeks-1-2-schedule.md</w:t>
      </w:r>
      <w:r>
        <w:t xml:space="preserve">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653"/>
        <w:gridCol w:w="4472"/>
        <w:gridCol w:w="1212"/>
        <w:gridCol w:w="2021"/>
      </w:tblGrid>
      <w:tr>
        <w:trPr>
          <w:tblHeader w:val="true"/>
        </w:trP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Day and time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Mon 08:15–08:30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Monday confirm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Every week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Tue–Fri 08:15–08:25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Stand-up: top-3 and blockers; blockers go to the Manager in Teams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Both hires, no trainer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Every week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Tue 09:00–10:30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Senior session 1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Senior,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Every week (the only Senior session in W6, W10, W11)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Tue 13:00–14:00, 14:00–15:00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Track coaching: Hire A, then Hire B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one hire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W3, W4, W7, W8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Wed 10:00–11:00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Manager shared session (M2, M4, M10, drill debrief; in W4 also the 15-minute M11 Copilot use-log review; in W12 the kickoff debrief, on the day after the kickoff)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W3, W4, W7, W8, W9, W12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Wed 13:00–14:00, 14:00–15:00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Tool-ownership coaching: Hire A, then Hire B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one hire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W4, W5–W9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Wed 15:00–15:30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Senior office hours (questions in by 12:00; in W3 the slot is small-analysis scoping, 15 minutes for Hire B, then 15 for Hire A)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Senior,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Not W5, W6, W9, W10, W11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Thu 10:00–11:00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Second Manager shared session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W3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Thu 13:00–14:30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Senior session 2 (W4: 13:00–14:00 small-analysis SQL review)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Senior,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Not W6, W10, W11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Fri 10:00–10:30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Teach-back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Not W6, W9, W11, W13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Fri 11:30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Friday self-report due (</w:t>
            </w:r>
            <w:r>
              <w:rPr>
                <w:rStyle w:val="VerbatimChar"/>
              </w:rPr>
              <w:t xml:space="preserve">docs/03-check-ins-and-scorecards.md</w:t>
            </w:r>
            <w:r>
              <w:t xml:space="preserve"> </w:t>
            </w:r>
            <w:r>
              <w:t xml:space="preserve">Section 5)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Both hires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Every week (holiday Fridays: see below)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Fri 13:00–13:45, 13:45–14:30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1:1: Hire A, then Hire B (30 minutes each in W5, W6, W9–W11, W13)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one hire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Every week (holiday Fridays: see below)</w:t>
            </w:r>
          </w:p>
        </w:tc>
      </w:tr>
      <w:tr>
        <w:tc>
          <w:tcPr>
            <w:tcW w:w="1653" w:type="dxa"/>
          </w:tcPr>
          <w:p>
            <w:pPr>
              <w:pStyle w:val="Compact"/>
              <w:jc w:val="left"/>
            </w:pPr>
            <w:r>
              <w:t xml:space="preserve">Review days 08:30–09:30, 09:45–10:45</w:t>
            </w:r>
          </w:p>
        </w:tc>
        <w:tc>
          <w:tcPr>
            <w:tcW w:w="4472" w:type="dxa"/>
          </w:tcPr>
          <w:p>
            <w:pPr>
              <w:pStyle w:val="Compact"/>
              <w:jc w:val="left"/>
            </w:pPr>
            <w:r>
              <w:t xml:space="preserve">Milestone review: Hire A, then Hire B (Wed 11/18, Fri 12/18, Fri 1/15)</w:t>
            </w:r>
          </w:p>
        </w:tc>
        <w:tc>
          <w:tcPr>
            <w:tcW w:w="1212" w:type="dxa"/>
          </w:tcPr>
          <w:p>
            <w:pPr>
              <w:pStyle w:val="Compact"/>
              <w:jc w:val="left"/>
            </w:pPr>
            <w:r>
              <w:t xml:space="preserve">Manager, one hire</w:t>
            </w:r>
          </w:p>
        </w:tc>
        <w:tc>
          <w:tcPr>
            <w:tcW w:w="2021" w:type="dxa"/>
          </w:tcPr>
          <w:p>
            <w:pPr>
              <w:pStyle w:val="Compact"/>
              <w:jc w:val="left"/>
            </w:pPr>
            <w:r>
              <w:t xml:space="preserve">W5, W9, W13</w:t>
            </w:r>
          </w:p>
        </w:tc>
      </w:tr>
    </w:tbl>
    <w:p>
      <w:pPr>
        <w:pStyle w:val="BodyText"/>
      </w:pPr>
      <w:r>
        <w:rPr>
          <w:bCs/>
          <w:b/>
        </w:rPr>
        <w:t xml:space="preserve">Holiday Fridays:</w:t>
      </w:r>
      <w:r>
        <w:t xml:space="preserve"> </w:t>
      </w:r>
      <w:r>
        <w:t xml:space="preserve">when Friday is not a working day (W6 Fri 11/27, assumed off; W10 Fri 12/25; W11 Fri 1/1), the Friday self-report, the 1:1s and the teach-back (W10 only; there is none in W6 or W11) move to the last working day of that week, at the Friday times ([COMPANY: confirm holiday calendar]). In W6 that is Wed 11/25, and the 1:1s run 15:00–15:30 and 15:30–16:00, after tool coaching. The 1:1s are never skipped in these weeks.</w:t>
      </w:r>
    </w:p>
    <w:bookmarkEnd w:id="23"/>
    <w:bookmarkStart w:id="24" w:name="roadmap-w1w13"/>
    <w:p>
      <w:pPr>
        <w:pStyle w:val="Heading2"/>
      </w:pPr>
      <w:r>
        <w:t xml:space="preserve">Roadmap W1–W13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920"/>
        <w:gridCol w:w="3630"/>
        <w:gridCol w:w="2070"/>
        <w:gridCol w:w="1840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Both hires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Hire A (Research)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Hire B (Std Cost)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10/19 – 10/23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M0 orientation; M1 US customs; M2 systems landscape; M3 Exercises 1–2; M11 Copilot setup and rules; M12 safe-use rules (before any SSMS or DBeaver use) and the data landscape tour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Business orientation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Business overview refresher; Oracle cost data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10/26 – 10/30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M1 Canada, Mexico, USMCA, classification; M2 AS400 data flow; M12 data platform walkthrough; M4 BSA fundamentals; M6 inventory; Copilot use log starts; first teach-back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Research shadow; USMCA test-out Wed 10/28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Cost or variance shadow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11/2 – 11/6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M1 valuation, USMCA origin; reading a tariff action; M2 Oracle and broker data; M4 intake with stakeholder list and elicitation plan by Fri 11/6; SSMS lab starts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M5R kickoff; stakeholder intros; scope the analysis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M5C kickoff; scope the analysis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11/9 – 11/13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M1 IMMEX, Anexo 24 and 30; M4 process mapping; classification worksheet due Wed 11/11; Copilot use-log review Wed 11/11; SSMS lab reviewed Thu 11/12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Brief outline; small analysis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Landed cost for 5 items; analysis due Fri 11/13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11/16 – 11/20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Knowledge check Mon 11/16; day-30 review Wed 11/18; M7 exports overview; M13 SDLC primer Parts 1–4; Power Platform lab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Weekly tariff-landscape upkeep starts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Cost cycle walkthrough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11/23 – 11/25 (3 days)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No new core content; exports item 1; supervised owned-tool run; test copy set up; SDLC applied to the owned tool; server lab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Tool doc started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Tool doc started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11/30 – 12/4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Joint tariff drill part 1; M3 Power BI and warehouse depth; Exercise 9 (KPI design); M4 data mapping and UAT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Brief for a real recent action (A60-1)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PPV analysis and SOP draft (B60-3)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12/7 – 12/11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Drill part 2 (checker demo); test-copy tool change (change request with environments, test evidence and rollback); Exercise 10 (star schema); exports item 2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Model handoff; ad-hoc investigation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$ impact model; dry-run input file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12/14 – 12/18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Day-60 review Fri 12/18; M10 prep; M8 report inventory; Exercise 11 (variance statistics) by Thu 12/17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Start Research as-is map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Start Standard Cost as-is map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12/21 – 12/25 (about 50%)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Christmas week; M8 reporting handoff; as-is drafting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Monitor for an A90-1 action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Year-end cycle prep if scheduled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12/28 – 1/1 (about 50%)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New Year week; M9 drawback overview; data-map drafting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Research data-map draft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Standard Cost data-map draft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1/4 – 1/8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e2open kickoff (expected); M9 drawback shadow; second tool doc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Research cycle as maker (or fallback)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Cost cycle as maker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W13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1/11 – 1/15</w:t>
            </w:r>
          </w:p>
        </w:tc>
        <w:tc>
          <w:tcPr>
            <w:tcW w:w="3630" w:type="dxa"/>
          </w:tcPr>
          <w:p>
            <w:pPr>
              <w:pStyle w:val="Compact"/>
              <w:jc w:val="left"/>
            </w:pPr>
            <w:r>
              <w:t xml:space="preserve">Day-90 review Fri 1/15; final as-is doc and data map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Publish Research SOP v1.0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Reconciliation tie-out; publish SOP v1.0</w:t>
            </w:r>
          </w:p>
        </w:tc>
      </w:tr>
    </w:tbl>
    <w:bookmarkEnd w:id="24"/>
    <w:bookmarkStart w:id="28" w:name="the-bar-at-day-30-60-and-90"/>
    <w:p>
      <w:pPr>
        <w:pStyle w:val="Heading2"/>
      </w:pPr>
      <w:r>
        <w:t xml:space="preserve">The bar at day 30, 60 and 90</w:t>
      </w:r>
    </w:p>
    <w:p>
      <w:pPr>
        <w:pStyle w:val="FirstParagraph"/>
      </w:pPr>
      <w:r>
        <w:t xml:space="preserve">Must criteria decide the outcome; Should criteria are expected (a Should rated 1 or 2 gets a catch-up action in the next 1:1) but do not change it; Stretch criteria never block "on track". On track = every Must rated 3 or 4. All counts are minimums. Full criteria and evidence: plan Section 4.</w:t>
      </w:r>
    </w:p>
    <w:bookmarkStart w:id="25" w:name="day-30-wed-2026-11-18"/>
    <w:p>
      <w:pPr>
        <w:pStyle w:val="Heading3"/>
      </w:pPr>
      <w:r>
        <w:t xml:space="preserve">Day 30 (Wed 2026-11-18)</w:t>
      </w:r>
    </w:p>
    <w:p>
      <w:pPr>
        <w:pStyle w:val="FirstParagraph"/>
      </w:pPr>
      <w:r>
        <w:rPr>
          <w:bCs/>
          <w:b/>
        </w:rPr>
        <w:t xml:space="preserve">Hire A (Research)</w:t>
      </w:r>
    </w:p>
    <w:p>
      <w:pPr>
        <w:numPr>
          <w:ilvl w:val="0"/>
          <w:numId w:val="1004"/>
        </w:numPr>
        <w:pStyle w:val="Compact"/>
      </w:pPr>
      <w:r>
        <w:t xml:space="preserve">A30-1 to A30-3: 80% or more on the knowledge check; 8 of 10 items right at 6 digits; USMCA at proficiency 2.</w:t>
      </w:r>
    </w:p>
    <w:p>
      <w:pPr>
        <w:numPr>
          <w:ilvl w:val="0"/>
          <w:numId w:val="1004"/>
        </w:numPr>
        <w:pStyle w:val="Compact"/>
      </w:pPr>
      <w:r>
        <w:t xml:space="preserve">A30-4 to A30-6: data flow drawn from memory; Exercises 1–6 and one real analysis; sources found in 60 minutes or less.</w:t>
      </w:r>
    </w:p>
    <w:p>
      <w:pPr>
        <w:numPr>
          <w:ilvl w:val="0"/>
          <w:numId w:val="1004"/>
        </w:numPr>
        <w:pStyle w:val="Compact"/>
      </w:pPr>
      <w:r>
        <w:t xml:space="preserve">A30-7 to A30-9: 20 cards, 1 SOP draft, 3 teach-backs; Jira and self-reports current; stakeholder map.</w:t>
      </w:r>
    </w:p>
    <w:p>
      <w:pPr>
        <w:numPr>
          <w:ilvl w:val="0"/>
          <w:numId w:val="1004"/>
        </w:numPr>
        <w:pStyle w:val="Compact"/>
      </w:pPr>
      <w:r>
        <w:t xml:space="preserve">A30-11 (Must): data platform safe-use rules followed; SSMS lab finished and reviewed. A30-12, A30-13 (Should): 5 reviewed Copilot uses; stakeholder list and elicitation plan on the small analysis intake.</w:t>
      </w:r>
    </w:p>
    <w:p>
      <w:pPr>
        <w:pStyle w:val="FirstParagraph"/>
      </w:pPr>
      <w:r>
        <w:rPr>
          <w:bCs/>
          <w:b/>
        </w:rPr>
        <w:t xml:space="preserve">Hire B (Standard Cost)</w:t>
      </w:r>
    </w:p>
    <w:p>
      <w:pPr>
        <w:numPr>
          <w:ilvl w:val="0"/>
          <w:numId w:val="1005"/>
        </w:numPr>
        <w:pStyle w:val="Compact"/>
      </w:pPr>
      <w:r>
        <w:t xml:space="preserve">B30-1 to B30-3: same knowledge check and classification bar as Hire A; USMCA and IMMEX at proficiency 1.</w:t>
      </w:r>
    </w:p>
    <w:p>
      <w:pPr>
        <w:numPr>
          <w:ilvl w:val="0"/>
          <w:numId w:val="1005"/>
        </w:numPr>
        <w:pStyle w:val="Compact"/>
      </w:pPr>
      <w:r>
        <w:t xml:space="preserve">B30-4 to B30-6: where duty, freight and fees enter Oracle cost data; analysis by Fri 11/13; landed cost for 5 items.</w:t>
      </w:r>
    </w:p>
    <w:p>
      <w:pPr>
        <w:numPr>
          <w:ilvl w:val="0"/>
          <w:numId w:val="1005"/>
        </w:numPr>
        <w:pStyle w:val="Compact"/>
      </w:pPr>
      <w:r>
        <w:t xml:space="preserve">B30-7 to B30-9: same documenting and Jira bar as Hire A; queries item standard cost without help.</w:t>
      </w:r>
    </w:p>
    <w:p>
      <w:pPr>
        <w:numPr>
          <w:ilvl w:val="0"/>
          <w:numId w:val="1005"/>
        </w:numPr>
        <w:pStyle w:val="Compact"/>
      </w:pPr>
      <w:r>
        <w:t xml:space="preserve">B30-11 to B30-13: same data platform Must and the same two Should criteria as Hire A.</w:t>
      </w:r>
    </w:p>
    <w:bookmarkEnd w:id="25"/>
    <w:bookmarkStart w:id="26" w:name="day-60-fri-2026-12-18"/>
    <w:p>
      <w:pPr>
        <w:pStyle w:val="Heading3"/>
      </w:pPr>
      <w:r>
        <w:t xml:space="preserve">Day 60 (Fri 2026-12-18)</w:t>
      </w:r>
    </w:p>
    <w:p>
      <w:pPr>
        <w:pStyle w:val="FirstParagraph"/>
      </w:pPr>
      <w:r>
        <w:rPr>
          <w:bCs/>
          <w:b/>
        </w:rPr>
        <w:t xml:space="preserve">Hire A (Research)</w:t>
      </w:r>
    </w:p>
    <w:p>
      <w:pPr>
        <w:numPr>
          <w:ilvl w:val="0"/>
          <w:numId w:val="1006"/>
        </w:numPr>
        <w:pStyle w:val="Compact"/>
      </w:pPr>
      <w:r>
        <w:t xml:space="preserve">A60-1, A60-2: brief for a real recent action, primary source for every claim; WHAT handed to Hire B, no $.</w:t>
      </w:r>
    </w:p>
    <w:p>
      <w:pPr>
        <w:numPr>
          <w:ilvl w:val="0"/>
          <w:numId w:val="1006"/>
        </w:numPr>
        <w:pStyle w:val="Compact"/>
      </w:pPr>
      <w:r>
        <w:t xml:space="preserve">A60-3, A60-4: one ad-hoc investigation end to end; owns [COMPANY: tool closest to Research] (one end-to-end run, either supervised in production or on a test copy; a change request naming environments, test evidence and rollback; the tool's platform path in its doc).</w:t>
      </w:r>
    </w:p>
    <w:p>
      <w:pPr>
        <w:numPr>
          <w:ilvl w:val="0"/>
          <w:numId w:val="1006"/>
        </w:numPr>
        <w:pStyle w:val="Compact"/>
      </w:pPr>
      <w:r>
        <w:t xml:space="preserve">A60-5 to A60-7: 1 exports item; core skills at 2, "find and read primary sources" at 3; 50 cards, 6 teach-backs, 2 SOPs, 1 tool doc.</w:t>
      </w:r>
    </w:p>
    <w:p>
      <w:pPr>
        <w:numPr>
          <w:ilvl w:val="0"/>
          <w:numId w:val="1006"/>
        </w:numPr>
        <w:pStyle w:val="Compact"/>
      </w:pPr>
      <w:r>
        <w:t xml:space="preserve">A60-9 (Should): analytics Exercises 9 and 10 reviewed, Exercise 11 submitted.</w:t>
      </w:r>
    </w:p>
    <w:p>
      <w:pPr>
        <w:pStyle w:val="FirstParagraph"/>
      </w:pPr>
      <w:r>
        <w:rPr>
          <w:bCs/>
          <w:b/>
        </w:rPr>
        <w:t xml:space="preserve">Hire B (Standard Cost)</w:t>
      </w:r>
    </w:p>
    <w:p>
      <w:pPr>
        <w:numPr>
          <w:ilvl w:val="0"/>
          <w:numId w:val="1007"/>
        </w:numPr>
        <w:pStyle w:val="Compact"/>
      </w:pPr>
      <w:r>
        <w:t xml:space="preserve">B60-1, B60-2: $ impact modeled from a Tariff-Impact Brief; cost cycle input file (real cycle or dry run).</w:t>
      </w:r>
    </w:p>
    <w:p>
      <w:pPr>
        <w:numPr>
          <w:ilvl w:val="0"/>
          <w:numId w:val="1007"/>
        </w:numPr>
        <w:pStyle w:val="Compact"/>
      </w:pPr>
      <w:r>
        <w:t xml:space="preserve">B60-3, B60-4: PPV for one closed period, top 10 variances by driver; owns [COMPANY: name of std-cost tool] (one end-to-end run, either supervised in production or on a test copy; a change request naming environments, test evidence and rollback; the tool's platform path in its doc).</w:t>
      </w:r>
    </w:p>
    <w:p>
      <w:pPr>
        <w:numPr>
          <w:ilvl w:val="0"/>
          <w:numId w:val="1007"/>
        </w:numPr>
        <w:pStyle w:val="Compact"/>
      </w:pPr>
      <w:r>
        <w:t xml:space="preserve">B60-5 to B60-7: same exports and documenting bar as Hire A; core skills at 2, "build item landed cost" at 3.</w:t>
      </w:r>
    </w:p>
    <w:p>
      <w:pPr>
        <w:numPr>
          <w:ilvl w:val="0"/>
          <w:numId w:val="1007"/>
        </w:numPr>
        <w:pStyle w:val="Compact"/>
      </w:pPr>
      <w:r>
        <w:t xml:space="preserve">B60-9 (Should): same analytics depth bar as Hire A.</w:t>
      </w:r>
    </w:p>
    <w:bookmarkEnd w:id="26"/>
    <w:bookmarkStart w:id="27" w:name="day-90-fri-2027-01-15"/>
    <w:p>
      <w:pPr>
        <w:pStyle w:val="Heading3"/>
      </w:pPr>
      <w:r>
        <w:t xml:space="preserve">Day 90 (Fri 2027-01-15)</w:t>
      </w:r>
    </w:p>
    <w:p>
      <w:pPr>
        <w:pStyle w:val="FirstParagraph"/>
      </w:pPr>
      <w:r>
        <w:rPr>
          <w:bCs/>
          <w:b/>
        </w:rPr>
        <w:t xml:space="preserve">Hire A (Research)</w:t>
      </w:r>
    </w:p>
    <w:p>
      <w:pPr>
        <w:numPr>
          <w:ilvl w:val="0"/>
          <w:numId w:val="1008"/>
        </w:numPr>
        <w:pStyle w:val="Compact"/>
      </w:pPr>
      <w:r>
        <w:t xml:space="preserve">A90-1: Research cycle end to end as maker on a live action (5 or more business days' lead) or the plan's Section 7 fallback.</w:t>
      </w:r>
    </w:p>
    <w:p>
      <w:pPr>
        <w:numPr>
          <w:ilvl w:val="0"/>
          <w:numId w:val="1008"/>
        </w:numPr>
        <w:pStyle w:val="Compact"/>
      </w:pPr>
      <w:r>
        <w:t xml:space="preserve">A90-2 to A90-4: e2open as-is doc and data map for Research, reviewed; Research SOP v1.0 published.</w:t>
      </w:r>
    </w:p>
    <w:p>
      <w:pPr>
        <w:numPr>
          <w:ilvl w:val="0"/>
          <w:numId w:val="1008"/>
        </w:numPr>
        <w:pStyle w:val="Compact"/>
      </w:pPr>
      <w:r>
        <w:t xml:space="preserve">A90-5 to A90-7: 2 exports items in total; core skills at 3; 80 cards, 9 teach-backs, 3 SOPs, 2 tool docs.</w:t>
      </w:r>
    </w:p>
    <w:p>
      <w:pPr>
        <w:numPr>
          <w:ilvl w:val="0"/>
          <w:numId w:val="1008"/>
        </w:numPr>
        <w:pStyle w:val="Compact"/>
      </w:pPr>
      <w:r>
        <w:t xml:space="preserve">A90-10 (Should): 3 of your own entries in the team Copilot prompt library, each reviewed by the Manager.</w:t>
      </w:r>
    </w:p>
    <w:p>
      <w:pPr>
        <w:pStyle w:val="FirstParagraph"/>
      </w:pPr>
      <w:r>
        <w:rPr>
          <w:bCs/>
          <w:b/>
        </w:rPr>
        <w:t xml:space="preserve">Hire B (Standard Cost)</w:t>
      </w:r>
    </w:p>
    <w:p>
      <w:pPr>
        <w:numPr>
          <w:ilvl w:val="0"/>
          <w:numId w:val="1009"/>
        </w:numPr>
        <w:pStyle w:val="Compact"/>
      </w:pPr>
      <w:r>
        <w:t xml:space="preserve">B90-1: one cost update cycle as maker (live, parallel run or interim update); Finance and checker sign-off before any Oracle load; reconciliation ties out.</w:t>
      </w:r>
    </w:p>
    <w:p>
      <w:pPr>
        <w:numPr>
          <w:ilvl w:val="0"/>
          <w:numId w:val="1009"/>
        </w:numPr>
        <w:pStyle w:val="Compact"/>
      </w:pPr>
      <w:r>
        <w:t xml:space="preserve">B90-2 to B90-4: e2open as-is doc and data map for Standard Cost, reviewed; SOP v1.0 published.</w:t>
      </w:r>
    </w:p>
    <w:p>
      <w:pPr>
        <w:numPr>
          <w:ilvl w:val="0"/>
          <w:numId w:val="1009"/>
        </w:numPr>
        <w:pStyle w:val="Compact"/>
      </w:pPr>
      <w:r>
        <w:t xml:space="preserve">B90-5 to B90-7: same exports and documenting bar as Hire A; core skills at 3.</w:t>
      </w:r>
    </w:p>
    <w:p>
      <w:pPr>
        <w:numPr>
          <w:ilvl w:val="0"/>
          <w:numId w:val="1009"/>
        </w:numPr>
        <w:pStyle w:val="Compact"/>
      </w:pPr>
      <w:r>
        <w:t xml:space="preserve">B90-10 (Should): same Copilot prompt library bar as Hire A.</w:t>
      </w:r>
    </w:p>
    <w:bookmarkEnd w:id="27"/>
    <w:bookmarkEnd w:id="28"/>
    <w:bookmarkStart w:id="29" w:name="the-rules"/>
    <w:p>
      <w:pPr>
        <w:pStyle w:val="Heading2"/>
      </w:pPr>
      <w:r>
        <w:t xml:space="preserve">The rules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Boundary:</w:t>
      </w:r>
      <w:r>
        <w:t xml:space="preserve"> </w:t>
      </w:r>
      <w:r>
        <w:t xml:space="preserve">Research owns the WHAT (action, legal scope, items in scope, HTS codes, countries, rates, effective dates, stacking, exclusions, sources) and hands it off in a Tariff-Impact Brief. Standard Cost owns the $ (landed cost and margin, the Oracle cost update, variances) and never decides scope. One shared Tariff-Impact Model.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Maker-checker:</w:t>
      </w:r>
      <w:r>
        <w:t xml:space="preserve"> </w:t>
      </w:r>
      <w:r>
        <w:t xml:space="preserve">every standard cost update and every tariff model released to the business gets a documented Senior or Manager review before release, also after day 90. Hire B never loads to Oracle EBS production without Finance and checker sign-off.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Live tariff urgency</w:t>
      </w:r>
      <w:r>
        <w:t xml:space="preserve"> </w:t>
      </w:r>
      <w:r>
        <w:t xml:space="preserve">(business days to effective date): under 5 or business-critical, a trainer is maker and the hires shadow and draft a parallel practice brief or model; 5–15, the hire is maker with a 15-minute daily checkpoint, and the checker reviews each draft on the same business day it is submitted (from the checker's review or buffer time), with nothing released before that review; over 15, the hire is maker on the normal cycle. In W1–W2 the trainer is always maker.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Brokers and counsel:</w:t>
      </w:r>
      <w:r>
        <w:t xml:space="preserve"> </w:t>
      </w:r>
      <w:r>
        <w:t xml:space="preserve">before the day-60 review, no direct contact with a customs broker, agente aduanal or trade counsel; questions go through the Senior (or the Manager). After day 60, with the Senior's agreement, email the broker with the Senior copied.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platform:</w:t>
      </w:r>
      <w:r>
        <w:t xml:space="preserve"> </w:t>
      </w:r>
      <w:r>
        <w:t xml:space="preserve">your personal login for all interactive work, never the service account; Oracle EBS read-only; loads only into [COMPANY: sandbox or staging schema in the team database]; no schema changes; no production write before the day-60 review (</w:t>
      </w:r>
      <w:r>
        <w:rPr>
          <w:rStyle w:val="VerbatimChar"/>
        </w:rPr>
        <w:t xml:space="preserve">docs/primers/data-platform-primer.md</w:t>
      </w:r>
      <w:r>
        <w:t xml:space="preserve"> </w:t>
      </w:r>
      <w:r>
        <w:t xml:space="preserve">Part 1).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Copilot Chat:</w:t>
      </w:r>
      <w:r>
        <w:t xml:space="preserve"> </w:t>
      </w:r>
      <w:r>
        <w:t xml:space="preserve">its output is a draft; maker-checker and primary sources still apply, and Copilot is never cited as a source (</w:t>
      </w:r>
      <w:r>
        <w:rPr>
          <w:rStyle w:val="VerbatimChar"/>
        </w:rPr>
        <w:t xml:space="preserve">docs/primers/copilot-chat-guide.md</w:t>
      </w:r>
      <w:r>
        <w:t xml:space="preserve"> </w:t>
      </w:r>
      <w:r>
        <w:t xml:space="preserve">Part 2).</w:t>
      </w:r>
    </w:p>
    <w:bookmarkEnd w:id="29"/>
    <w:bookmarkStart w:id="30" w:name="where-things-live"/>
    <w:p>
      <w:pPr>
        <w:pStyle w:val="Heading2"/>
      </w:pPr>
      <w:r>
        <w:t xml:space="preserve">Where things live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OneNote:</w:t>
      </w:r>
      <w:r>
        <w:t xml:space="preserve"> </w:t>
      </w:r>
      <w:r>
        <w:t xml:space="preserve">the program pages and the hires' diagrams, analyses, SOPs and Copilot use logs (only Reviewed and Published docs in the shared section). The team Copilot prompt library is a page in [COMPANY: team OneNote section for the prompt library], where each entry carries its own status, such as Proposed or Reviewed (</w:t>
      </w:r>
      <w:r>
        <w:rPr>
          <w:rStyle w:val="VerbatimChar"/>
        </w:rPr>
        <w:t xml:space="preserve">docs/templates/knowledge/copilot-prompt-library.md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Onboarding folder</w:t>
      </w:r>
      <w:r>
        <w:t xml:space="preserve"> </w:t>
      </w:r>
      <w:r>
        <w:t xml:space="preserve">([COMPANY: team onboarding folder on SharePoint/Teams]): the trackers workbook BSA-Onboarding-Trackers.xlsx (Skills, Knowledge Topics, Glossary, Tool Inventory tabs), the team Anki deck BSA-Onboarding.apkg, Tariff-Impact-Model-Template.xlsx, Practice-Data.xlsx, Word versions of these pages.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Anki:</w:t>
      </w:r>
      <w:r>
        <w:t xml:space="preserve"> </w:t>
      </w:r>
      <w:r>
        <w:t xml:space="preserve">only the cards you write count toward 20, 50 and 80; the team deck does not.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Trainer-only</w:t>
      </w:r>
      <w:r>
        <w:t xml:space="preserve"> </w:t>
      </w:r>
      <w:r>
        <w:t xml:space="preserve">([COMPANY: trainer-only location]): the analytics answer key and data generator. The hires do not get the key before the day-30 review; after it, the Manager decides whether to share the key, without its Exercise 9–11 sections. The generator and those sections stay trainer-only until the day-60 review.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2026-10-17T03:02:28Z</dcterms:created>
  <dcterms:modified xsi:type="dcterms:W3CDTF">2026-10-17T03:02:28Z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