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dxa" w:w="9360"/>
        <w:tblLook w:firstRow="1" w:lastRow="0" w:firstColumn="0" w:lastColumn="0" w:noHBand="0" w:noVBand="0" w:val="0020"/>
        <w:jc w:val="start"/>
        <w:tblLayout w:type="fixed"/>
      </w:tblPr>
      <w:tblGrid>
        <w:gridCol w:w="1495"/>
        <w:gridCol w:w="4208"/>
        <w:gridCol w:w="3656"/>
      </w:tblGrid>
      <w:tr>
        <w:trPr>
          <w:tblHeader w:val="true"/>
        </w:trPr>
        <w:tc>
          <w:tcPr>
            <w:tcW w:w="1495" w:type="dxa"/>
          </w:tcPr>
          <w:p>
            <w:pPr>
              <w:pStyle w:val="Compact"/>
              <w:jc w:val="left"/>
            </w:pPr>
            <w:r>
              <w:t xml:space="preserve">Field</w:t>
            </w:r>
          </w:p>
        </w:tc>
        <w:tc>
          <w:tcPr>
            <w:tcW w:w="4208" w:type="dxa"/>
          </w:tcPr>
          <w:p>
            <w:pPr>
              <w:pStyle w:val="Compact"/>
              <w:jc w:val="left"/>
            </w:pPr>
            <w:r>
              <w:t xml:space="preserve">What to enter</w:t>
            </w:r>
          </w:p>
        </w:tc>
        <w:tc>
          <w:tcPr>
            <w:tcW w:w="3656" w:type="dxa"/>
          </w:tcPr>
          <w:p>
            <w:pPr>
              <w:pStyle w:val="Compact"/>
              <w:jc w:val="left"/>
            </w:pPr>
            <w:r>
              <w:t xml:space="preserve">Example of a good entry</w:t>
            </w:r>
          </w:p>
        </w:tc>
      </w:tr>
      <w:tr>
        <w:tc>
          <w:tcPr>
            <w:tcW w:w="1495" w:type="dxa"/>
          </w:tcPr>
          <w:p>
            <w:pPr>
              <w:pStyle w:val="Compact"/>
              <w:jc w:val="left"/>
            </w:pPr>
            <w:r>
              <w:t xml:space="preserve">Jira key</w:t>
            </w:r>
          </w:p>
        </w:tc>
        <w:tc>
          <w:tcPr>
            <w:tcW w:w="4208" w:type="dxa"/>
          </w:tcPr>
          <w:p>
            <w:pPr>
              <w:pStyle w:val="Compact"/>
              <w:jc w:val="left"/>
            </w:pPr>
            <w:r>
              <w:t xml:space="preserve">Created when you log it; "none" for a quick answer</w:t>
            </w:r>
          </w:p>
        </w:tc>
        <w:tc>
          <w:tcPr>
            <w:tcW w:w="3656" w:type="dxa"/>
          </w:tcPr>
          <w:p>
            <w:pPr>
              <w:pStyle w:val="Compact"/>
              <w:jc w:val="left"/>
            </w:pPr>
            <w:r>
              <w:t xml:space="preserve">[COMPANY: project key]-142</w:t>
            </w:r>
          </w:p>
        </w:tc>
      </w:tr>
      <w:tr>
        <w:tc>
          <w:tcPr>
            <w:tcW w:w="1495" w:type="dxa"/>
          </w:tcPr>
          <w:p>
            <w:pPr>
              <w:pStyle w:val="Compact"/>
              <w:jc w:val="left"/>
            </w:pPr>
            <w:r>
              <w:t xml:space="preserve">Title</w:t>
            </w:r>
          </w:p>
        </w:tc>
        <w:tc>
          <w:tcPr>
            <w:tcW w:w="4208" w:type="dxa"/>
          </w:tcPr>
          <w:p>
            <w:pPr>
              <w:pStyle w:val="Compact"/>
              <w:jc w:val="left"/>
            </w:pPr>
            <w:r>
              <w:t xml:space="preserve">Track: verb + object + scope, under 80 characters</w:t>
            </w:r>
          </w:p>
        </w:tc>
        <w:tc>
          <w:tcPr>
            <w:tcW w:w="3656" w:type="dxa"/>
          </w:tcPr>
          <w:p>
            <w:pPr>
              <w:pStyle w:val="Compact"/>
              <w:jc w:val="left"/>
            </w:pPr>
            <w:r>
              <w:t xml:space="preserve">Research: scope new US duty on steel fasteners from Country X</w:t>
            </w:r>
          </w:p>
        </w:tc>
      </w:tr>
      <w:tr>
        <w:tc>
          <w:tcPr>
            <w:tcW w:w="1495" w:type="dxa"/>
          </w:tcPr>
          <w:p>
            <w:pPr>
              <w:pStyle w:val="Compact"/>
              <w:jc w:val="left"/>
            </w:pPr>
            <w:r>
              <w:t xml:space="preserve">Requester</w:t>
            </w:r>
          </w:p>
        </w:tc>
        <w:tc>
          <w:tcPr>
            <w:tcW w:w="4208" w:type="dxa"/>
          </w:tcPr>
          <w:p>
            <w:pPr>
              <w:pStyle w:val="Compact"/>
              <w:jc w:val="left"/>
            </w:pPr>
            <w:r>
              <w:t xml:space="preserve">Name, team, role</w:t>
            </w:r>
          </w:p>
        </w:tc>
        <w:tc>
          <w:tcPr>
            <w:tcW w:w="3656" w:type="dxa"/>
          </w:tcPr>
          <w:p>
            <w:pPr>
              <w:pStyle w:val="Compact"/>
              <w:jc w:val="left"/>
            </w:pPr>
            <w:r>
              <w:t xml:space="preserve">[COMPANY: Purchasing category manager]</w:t>
            </w:r>
          </w:p>
        </w:tc>
      </w:tr>
      <w:tr>
        <w:tc>
          <w:tcPr>
            <w:tcW w:w="1495" w:type="dxa"/>
          </w:tcPr>
          <w:p>
            <w:pPr>
              <w:pStyle w:val="Compact"/>
              <w:jc w:val="left"/>
            </w:pPr>
            <w:r>
              <w:t xml:space="preserve">Date and channel received</w:t>
            </w:r>
          </w:p>
        </w:tc>
        <w:tc>
          <w:tcPr>
            <w:tcW w:w="4208" w:type="dxa"/>
          </w:tcPr>
          <w:p>
            <w:pPr>
              <w:pStyle w:val="Compact"/>
              <w:jc w:val="left"/>
            </w:pPr>
            <w:r>
              <w:t xml:space="preserve">Date, time, and how (email, Teams, meeting)</w:t>
            </w:r>
          </w:p>
        </w:tc>
        <w:tc>
          <w:tcPr>
            <w:tcW w:w="3656" w:type="dxa"/>
          </w:tcPr>
          <w:p>
            <w:pPr>
              <w:pStyle w:val="Compact"/>
              <w:jc w:val="left"/>
            </w:pPr>
            <w:r>
              <w:t xml:space="preserve">Tue, 09:40, email</w:t>
            </w:r>
          </w:p>
        </w:tc>
      </w:tr>
      <w:tr>
        <w:tc>
          <w:tcPr>
            <w:tcW w:w="1495" w:type="dxa"/>
          </w:tcPr>
          <w:p>
            <w:pPr>
              <w:pStyle w:val="Compact"/>
              <w:jc w:val="left"/>
            </w:pPr>
            <w:r>
              <w:t xml:space="preserve">Request in their words</w:t>
            </w:r>
          </w:p>
        </w:tc>
        <w:tc>
          <w:tcPr>
            <w:tcW w:w="4208" w:type="dxa"/>
          </w:tcPr>
          <w:p>
            <w:pPr>
              <w:pStyle w:val="Compact"/>
              <w:jc w:val="left"/>
            </w:pPr>
            <w:r>
              <w:t xml:space="preserve">Paste the message or your verbatim notes</w:t>
            </w:r>
          </w:p>
        </w:tc>
        <w:tc>
          <w:tcPr>
            <w:tcW w:w="3656" w:type="dxa"/>
          </w:tcPr>
          <w:p>
            <w:pPr>
              <w:pStyle w:val="Compact"/>
              <w:jc w:val="left"/>
            </w:pPr>
            <w:r>
              <w:t xml:space="preserve">"Which of our items are hit and what does it do to our cost?"</w:t>
            </w:r>
          </w:p>
        </w:tc>
      </w:tr>
      <w:tr>
        <w:tc>
          <w:tcPr>
            <w:tcW w:w="1495" w:type="dxa"/>
          </w:tcPr>
          <w:p>
            <w:pPr>
              <w:pStyle w:val="Compact"/>
              <w:jc w:val="left"/>
            </w:pPr>
            <w:r>
              <w:t xml:space="preserve">Decision it supports</w:t>
            </w:r>
          </w:p>
        </w:tc>
        <w:tc>
          <w:tcPr>
            <w:tcW w:w="4208" w:type="dxa"/>
          </w:tcPr>
          <w:p>
            <w:pPr>
              <w:pStyle w:val="Compact"/>
              <w:jc w:val="left"/>
            </w:pPr>
            <w:r>
              <w:t xml:space="preserve">What the requester will decide or do with the answer</w:t>
            </w:r>
          </w:p>
        </w:tc>
        <w:tc>
          <w:tcPr>
            <w:tcW w:w="3656" w:type="dxa"/>
          </w:tcPr>
          <w:p>
            <w:pPr>
              <w:pStyle w:val="Compact"/>
              <w:jc w:val="left"/>
            </w:pPr>
            <w:r>
              <w:t xml:space="preserve">Re-price the fastener line at Friday's pricing meeting</w:t>
            </w:r>
          </w:p>
        </w:tc>
      </w:tr>
      <w:tr>
        <w:tc>
          <w:tcPr>
            <w:tcW w:w="1495" w:type="dxa"/>
          </w:tcPr>
          <w:p>
            <w:pPr>
              <w:pStyle w:val="Compact"/>
              <w:jc w:val="left"/>
            </w:pPr>
            <w:r>
              <w:t xml:space="preserve">Needed by, and why that date</w:t>
            </w:r>
          </w:p>
        </w:tc>
        <w:tc>
          <w:tcPr>
            <w:tcW w:w="4208" w:type="dxa"/>
          </w:tcPr>
          <w:p>
            <w:pPr>
              <w:pStyle w:val="Compact"/>
              <w:jc w:val="left"/>
            </w:pPr>
            <w:r>
              <w:t xml:space="preserve">The date and the driver: regulatory effective date, broker cut-off, Finance cost cycle, meeting, customer</w:t>
            </w:r>
          </w:p>
        </w:tc>
        <w:tc>
          <w:tcPr>
            <w:tcW w:w="3656" w:type="dxa"/>
          </w:tcPr>
          <w:p>
            <w:pPr>
              <w:pStyle w:val="Compact"/>
              <w:jc w:val="left"/>
            </w:pPr>
            <w:r>
              <w:t xml:space="preserve">Fri 10:00, pricing meeting. Duty effective 8 working days out</w:t>
            </w:r>
          </w:p>
        </w:tc>
      </w:tr>
      <w:tr>
        <w:tc>
          <w:tcPr>
            <w:tcW w:w="1495" w:type="dxa"/>
          </w:tcPr>
          <w:p>
            <w:pPr>
              <w:pStyle w:val="Compact"/>
              <w:jc w:val="left"/>
            </w:pPr>
            <w:r>
              <w:t xml:space="preserve">Scope</w:t>
            </w:r>
          </w:p>
        </w:tc>
        <w:tc>
          <w:tcPr>
            <w:tcW w:w="4208" w:type="dxa"/>
          </w:tcPr>
          <w:p>
            <w:pPr>
              <w:pStyle w:val="Compact"/>
              <w:jc w:val="left"/>
            </w:pPr>
            <w:r>
              <w:t xml:space="preserve">Countries (US, CA, MX), items or item families, HTS codes, suppliers, origin countries, cost period, entry date range</w:t>
            </w:r>
          </w:p>
        </w:tc>
        <w:tc>
          <w:tcPr>
            <w:tcW w:w="3656" w:type="dxa"/>
          </w:tcPr>
          <w:p>
            <w:pPr>
              <w:pStyle w:val="Compact"/>
              <w:jc w:val="left"/>
            </w:pPr>
            <w:r>
              <w:t xml:space="preserve">US imports; HTS heading 7318; origin Country X; active items only</w:t>
            </w:r>
          </w:p>
        </w:tc>
      </w:tr>
      <w:tr>
        <w:tc>
          <w:tcPr>
            <w:tcW w:w="1495" w:type="dxa"/>
          </w:tcPr>
          <w:p>
            <w:pPr>
              <w:pStyle w:val="Compact"/>
              <w:jc w:val="left"/>
            </w:pPr>
            <w:r>
              <w:t xml:space="preserve">Data and sources needed</w:t>
            </w:r>
          </w:p>
        </w:tc>
        <w:tc>
          <w:tcPr>
            <w:tcW w:w="4208" w:type="dxa"/>
          </w:tcPr>
          <w:p>
            <w:pPr>
              <w:pStyle w:val="Compact"/>
              <w:jc w:val="left"/>
            </w:pPr>
            <w:r>
              <w:t xml:space="preserve">Systems, reports, files, external sources; whether you can access them</w:t>
            </w:r>
          </w:p>
        </w:tc>
        <w:tc>
          <w:tcPr>
            <w:tcW w:w="3656" w:type="dxa"/>
          </w:tcPr>
          <w:p>
            <w:pPr>
              <w:pStyle w:val="Compact"/>
              <w:jc w:val="left"/>
            </w:pPr>
            <w:r>
              <w:t xml:space="preserve">Federal Register notice; HTSUS Chapter 99; AS400 classification master (inquiry); warehouse import history</w:t>
            </w:r>
          </w:p>
        </w:tc>
      </w:tr>
      <w:tr>
        <w:tc>
          <w:tcPr>
            <w:tcW w:w="1495" w:type="dxa"/>
          </w:tcPr>
          <w:p>
            <w:pPr>
              <w:pStyle w:val="Compact"/>
              <w:jc w:val="left"/>
            </w:pPr>
            <w:r>
              <w:t xml:space="preserve">Systems that could change</w:t>
            </w:r>
          </w:p>
        </w:tc>
        <w:tc>
          <w:tcPr>
            <w:tcW w:w="4208" w:type="dxa"/>
          </w:tcPr>
          <w:p>
            <w:pPr>
              <w:pStyle w:val="Compact"/>
              <w:jc w:val="left"/>
            </w:pPr>
            <w:r>
              <w:t xml:space="preserve">AS400 trade system, Oracle, SQL Server or warehouse, Power BI, a custom tool, a broker feed, e2open. "None" if read-only</w:t>
            </w:r>
          </w:p>
        </w:tc>
        <w:tc>
          <w:tcPr>
            <w:tcW w:w="3656" w:type="dxa"/>
          </w:tcPr>
          <w:p>
            <w:pPr>
              <w:pStyle w:val="Compact"/>
              <w:jc w:val="left"/>
            </w:pPr>
            <w:r>
              <w:t xml:space="preserve">None (read-only analysis)</w:t>
            </w:r>
          </w:p>
        </w:tc>
      </w:tr>
      <w:tr>
        <w:tc>
          <w:tcPr>
            <w:tcW w:w="1495" w:type="dxa"/>
          </w:tcPr>
          <w:p>
            <w:pPr>
              <w:pStyle w:val="Compact"/>
              <w:jc w:val="left"/>
            </w:pPr>
            <w:r>
              <w:t xml:space="preserve">Track</w:t>
            </w:r>
          </w:p>
        </w:tc>
        <w:tc>
          <w:tcPr>
            <w:tcW w:w="4208" w:type="dxa"/>
          </w:tcPr>
          <w:p>
            <w:pPr>
              <w:pStyle w:val="Compact"/>
              <w:jc w:val="left"/>
            </w:pPr>
            <w:r>
              <w:t xml:space="preserve">Research, Standard Cost, Exports, Reporting, Tools, e2open, Other</w:t>
            </w:r>
          </w:p>
        </w:tc>
        <w:tc>
          <w:tcPr>
            <w:tcW w:w="3656" w:type="dxa"/>
          </w:tcPr>
          <w:p>
            <w:pPr>
              <w:pStyle w:val="Compact"/>
              <w:jc w:val="left"/>
            </w:pPr>
            <w:r>
              <w:t xml:space="preserve">Research and Standard Cost (split)</w:t>
            </w:r>
          </w:p>
        </w:tc>
      </w:tr>
      <w:tr>
        <w:tc>
          <w:tcPr>
            <w:tcW w:w="1495" w:type="dxa"/>
          </w:tcPr>
          <w:p>
            <w:pPr>
              <w:pStyle w:val="Compact"/>
              <w:jc w:val="left"/>
            </w:pPr>
            <w:r>
              <w:t xml:space="preserve">Deliverable</w:t>
            </w:r>
          </w:p>
        </w:tc>
        <w:tc>
          <w:tcPr>
            <w:tcW w:w="4208" w:type="dxa"/>
          </w:tcPr>
          <w:p>
            <w:pPr>
              <w:pStyle w:val="Compact"/>
              <w:jc w:val="left"/>
            </w:pPr>
            <w:r>
              <w:t xml:space="preserve">Answer, Tariff-Impact Brief, model, analysis, report, tool change, data fix</w:t>
            </w:r>
          </w:p>
        </w:tc>
        <w:tc>
          <w:tcPr>
            <w:tcW w:w="3656" w:type="dxa"/>
          </w:tcPr>
          <w:p>
            <w:pPr>
              <w:pStyle w:val="Compact"/>
              <w:jc w:val="left"/>
            </w:pPr>
            <w:r>
              <w:t xml:space="preserve">Brief plus $ impact in the shared Tariff-Impact Model</w:t>
            </w:r>
          </w:p>
        </w:tc>
      </w:tr>
      <w:tr>
        <w:tc>
          <w:tcPr>
            <w:tcW w:w="1495" w:type="dxa"/>
          </w:tcPr>
          <w:p>
            <w:pPr>
              <w:pStyle w:val="Compact"/>
              <w:jc w:val="left"/>
            </w:pPr>
            <w:r>
              <w:t xml:space="preserve">Downstream users</w:t>
            </w:r>
          </w:p>
        </w:tc>
        <w:tc>
          <w:tcPr>
            <w:tcW w:w="4208" w:type="dxa"/>
          </w:tcPr>
          <w:p>
            <w:pPr>
              <w:pStyle w:val="Compact"/>
              <w:jc w:val="left"/>
            </w:pPr>
            <w:r>
              <w:t xml:space="preserve">Who or what consumes the result: broker, Finance, pricing, Oracle, a report</w:t>
            </w:r>
          </w:p>
        </w:tc>
        <w:tc>
          <w:tcPr>
            <w:tcW w:w="3656" w:type="dxa"/>
          </w:tcPr>
          <w:p>
            <w:pPr>
              <w:pStyle w:val="Compact"/>
              <w:jc w:val="left"/>
            </w:pPr>
            <w:r>
              <w:t xml:space="preserve">Pricing; Finance (next cost update); brokers (if any classification changes)</w:t>
            </w:r>
          </w:p>
        </w:tc>
      </w:tr>
      <w:tr>
        <w:tc>
          <w:tcPr>
            <w:tcW w:w="1495" w:type="dxa"/>
          </w:tcPr>
          <w:p>
            <w:pPr>
              <w:pStyle w:val="Compact"/>
              <w:jc w:val="left"/>
            </w:pPr>
            <w:r>
              <w:t xml:space="preserve">Maker and checker</w:t>
            </w:r>
          </w:p>
        </w:tc>
        <w:tc>
          <w:tcPr>
            <w:tcW w:w="4208" w:type="dxa"/>
          </w:tcPr>
          <w:p>
            <w:pPr>
              <w:pStyle w:val="Compact"/>
              <w:jc w:val="left"/>
            </w:pPr>
            <w:r>
              <w:t xml:space="preserve">Who does the work; who gives the documented second-person review</w:t>
            </w:r>
          </w:p>
        </w:tc>
        <w:tc>
          <w:tcPr>
            <w:tcW w:w="3656" w:type="dxa"/>
          </w:tcPr>
          <w:p>
            <w:pPr>
              <w:pStyle w:val="Compact"/>
              <w:jc w:val="left"/>
            </w:pPr>
            <w:r>
              <w:t xml:space="preserve">Maker: Hire A. Checker: Senior</w:t>
            </w:r>
          </w:p>
        </w:tc>
      </w:tr>
      <w:tr>
        <w:tc>
          <w:tcPr>
            <w:tcW w:w="1495" w:type="dxa"/>
          </w:tcPr>
          <w:p>
            <w:pPr>
              <w:pStyle w:val="Compact"/>
              <w:jc w:val="left"/>
            </w:pPr>
            <w:r>
              <w:t xml:space="preserve">First size estimate</w:t>
            </w:r>
          </w:p>
        </w:tc>
        <w:tc>
          <w:tcPr>
            <w:tcW w:w="4208" w:type="dxa"/>
          </w:tcPr>
          <w:p>
            <w:pPr>
              <w:pStyle w:val="Compact"/>
              <w:jc w:val="left"/>
            </w:pPr>
            <w:r>
              <w:t xml:space="preserve">Under 15 min, under 1 day, 1 to 5 days, more than 5 days</w:t>
            </w:r>
          </w:p>
        </w:tc>
        <w:tc>
          <w:tcPr>
            <w:tcW w:w="3656" w:type="dxa"/>
          </w:tcPr>
          <w:p>
            <w:pPr>
              <w:pStyle w:val="Compact"/>
              <w:jc w:val="left"/>
            </w:pPr>
            <w:r>
              <w:t xml:space="preserve">1 to 5 days per track</w:t>
            </w:r>
          </w:p>
        </w:tc>
      </w:tr>
      <w:tr>
        <w:tc>
          <w:tcPr>
            <w:tcW w:w="1495" w:type="dxa"/>
          </w:tcPr>
          <w:p>
            <w:pPr>
              <w:pStyle w:val="Compact"/>
              <w:jc w:val="left"/>
            </w:pPr>
            <w:r>
              <w:t xml:space="preserve">Related items</w:t>
            </w:r>
          </w:p>
        </w:tc>
        <w:tc>
          <w:tcPr>
            <w:tcW w:w="4208" w:type="dxa"/>
          </w:tcPr>
          <w:p>
            <w:pPr>
              <w:pStyle w:val="Compact"/>
              <w:jc w:val="left"/>
            </w:pPr>
            <w:r>
              <w:t xml:space="preserve">Linked Jira issues, prior briefs, earlier requests</w:t>
            </w:r>
          </w:p>
        </w:tc>
        <w:tc>
          <w:tcPr>
            <w:tcW w:w="3656" w:type="dxa"/>
          </w:tcPr>
          <w:p>
            <w:pPr>
              <w:pStyle w:val="Compact"/>
              <w:jc w:val="left"/>
            </w:pPr>
            <w:r>
              <w:t xml:space="preserve">[COMPANY: project key]-118 (earlier action on the same heading)</w:t>
            </w:r>
          </w:p>
        </w:tc>
      </w:tr>
      <w:tr>
        <w:tc>
          <w:tcPr>
            <w:tcW w:w="1495" w:type="dxa"/>
          </w:tcPr>
          <w:p>
            <w:pPr>
              <w:pStyle w:val="Compact"/>
              <w:jc w:val="left"/>
            </w:pPr>
            <w:r>
              <w:t xml:space="preserve">Sensitivity</w:t>
            </w:r>
          </w:p>
        </w:tc>
        <w:tc>
          <w:tcPr>
            <w:tcW w:w="4208" w:type="dxa"/>
          </w:tcPr>
          <w:p>
            <w:pPr>
              <w:pStyle w:val="Compact"/>
              <w:jc w:val="left"/>
            </w:pPr>
            <w:r>
              <w:t xml:space="preserve">Supplier pricing, margin, legal question, personal data. Say how you will restrict sharing</w:t>
            </w:r>
          </w:p>
        </w:tc>
        <w:tc>
          <w:tcPr>
            <w:tcW w:w="3656" w:type="dxa"/>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dxa" w:w="9360"/>
        <w:tblLook w:firstRow="1" w:lastRow="0" w:firstColumn="0" w:lastColumn="0" w:noHBand="0" w:noVBand="0" w:val="0020"/>
        <w:jc w:val="start"/>
        <w:tblLayout w:type="fixed"/>
      </w:tblPr>
      <w:tblGrid>
        <w:gridCol w:w="1380"/>
        <w:gridCol w:w="1730"/>
        <w:gridCol w:w="2785"/>
        <w:gridCol w:w="3463"/>
      </w:tblGrid>
      <w:tr>
        <w:trPr>
          <w:tblHeader w:val="true"/>
        </w:trPr>
        <w:tc>
          <w:tcPr>
            <w:tcW w:w="1380" w:type="dxa"/>
          </w:tcPr>
          <w:p>
            <w:pPr>
              <w:pStyle w:val="Compact"/>
              <w:jc w:val="left"/>
            </w:pPr>
            <w:r>
              <w:t xml:space="preserve">Factor</w:t>
            </w:r>
          </w:p>
        </w:tc>
        <w:tc>
          <w:tcPr>
            <w:tcW w:w="1730" w:type="dxa"/>
          </w:tcPr>
          <w:p>
            <w:pPr>
              <w:pStyle w:val="Compact"/>
              <w:jc w:val="left"/>
            </w:pPr>
            <w:r>
              <w:t xml:space="preserve">1 = Low</w:t>
            </w:r>
          </w:p>
        </w:tc>
        <w:tc>
          <w:tcPr>
            <w:tcW w:w="2785" w:type="dxa"/>
          </w:tcPr>
          <w:p>
            <w:pPr>
              <w:pStyle w:val="Compact"/>
              <w:jc w:val="left"/>
            </w:pPr>
            <w:r>
              <w:t xml:space="preserve">2 = Medium</w:t>
            </w:r>
          </w:p>
        </w:tc>
        <w:tc>
          <w:tcPr>
            <w:tcW w:w="3463" w:type="dxa"/>
          </w:tcPr>
          <w:p>
            <w:pPr>
              <w:pStyle w:val="Compact"/>
              <w:jc w:val="left"/>
            </w:pPr>
            <w:r>
              <w:t xml:space="preserve">3 = High</w:t>
            </w:r>
          </w:p>
        </w:tc>
      </w:tr>
      <w:tr>
        <w:tc>
          <w:tcPr>
            <w:tcW w:w="1380" w:type="dxa"/>
          </w:tcPr>
          <w:p>
            <w:pPr>
              <w:pStyle w:val="Compact"/>
              <w:jc w:val="left"/>
            </w:pPr>
            <w:r>
              <w:t xml:space="preserve">Value</w:t>
            </w:r>
          </w:p>
        </w:tc>
        <w:tc>
          <w:tcPr>
            <w:tcW w:w="1730" w:type="dxa"/>
          </w:tcPr>
          <w:p>
            <w:pPr>
              <w:pStyle w:val="Compact"/>
              <w:jc w:val="left"/>
            </w:pPr>
            <w:r>
              <w:t xml:space="preserve">Nice to have; helps one person; no decision depends on it</w:t>
            </w:r>
          </w:p>
        </w:tc>
        <w:tc>
          <w:tcPr>
            <w:tcW w:w="2785" w:type="dxa"/>
          </w:tcPr>
          <w:p>
            <w:pPr>
              <w:pStyle w:val="Compact"/>
              <w:jc w:val="left"/>
            </w:pPr>
            <w:r>
              <w:t xml:space="preserve">Improves a recurring task or a team decision; affects some items or a report people use</w:t>
            </w:r>
          </w:p>
        </w:tc>
        <w:tc>
          <w:tcPr>
            <w:tcW w:w="3463" w:type="dxa"/>
          </w:tcPr>
          <w:p>
            <w:pPr>
              <w:pStyle w:val="Compact"/>
              <w:jc w:val="left"/>
            </w:pPr>
            <w:r>
              <w:t xml:space="preserve">Drives a pricing, cost, sourcing or compliance decision; affects many items, entries or more than [COMPANY: $ threshold]</w:t>
            </w:r>
          </w:p>
        </w:tc>
      </w:tr>
      <w:tr>
        <w:tc>
          <w:tcPr>
            <w:tcW w:w="1380" w:type="dxa"/>
          </w:tcPr>
          <w:p>
            <w:pPr>
              <w:pStyle w:val="Compact"/>
              <w:jc w:val="left"/>
            </w:pPr>
            <w:r>
              <w:t xml:space="preserve">Urgency</w:t>
            </w:r>
          </w:p>
        </w:tc>
        <w:tc>
          <w:tcPr>
            <w:tcW w:w="1730" w:type="dxa"/>
          </w:tcPr>
          <w:p>
            <w:pPr>
              <w:pStyle w:val="Compact"/>
              <w:jc w:val="left"/>
            </w:pPr>
            <w:r>
              <w:t xml:space="preserve">No date, or the date is more than 30 days out</w:t>
            </w:r>
          </w:p>
        </w:tc>
        <w:tc>
          <w:tcPr>
            <w:tcW w:w="2785" w:type="dxa"/>
          </w:tcPr>
          <w:p>
            <w:pPr>
              <w:pStyle w:val="Compact"/>
              <w:jc w:val="left"/>
            </w:pPr>
            <w:r>
              <w:t xml:space="preserve">Dated business need in 5 to 30 working days (meeting, Finance cycle input, report deadline)</w:t>
            </w:r>
          </w:p>
        </w:tc>
        <w:tc>
          <w:tcPr>
            <w:tcW w:w="3463" w:type="dxa"/>
          </w:tcPr>
          <w:p>
            <w:pPr>
              <w:pStyle w:val="Compact"/>
              <w:jc w:val="left"/>
            </w:pPr>
            <w:r>
              <w:t xml:space="preserve">Regulatory effective date, broker cut-off or Finance cut-off inside 10 working days, or the data is wrong in production now</w:t>
            </w:r>
          </w:p>
        </w:tc>
      </w:tr>
      <w:tr>
        <w:tc>
          <w:tcPr>
            <w:tcW w:w="1380" w:type="dxa"/>
          </w:tcPr>
          <w:p>
            <w:pPr>
              <w:pStyle w:val="Compact"/>
              <w:jc w:val="left"/>
            </w:pPr>
            <w:r>
              <w:t xml:space="preserve">Compliance or financial risk (if we get it wrong)</w:t>
            </w:r>
          </w:p>
        </w:tc>
        <w:tc>
          <w:tcPr>
            <w:tcW w:w="1730" w:type="dxa"/>
          </w:tcPr>
          <w:p>
            <w:pPr>
              <w:pStyle w:val="Compact"/>
              <w:jc w:val="left"/>
            </w:pPr>
            <w:r>
              <w:t xml:space="preserve">Internal only; no effect on filings, costs or reports</w:t>
            </w:r>
          </w:p>
        </w:tc>
        <w:tc>
          <w:tcPr>
            <w:tcW w:w="2785" w:type="dxa"/>
          </w:tcPr>
          <w:p>
            <w:pPr>
              <w:pStyle w:val="Compact"/>
              <w:jc w:val="left"/>
            </w:pPr>
            <w:r>
              <w:t xml:space="preserve">Could feed a future cost, report or broker data set; caught by a later review</w:t>
            </w:r>
          </w:p>
        </w:tc>
        <w:tc>
          <w:tcPr>
            <w:tcW w:w="3463" w:type="dxa"/>
          </w:tcPr>
          <w:p>
            <w:pPr>
              <w:pStyle w:val="Compact"/>
              <w:jc w:val="left"/>
            </w:pPr>
            <w:r>
              <w:t xml:space="preserve">Could cause a wrong customs declaration (classification, value, origin claim), a misstated standard cost or margin, or penalty exposure</w:t>
            </w:r>
          </w:p>
        </w:tc>
      </w:tr>
      <w:tr>
        <w:tc>
          <w:tcPr>
            <w:tcW w:w="1380" w:type="dxa"/>
          </w:tcPr>
          <w:p>
            <w:pPr>
              <w:pStyle w:val="Compact"/>
              <w:jc w:val="left"/>
            </w:pPr>
            <w:r>
              <w:t xml:space="preserve">Effort (size, for routing)</w:t>
            </w:r>
          </w:p>
        </w:tc>
        <w:tc>
          <w:tcPr>
            <w:tcW w:w="1730" w:type="dxa"/>
          </w:tcPr>
          <w:p>
            <w:pPr>
              <w:pStyle w:val="Compact"/>
              <w:jc w:val="left"/>
            </w:pPr>
            <w:r>
              <w:t xml:space="preserve">Under 1 day</w:t>
            </w:r>
          </w:p>
        </w:tc>
        <w:tc>
          <w:tcPr>
            <w:tcW w:w="2785" w:type="dxa"/>
          </w:tcPr>
          <w:p>
            <w:pPr>
              <w:pStyle w:val="Compact"/>
              <w:jc w:val="left"/>
            </w:pPr>
            <w:r>
              <w:t xml:space="preserve">1 to 5 working days</w:t>
            </w:r>
          </w:p>
        </w:tc>
        <w:tc>
          <w:tcPr>
            <w:tcW w:w="3463" w:type="dxa"/>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dxa" w:w="9360"/>
        <w:tblLook w:firstRow="1" w:lastRow="0" w:firstColumn="0" w:lastColumn="0" w:noHBand="0" w:noVBand="0" w:val="0020"/>
        <w:jc w:val="start"/>
        <w:tblLayout w:type="fixed"/>
      </w:tblPr>
      <w:tblGrid>
        <w:gridCol w:w="1492"/>
        <w:gridCol w:w="1604"/>
        <w:gridCol w:w="6263"/>
      </w:tblGrid>
      <w:tr>
        <w:trPr>
          <w:tblHeader w:val="true"/>
        </w:trPr>
        <w:tc>
          <w:tcPr>
            <w:tcW w:w="1492" w:type="dxa"/>
          </w:tcPr>
          <w:p>
            <w:pPr>
              <w:pStyle w:val="Compact"/>
              <w:jc w:val="left"/>
            </w:pPr>
            <w:r>
              <w:t xml:space="preserve">Factor</w:t>
            </w:r>
          </w:p>
        </w:tc>
        <w:tc>
          <w:tcPr>
            <w:tcW w:w="1604" w:type="dxa"/>
          </w:tcPr>
          <w:p>
            <w:pPr>
              <w:pStyle w:val="Compact"/>
              <w:jc w:val="left"/>
            </w:pPr>
            <w:r>
              <w:t xml:space="preserve">Score</w:t>
            </w:r>
          </w:p>
        </w:tc>
        <w:tc>
          <w:tcPr>
            <w:tcW w:w="6263" w:type="dxa"/>
          </w:tcPr>
          <w:p>
            <w:pPr>
              <w:pStyle w:val="Compact"/>
              <w:jc w:val="left"/>
            </w:pPr>
            <w:r>
              <w:t xml:space="preserve">One-line reason</w:t>
            </w:r>
          </w:p>
        </w:tc>
      </w:tr>
      <w:tr>
        <w:tc>
          <w:tcPr>
            <w:tcW w:w="1492" w:type="dxa"/>
          </w:tcPr>
          <w:p>
            <w:pPr>
              <w:pStyle w:val="Compact"/>
              <w:jc w:val="left"/>
            </w:pPr>
            <w:r>
              <w:t xml:space="preserve">Value</w:t>
            </w:r>
          </w:p>
        </w:tc>
        <w:tc>
          <w:tcPr>
            <w:tcW w:w="1604" w:type="dxa"/>
          </w:tcPr>
          <w:p>
            <w:pPr>
              <w:pStyle w:val="Compact"/>
              <w:jc w:val="left"/>
            </w:pPr>
            <w:r>
              <w:t xml:space="preserve">[1-3]</w:t>
            </w:r>
          </w:p>
        </w:tc>
        <w:tc>
          <w:tcPr>
            <w:tcW w:w="6263" w:type="dxa"/>
          </w:tcPr>
          <w:p>
            <w:pPr>
              <w:pStyle w:val="Compact"/>
              <w:jc w:val="left"/>
            </w:pPr>
            <w:r>
              <w:t xml:space="preserve">[Why]</w:t>
            </w:r>
          </w:p>
        </w:tc>
      </w:tr>
      <w:tr>
        <w:tc>
          <w:tcPr>
            <w:tcW w:w="1492" w:type="dxa"/>
          </w:tcPr>
          <w:p>
            <w:pPr>
              <w:pStyle w:val="Compact"/>
              <w:jc w:val="left"/>
            </w:pPr>
            <w:r>
              <w:t xml:space="preserve">Urgency</w:t>
            </w:r>
          </w:p>
        </w:tc>
        <w:tc>
          <w:tcPr>
            <w:tcW w:w="1604" w:type="dxa"/>
          </w:tcPr>
          <w:p>
            <w:pPr>
              <w:pStyle w:val="Compact"/>
              <w:jc w:val="left"/>
            </w:pPr>
            <w:r>
              <w:t xml:space="preserve">[1-3]</w:t>
            </w:r>
          </w:p>
        </w:tc>
        <w:tc>
          <w:tcPr>
            <w:tcW w:w="6263" w:type="dxa"/>
          </w:tcPr>
          <w:p>
            <w:pPr>
              <w:pStyle w:val="Compact"/>
              <w:jc w:val="left"/>
            </w:pPr>
            <w:r>
              <w:t xml:space="preserve">[The date and its driver]</w:t>
            </w:r>
          </w:p>
        </w:tc>
      </w:tr>
      <w:tr>
        <w:tc>
          <w:tcPr>
            <w:tcW w:w="1492" w:type="dxa"/>
          </w:tcPr>
          <w:p>
            <w:pPr>
              <w:pStyle w:val="Compact"/>
              <w:jc w:val="left"/>
            </w:pPr>
            <w:r>
              <w:t xml:space="preserve">Risk</w:t>
            </w:r>
          </w:p>
        </w:tc>
        <w:tc>
          <w:tcPr>
            <w:tcW w:w="1604" w:type="dxa"/>
          </w:tcPr>
          <w:p>
            <w:pPr>
              <w:pStyle w:val="Compact"/>
              <w:jc w:val="left"/>
            </w:pPr>
            <w:r>
              <w:t xml:space="preserve">[1-3]</w:t>
            </w:r>
          </w:p>
        </w:tc>
        <w:tc>
          <w:tcPr>
            <w:tcW w:w="6263" w:type="dxa"/>
          </w:tcPr>
          <w:p>
            <w:pPr>
              <w:pStyle w:val="Compact"/>
              <w:jc w:val="left"/>
            </w:pPr>
            <w:r>
              <w:t xml:space="preserve">[What goes wrong, and for whom, if the answer is wrong]</w:t>
            </w:r>
          </w:p>
        </w:tc>
      </w:tr>
      <w:tr>
        <w:tc>
          <w:tcPr>
            <w:tcW w:w="1492" w:type="dxa"/>
          </w:tcPr>
          <w:p>
            <w:pPr>
              <w:pStyle w:val="Compact"/>
              <w:jc w:val="left"/>
            </w:pPr>
            <w:r>
              <w:t xml:space="preserve">Effort</w:t>
            </w:r>
          </w:p>
        </w:tc>
        <w:tc>
          <w:tcPr>
            <w:tcW w:w="1604" w:type="dxa"/>
          </w:tcPr>
          <w:p>
            <w:pPr>
              <w:pStyle w:val="Compact"/>
              <w:jc w:val="left"/>
            </w:pPr>
            <w:r>
              <w:t xml:space="preserve">[1-3]</w:t>
            </w:r>
          </w:p>
        </w:tc>
        <w:tc>
          <w:tcPr>
            <w:tcW w:w="6263" w:type="dxa"/>
          </w:tcPr>
          <w:p>
            <w:pPr>
              <w:pStyle w:val="Compact"/>
              <w:jc w:val="left"/>
            </w:pPr>
            <w:r>
              <w:t xml:space="preserve">[Size and who is involved]</w:t>
            </w:r>
          </w:p>
        </w:tc>
      </w:tr>
      <w:tr>
        <w:tc>
          <w:tcPr>
            <w:tcW w:w="1492" w:type="dxa"/>
          </w:tcPr>
          <w:p>
            <w:pPr>
              <w:pStyle w:val="Compact"/>
              <w:jc w:val="left"/>
            </w:pPr>
            <w:r>
              <w:t xml:space="preserve">Priority</w:t>
            </w:r>
          </w:p>
        </w:tc>
        <w:tc>
          <w:tcPr>
            <w:tcW w:w="1604" w:type="dxa"/>
          </w:tcPr>
          <w:p>
            <w:pPr>
              <w:pStyle w:val="Compact"/>
              <w:jc w:val="left"/>
            </w:pPr>
            <w:r>
              <w:t xml:space="preserve">[P1, P2, P3]</w:t>
            </w:r>
          </w:p>
        </w:tc>
        <w:tc>
          <w:tcPr>
            <w:tcW w:w="6263" w:type="dxa"/>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dxa" w:w="9360"/>
        <w:tblLook w:firstRow="1" w:lastRow="0" w:firstColumn="0" w:lastColumn="0" w:noHBand="0" w:noVBand="0" w:val="0020"/>
        <w:jc w:val="start"/>
        <w:tblLayout w:type="fixed"/>
      </w:tblPr>
      <w:tblGrid>
        <w:gridCol w:w="900"/>
        <w:gridCol w:w="4055"/>
        <w:gridCol w:w="1380"/>
        <w:gridCol w:w="3024"/>
      </w:tblGrid>
      <w:tr>
        <w:trPr>
          <w:tblHeader w:val="true"/>
        </w:trPr>
        <w:tc>
          <w:tcPr>
            <w:tcW w:w="900" w:type="dxa"/>
          </w:tcPr>
          <w:p>
            <w:pPr>
              <w:pStyle w:val="Compact"/>
              <w:jc w:val="left"/>
            </w:pPr>
            <w:r>
              <w:t xml:space="preserve">Order</w:t>
            </w:r>
          </w:p>
        </w:tc>
        <w:tc>
          <w:tcPr>
            <w:tcW w:w="4055" w:type="dxa"/>
          </w:tcPr>
          <w:p>
            <w:pPr>
              <w:pStyle w:val="Compact"/>
              <w:jc w:val="left"/>
            </w:pPr>
            <w:r>
              <w:t xml:space="preserve">If this is true</w:t>
            </w:r>
          </w:p>
        </w:tc>
        <w:tc>
          <w:tcPr>
            <w:tcW w:w="1380" w:type="dxa"/>
          </w:tcPr>
          <w:p>
            <w:pPr>
              <w:pStyle w:val="Compact"/>
              <w:jc w:val="left"/>
            </w:pPr>
            <w:r>
              <w:t xml:space="preserve">Route</w:t>
            </w:r>
          </w:p>
        </w:tc>
        <w:tc>
          <w:tcPr>
            <w:tcW w:w="3024" w:type="dxa"/>
          </w:tcPr>
          <w:p>
            <w:pPr>
              <w:pStyle w:val="Compact"/>
              <w:jc w:val="left"/>
            </w:pPr>
            <w:r>
              <w:t xml:space="preserve">What you create</w:t>
            </w:r>
          </w:p>
        </w:tc>
      </w:tr>
      <w:tr>
        <w:tc>
          <w:tcPr>
            <w:tcW w:w="900" w:type="dxa"/>
          </w:tcPr>
          <w:p>
            <w:pPr>
              <w:pStyle w:val="Compact"/>
              <w:jc w:val="left"/>
            </w:pPr>
            <w:r>
              <w:t xml:space="preserve">1</w:t>
            </w:r>
          </w:p>
        </w:tc>
        <w:tc>
          <w:tcPr>
            <w:tcW w:w="4055" w:type="dxa"/>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tcW w:w="1380" w:type="dxa"/>
          </w:tcPr>
          <w:p>
            <w:pPr>
              <w:pStyle w:val="Compact"/>
              <w:jc w:val="left"/>
            </w:pPr>
            <w:r>
              <w:t xml:space="preserve">Decline (redirect, link the duplicate, or park in the backlog)</w:t>
            </w:r>
          </w:p>
        </w:tc>
        <w:tc>
          <w:tcPr>
            <w:tcW w:w="3024" w:type="dxa"/>
          </w:tcPr>
          <w:p>
            <w:pPr>
              <w:pStyle w:val="Compact"/>
              <w:jc w:val="left"/>
            </w:pPr>
            <w:r>
              <w:t xml:space="preserve">No new issue, or a parked issue with [COMPANY: parked label]. Manager confirms in days 1 to 60</w:t>
            </w:r>
          </w:p>
        </w:tc>
      </w:tr>
      <w:tr>
        <w:tc>
          <w:tcPr>
            <w:tcW w:w="900" w:type="dxa"/>
          </w:tcPr>
          <w:p>
            <w:pPr>
              <w:pStyle w:val="Compact"/>
              <w:jc w:val="left"/>
            </w:pPr>
            <w:r>
              <w:t xml:space="preserve">2</w:t>
            </w:r>
          </w:p>
        </w:tc>
        <w:tc>
          <w:tcPr>
            <w:tcW w:w="4055" w:type="dxa"/>
          </w:tcPr>
          <w:p>
            <w:pPr>
              <w:pStyle w:val="Compact"/>
              <w:jc w:val="left"/>
            </w:pPr>
            <w:r>
              <w:t xml:space="preserve">Under 15 minutes, nothing is produced, no data or system changes, no review needed, and the answer is already documented or readable in a system you have access to</w:t>
            </w:r>
          </w:p>
        </w:tc>
        <w:tc>
          <w:tcPr>
            <w:tcW w:w="1380" w:type="dxa"/>
          </w:tcPr>
          <w:p>
            <w:pPr>
              <w:pStyle w:val="Compact"/>
              <w:jc w:val="left"/>
            </w:pPr>
            <w:r>
              <w:t xml:space="preserve">Quick answer</w:t>
            </w:r>
          </w:p>
        </w:tc>
        <w:tc>
          <w:tcPr>
            <w:tcW w:w="3024" w:type="dxa"/>
          </w:tcPr>
          <w:p>
            <w:pPr>
              <w:pStyle w:val="Compact"/>
              <w:jc w:val="left"/>
            </w:pPr>
            <w:r>
              <w:t xml:space="preserve">Reply directly; one line in your daily notes. If it grows past 15 minutes, log a story</w:t>
            </w:r>
          </w:p>
        </w:tc>
      </w:tr>
      <w:tr>
        <w:tc>
          <w:tcPr>
            <w:tcW w:w="900" w:type="dxa"/>
          </w:tcPr>
          <w:p>
            <w:pPr>
              <w:pStyle w:val="Compact"/>
              <w:jc w:val="left"/>
            </w:pPr>
            <w:r>
              <w:t xml:space="preserve">3</w:t>
            </w:r>
          </w:p>
        </w:tc>
        <w:tc>
          <w:tcPr>
            <w:tcW w:w="4055" w:type="dxa"/>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tcW w:w="1380" w:type="dxa"/>
          </w:tcPr>
          <w:p>
            <w:pPr>
              <w:pStyle w:val="Compact"/>
              <w:jc w:val="left"/>
            </w:pPr>
            <w:r>
              <w:t xml:space="preserve">Epic</w:t>
            </w:r>
          </w:p>
        </w:tc>
        <w:tc>
          <w:tcPr>
            <w:tcW w:w="3024" w:type="dxa"/>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tcW w:w="900" w:type="dxa"/>
          </w:tcPr>
          <w:p>
            <w:pPr>
              <w:pStyle w:val="Compact"/>
              <w:jc w:val="left"/>
            </w:pPr>
            <w:r>
              <w:t xml:space="preserve">4</w:t>
            </w:r>
          </w:p>
        </w:tc>
        <w:tc>
          <w:tcPr>
            <w:tcW w:w="4055" w:type="dxa"/>
          </w:tcPr>
          <w:p>
            <w:pPr>
              <w:pStyle w:val="Compact"/>
              <w:jc w:val="left"/>
            </w:pPr>
            <w:r>
              <w:t xml:space="preserve">Anything else</w:t>
            </w:r>
          </w:p>
        </w:tc>
        <w:tc>
          <w:tcPr>
            <w:tcW w:w="1380" w:type="dxa"/>
          </w:tcPr>
          <w:p>
            <w:pPr>
              <w:pStyle w:val="Compact"/>
              <w:jc w:val="left"/>
            </w:pPr>
            <w:r>
              <w:t xml:space="preserve">Story (Bug if something is broken)</w:t>
            </w:r>
          </w:p>
        </w:tc>
        <w:tc>
          <w:tcPr>
            <w:tcW w:w="3024" w:type="dxa"/>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dxa" w:w="9360"/>
        <w:tblLook w:firstRow="1" w:lastRow="0" w:firstColumn="0" w:lastColumn="0" w:noHBand="0" w:noVBand="0" w:val="0020"/>
        <w:jc w:val="start"/>
        <w:tblLayout w:type="fixed"/>
      </w:tblPr>
      <w:tblGrid>
        <w:gridCol w:w="1404"/>
        <w:gridCol w:w="1098"/>
        <w:gridCol w:w="6856"/>
      </w:tblGrid>
      <w:tr>
        <w:trPr>
          <w:tblHeader w:val="true"/>
        </w:trPr>
        <w:tc>
          <w:tcPr>
            <w:tcW w:w="1404" w:type="dxa"/>
          </w:tcPr>
          <w:p>
            <w:pPr>
              <w:pStyle w:val="Compact"/>
              <w:jc w:val="left"/>
            </w:pPr>
            <w:r>
              <w:t xml:space="preserve">Factor</w:t>
            </w:r>
          </w:p>
        </w:tc>
        <w:tc>
          <w:tcPr>
            <w:tcW w:w="1098" w:type="dxa"/>
          </w:tcPr>
          <w:p>
            <w:pPr>
              <w:pStyle w:val="Compact"/>
              <w:jc w:val="left"/>
            </w:pPr>
            <w:r>
              <w:t xml:space="preserve">Score</w:t>
            </w:r>
          </w:p>
        </w:tc>
        <w:tc>
          <w:tcPr>
            <w:tcW w:w="6856" w:type="dxa"/>
          </w:tcPr>
          <w:p>
            <w:pPr>
              <w:pStyle w:val="Compact"/>
              <w:jc w:val="left"/>
            </w:pPr>
            <w:r>
              <w:t xml:space="preserve">One-line reason</w:t>
            </w:r>
          </w:p>
        </w:tc>
      </w:tr>
      <w:tr>
        <w:tc>
          <w:tcPr>
            <w:tcW w:w="1404" w:type="dxa"/>
          </w:tcPr>
          <w:p>
            <w:pPr>
              <w:pStyle w:val="Compact"/>
              <w:jc w:val="left"/>
            </w:pPr>
            <w:r>
              <w:t xml:space="preserve">Value</w:t>
            </w:r>
          </w:p>
        </w:tc>
        <w:tc>
          <w:tcPr>
            <w:tcW w:w="1098" w:type="dxa"/>
          </w:tcPr>
          <w:p>
            <w:pPr>
              <w:pStyle w:val="Compact"/>
              <w:jc w:val="left"/>
            </w:pPr>
            <w:r>
              <w:t xml:space="preserve">3</w:t>
            </w:r>
          </w:p>
        </w:tc>
        <w:tc>
          <w:tcPr>
            <w:tcW w:w="6856" w:type="dxa"/>
          </w:tcPr>
          <w:p>
            <w:pPr>
              <w:pStyle w:val="Compact"/>
              <w:jc w:val="left"/>
            </w:pPr>
            <w:r>
              <w:t xml:space="preserve">Drives a pricing decision across a product line; about 140 active items in heading 7318</w:t>
            </w:r>
          </w:p>
        </w:tc>
      </w:tr>
      <w:tr>
        <w:tc>
          <w:tcPr>
            <w:tcW w:w="1404" w:type="dxa"/>
          </w:tcPr>
          <w:p>
            <w:pPr>
              <w:pStyle w:val="Compact"/>
              <w:jc w:val="left"/>
            </w:pPr>
            <w:r>
              <w:t xml:space="preserve">Urgency</w:t>
            </w:r>
          </w:p>
        </w:tc>
        <w:tc>
          <w:tcPr>
            <w:tcW w:w="1098" w:type="dxa"/>
          </w:tcPr>
          <w:p>
            <w:pPr>
              <w:pStyle w:val="Compact"/>
              <w:jc w:val="left"/>
            </w:pPr>
            <w:r>
              <w:t xml:space="preserve">3</w:t>
            </w:r>
          </w:p>
        </w:tc>
        <w:tc>
          <w:tcPr>
            <w:tcW w:w="6856" w:type="dxa"/>
          </w:tcPr>
          <w:p>
            <w:pPr>
              <w:pStyle w:val="Compact"/>
              <w:jc w:val="left"/>
            </w:pPr>
            <w:r>
              <w:t xml:space="preserve">Effective date in 8 working days; pricing meeting Friday</w:t>
            </w:r>
          </w:p>
        </w:tc>
      </w:tr>
      <w:tr>
        <w:tc>
          <w:tcPr>
            <w:tcW w:w="1404" w:type="dxa"/>
          </w:tcPr>
          <w:p>
            <w:pPr>
              <w:pStyle w:val="Compact"/>
              <w:jc w:val="left"/>
            </w:pPr>
            <w:r>
              <w:t xml:space="preserve">Risk</w:t>
            </w:r>
          </w:p>
        </w:tc>
        <w:tc>
          <w:tcPr>
            <w:tcW w:w="1098" w:type="dxa"/>
          </w:tcPr>
          <w:p>
            <w:pPr>
              <w:pStyle w:val="Compact"/>
              <w:jc w:val="left"/>
            </w:pPr>
            <w:r>
              <w:t xml:space="preserve">3</w:t>
            </w:r>
          </w:p>
        </w:tc>
        <w:tc>
          <w:tcPr>
            <w:tcW w:w="6856" w:type="dxa"/>
          </w:tcPr>
          <w:p>
            <w:pPr>
              <w:pStyle w:val="Compact"/>
              <w:jc w:val="left"/>
            </w:pPr>
            <w:r>
              <w:t xml:space="preserve">Wrong item scope means wrong duty deposits and a wrong cost and margin basis</w:t>
            </w:r>
          </w:p>
        </w:tc>
      </w:tr>
      <w:tr>
        <w:tc>
          <w:tcPr>
            <w:tcW w:w="1404" w:type="dxa"/>
          </w:tcPr>
          <w:p>
            <w:pPr>
              <w:pStyle w:val="Compact"/>
              <w:jc w:val="left"/>
            </w:pPr>
            <w:r>
              <w:t xml:space="preserve">Effort</w:t>
            </w:r>
          </w:p>
        </w:tc>
        <w:tc>
          <w:tcPr>
            <w:tcW w:w="1098" w:type="dxa"/>
          </w:tcPr>
          <w:p>
            <w:pPr>
              <w:pStyle w:val="Compact"/>
              <w:jc w:val="left"/>
            </w:pPr>
            <w:r>
              <w:t xml:space="preserve">3</w:t>
            </w:r>
          </w:p>
        </w:tc>
        <w:tc>
          <w:tcPr>
            <w:tcW w:w="6856" w:type="dxa"/>
          </w:tcPr>
          <w:p>
            <w:pPr>
              <w:pStyle w:val="Compact"/>
              <w:jc w:val="left"/>
            </w:pPr>
            <w:r>
              <w:t xml:space="preserve">Two tracks (WHAT and $), more than 5 days in total</w:t>
            </w:r>
          </w:p>
        </w:tc>
      </w:tr>
      <w:tr>
        <w:tc>
          <w:tcPr>
            <w:tcW w:w="1404" w:type="dxa"/>
          </w:tcPr>
          <w:p>
            <w:pPr>
              <w:pStyle w:val="Compact"/>
              <w:jc w:val="left"/>
            </w:pPr>
            <w:r>
              <w:t xml:space="preserve">Priority</w:t>
            </w:r>
          </w:p>
        </w:tc>
        <w:tc>
          <w:tcPr>
            <w:tcW w:w="1098" w:type="dxa"/>
          </w:tcPr>
          <w:p>
            <w:pPr>
              <w:pStyle w:val="Compact"/>
              <w:jc w:val="left"/>
            </w:pPr>
            <w:r>
              <w:t xml:space="preserve">P1</w:t>
            </w:r>
          </w:p>
        </w:tc>
        <w:tc>
          <w:tcPr>
            <w:tcW w:w="6856" w:type="dxa"/>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dxa" w:w="9360"/>
        <w:tblLook w:firstRow="1" w:lastRow="0" w:firstColumn="0" w:lastColumn="0" w:noHBand="0" w:noVBand="0" w:val="0020"/>
        <w:jc w:val="start"/>
        <w:tblLayout w:type="fixed"/>
      </w:tblPr>
      <w:tblGrid>
        <w:gridCol w:w="3192"/>
        <w:gridCol w:w="920"/>
        <w:gridCol w:w="1150"/>
        <w:gridCol w:w="1380"/>
        <w:gridCol w:w="2717"/>
      </w:tblGrid>
      <w:tr>
        <w:trPr>
          <w:tblHeader w:val="true"/>
        </w:trPr>
        <w:tc>
          <w:tcPr>
            <w:tcW w:w="3192" w:type="dxa"/>
          </w:tcPr>
          <w:p>
            <w:pPr>
              <w:pStyle w:val="Compact"/>
              <w:jc w:val="left"/>
            </w:pPr>
            <w:r>
              <w:t xml:space="preserve">Request</w:t>
            </w:r>
          </w:p>
        </w:tc>
        <w:tc>
          <w:tcPr>
            <w:tcW w:w="920" w:type="dxa"/>
          </w:tcPr>
          <w:p>
            <w:pPr>
              <w:pStyle w:val="Compact"/>
              <w:jc w:val="left"/>
            </w:pPr>
            <w:r>
              <w:t xml:space="preserve">V / U / R / Effort</w:t>
            </w:r>
          </w:p>
        </w:tc>
        <w:tc>
          <w:tcPr>
            <w:tcW w:w="1150" w:type="dxa"/>
          </w:tcPr>
          <w:p>
            <w:pPr>
              <w:pStyle w:val="Compact"/>
              <w:jc w:val="left"/>
            </w:pPr>
            <w:r>
              <w:t xml:space="preserve">Priority</w:t>
            </w:r>
          </w:p>
        </w:tc>
        <w:tc>
          <w:tcPr>
            <w:tcW w:w="1380" w:type="dxa"/>
          </w:tcPr>
          <w:p>
            <w:pPr>
              <w:pStyle w:val="Compact"/>
              <w:jc w:val="left"/>
            </w:pPr>
            <w:r>
              <w:t xml:space="preserve">Route</w:t>
            </w:r>
          </w:p>
        </w:tc>
        <w:tc>
          <w:tcPr>
            <w:tcW w:w="2717" w:type="dxa"/>
          </w:tcPr>
          <w:p>
            <w:pPr>
              <w:pStyle w:val="Compact"/>
              <w:jc w:val="left"/>
            </w:pPr>
            <w:r>
              <w:t xml:space="preserve">Why</w:t>
            </w:r>
          </w:p>
        </w:tc>
      </w:tr>
      <w:tr>
        <w:tc>
          <w:tcPr>
            <w:tcW w:w="3192" w:type="dxa"/>
          </w:tcPr>
          <w:p>
            <w:pPr>
              <w:pStyle w:val="Compact"/>
              <w:jc w:val="left"/>
            </w:pPr>
            <w:r>
              <w:t xml:space="preserve">"Why did the standard cost of item [COMPANY: item] rise 12% this period?" (pricing review in 2 weeks)</w:t>
            </w:r>
          </w:p>
        </w:tc>
        <w:tc>
          <w:tcPr>
            <w:tcW w:w="920" w:type="dxa"/>
          </w:tcPr>
          <w:p>
            <w:pPr>
              <w:pStyle w:val="Compact"/>
              <w:jc w:val="left"/>
            </w:pPr>
            <w:r>
              <w:t xml:space="preserve">2 / 2 / 2 / 2</w:t>
            </w:r>
          </w:p>
        </w:tc>
        <w:tc>
          <w:tcPr>
            <w:tcW w:w="1150" w:type="dxa"/>
          </w:tcPr>
          <w:p>
            <w:pPr>
              <w:pStyle w:val="Compact"/>
              <w:jc w:val="left"/>
            </w:pPr>
            <w:r>
              <w:t xml:space="preserve">P3</w:t>
            </w:r>
          </w:p>
        </w:tc>
        <w:tc>
          <w:tcPr>
            <w:tcW w:w="1380" w:type="dxa"/>
          </w:tcPr>
          <w:p>
            <w:pPr>
              <w:pStyle w:val="Compact"/>
              <w:jc w:val="left"/>
            </w:pPr>
            <w:r>
              <w:t xml:space="preserve">Story (Standard Cost)</w:t>
            </w:r>
          </w:p>
        </w:tc>
        <w:tc>
          <w:tcPr>
            <w:tcW w:w="2717" w:type="dxa"/>
          </w:tcPr>
          <w:p>
            <w:pPr>
              <w:pStyle w:val="Compact"/>
              <w:jc w:val="left"/>
            </w:pPr>
            <w:r>
              <w:t xml:space="preserve">One analysis, one maker, under 5 days</w:t>
            </w:r>
          </w:p>
        </w:tc>
      </w:tr>
      <w:tr>
        <w:tc>
          <w:tcPr>
            <w:tcW w:w="3192" w:type="dxa"/>
          </w:tcPr>
          <w:p>
            <w:pPr>
              <w:pStyle w:val="Compact"/>
              <w:jc w:val="left"/>
            </w:pPr>
            <w:r>
              <w:t xml:space="preserve">"What's the Canadian classification of item [COMPANY: item]?"</w:t>
            </w:r>
          </w:p>
        </w:tc>
        <w:tc>
          <w:tcPr>
            <w:tcW w:w="920" w:type="dxa"/>
          </w:tcPr>
          <w:p>
            <w:pPr>
              <w:pStyle w:val="Compact"/>
              <w:jc w:val="left"/>
            </w:pPr>
            <w:r>
              <w:t xml:space="preserve">1 / 1 / 1 / 1</w:t>
            </w:r>
          </w:p>
        </w:tc>
        <w:tc>
          <w:tcPr>
            <w:tcW w:w="1150" w:type="dxa"/>
          </w:tcPr>
          <w:p>
            <w:pPr>
              <w:pStyle w:val="Compact"/>
              <w:jc w:val="left"/>
            </w:pPr>
            <w:r>
              <w:t xml:space="preserve">P3</w:t>
            </w:r>
          </w:p>
        </w:tc>
        <w:tc>
          <w:tcPr>
            <w:tcW w:w="1380" w:type="dxa"/>
          </w:tcPr>
          <w:p>
            <w:pPr>
              <w:pStyle w:val="Compact"/>
              <w:jc w:val="left"/>
            </w:pPr>
            <w:r>
              <w:t xml:space="preserve">Quick answer</w:t>
            </w:r>
          </w:p>
        </w:tc>
        <w:tc>
          <w:tcPr>
            <w:tcW w:w="2717" w:type="dxa"/>
          </w:tcPr>
          <w:p>
            <w:pPr>
              <w:pStyle w:val="Compact"/>
              <w:jc w:val="left"/>
            </w:pPr>
            <w:r>
              <w:t xml:space="preserve">Readable in the classification master in 5 minutes; nothing produced</w:t>
            </w:r>
          </w:p>
        </w:tc>
      </w:tr>
      <w:tr>
        <w:tc>
          <w:tcPr>
            <w:tcW w:w="3192" w:type="dxa"/>
          </w:tcPr>
          <w:p>
            <w:pPr>
              <w:pStyle w:val="Compact"/>
              <w:jc w:val="left"/>
            </w:pPr>
            <w:r>
              <w:t xml:space="preserve">"The [COMPANY: tool closest to Research] export file drops the leading zero on chapter 01 to 09 HTS codes"</w:t>
            </w:r>
          </w:p>
        </w:tc>
        <w:tc>
          <w:tcPr>
            <w:tcW w:w="920" w:type="dxa"/>
          </w:tcPr>
          <w:p>
            <w:pPr>
              <w:pStyle w:val="Compact"/>
              <w:jc w:val="left"/>
            </w:pPr>
            <w:r>
              <w:t xml:space="preserve">3 / 3 / 3 / 1</w:t>
            </w:r>
          </w:p>
        </w:tc>
        <w:tc>
          <w:tcPr>
            <w:tcW w:w="1150" w:type="dxa"/>
          </w:tcPr>
          <w:p>
            <w:pPr>
              <w:pStyle w:val="Compact"/>
              <w:jc w:val="left"/>
            </w:pPr>
            <w:r>
              <w:t xml:space="preserve">P1</w:t>
            </w:r>
          </w:p>
        </w:tc>
        <w:tc>
          <w:tcPr>
            <w:tcW w:w="1380" w:type="dxa"/>
          </w:tcPr>
          <w:p>
            <w:pPr>
              <w:pStyle w:val="Compact"/>
              <w:jc w:val="left"/>
            </w:pPr>
            <w:r>
              <w:t xml:space="preserve">Bug plus change request</w:t>
            </w:r>
          </w:p>
        </w:tc>
        <w:tc>
          <w:tcPr>
            <w:tcW w:w="2717" w:type="dxa"/>
          </w:tcPr>
          <w:p>
            <w:pPr>
              <w:pStyle w:val="Compact"/>
              <w:jc w:val="left"/>
            </w:pPr>
            <w:r>
              <w:t xml:space="preserve">Wrong data reaching brokers now</w:t>
            </w:r>
          </w:p>
        </w:tc>
      </w:tr>
      <w:tr>
        <w:tc>
          <w:tcPr>
            <w:tcW w:w="3192" w:type="dxa"/>
          </w:tcPr>
          <w:p>
            <w:pPr>
              <w:pStyle w:val="Compact"/>
              <w:jc w:val="left"/>
            </w:pPr>
            <w:r>
              <w:t xml:space="preserve">"Please file a correction on last month's entry [entry number]"</w:t>
            </w:r>
          </w:p>
        </w:tc>
        <w:tc>
          <w:tcPr>
            <w:tcW w:w="920" w:type="dxa"/>
          </w:tcPr>
          <w:p>
            <w:pPr>
              <w:pStyle w:val="Compact"/>
              <w:jc w:val="left"/>
            </w:pPr>
            <w:r>
              <w:t xml:space="preserve">2 / 2 / 3 / 1</w:t>
            </w:r>
          </w:p>
        </w:tc>
        <w:tc>
          <w:tcPr>
            <w:tcW w:w="1150" w:type="dxa"/>
          </w:tcPr>
          <w:p>
            <w:pPr>
              <w:pStyle w:val="Compact"/>
              <w:jc w:val="left"/>
            </w:pPr>
            <w:r>
              <w:t xml:space="preserve">n/a</w:t>
            </w:r>
          </w:p>
        </w:tc>
        <w:tc>
          <w:tcPr>
            <w:tcW w:w="1380" w:type="dxa"/>
          </w:tcPr>
          <w:p>
            <w:pPr>
              <w:pStyle w:val="Compact"/>
              <w:jc w:val="left"/>
            </w:pPr>
            <w:r>
              <w:t xml:space="preserve">Decline (redirect)</w:t>
            </w:r>
          </w:p>
        </w:tc>
        <w:tc>
          <w:tcPr>
            <w:tcW w:w="2717" w:type="dxa"/>
          </w:tcPr>
          <w:p>
            <w:pPr>
              <w:pStyle w:val="Compact"/>
              <w:jc w:val="left"/>
            </w:pPr>
            <w:r>
              <w:t xml:space="preserve">The broker files corrections. Log the finding; the Manager decides on contacting the broker</w:t>
            </w:r>
          </w:p>
        </w:tc>
      </w:tr>
      <w:tr>
        <w:tc>
          <w:tcPr>
            <w:tcW w:w="3192" w:type="dxa"/>
          </w:tcPr>
          <w:p>
            <w:pPr>
              <w:pStyle w:val="Compact"/>
              <w:jc w:val="left"/>
            </w:pPr>
            <w:r>
              <w:t xml:space="preserve">"Replace the AS400 classification screens with e2open"</w:t>
            </w:r>
          </w:p>
        </w:tc>
        <w:tc>
          <w:tcPr>
            <w:tcW w:w="920" w:type="dxa"/>
          </w:tcPr>
          <w:p>
            <w:pPr>
              <w:pStyle w:val="Compact"/>
              <w:jc w:val="left"/>
            </w:pPr>
            <w:r>
              <w:t xml:space="preserve">3 / 2 / 3 / 3</w:t>
            </w:r>
          </w:p>
        </w:tc>
        <w:tc>
          <w:tcPr>
            <w:tcW w:w="1150" w:type="dxa"/>
          </w:tcPr>
          <w:p>
            <w:pPr>
              <w:pStyle w:val="Compact"/>
              <w:jc w:val="left"/>
            </w:pPr>
            <w:r>
              <w:t xml:space="preserve">P2</w:t>
            </w:r>
          </w:p>
        </w:tc>
        <w:tc>
          <w:tcPr>
            <w:tcW w:w="1380" w:type="dxa"/>
          </w:tcPr>
          <w:p>
            <w:pPr>
              <w:pStyle w:val="Compact"/>
              <w:jc w:val="left"/>
            </w:pPr>
            <w:r>
              <w:t xml:space="preserve">Epic (part of the e2open project, M10)</w:t>
            </w:r>
          </w:p>
        </w:tc>
        <w:tc>
          <w:tcPr>
            <w:tcW w:w="2717" w:type="dxa"/>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2026-10-17T03:02:33Z</dcterms:created>
  <dcterms:modified xsi:type="dcterms:W3CDTF">2026-10-17T03:02:33Z</dcterms:modified>
</cp:coreProperties>
</file>

<file path=docProps/custom.xml><?xml version="1.0" encoding="utf-8"?>
<Properties xmlns="http://schemas.openxmlformats.org/officeDocument/2006/custom-properties" xmlns:vt="http://schemas.openxmlformats.org/officeDocument/2006/docPropsVTypes"/>
</file>