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teach-back-template"/>
    <w:p>
      <w:pPr>
        <w:pStyle w:val="Heading1"/>
      </w:pPr>
      <w:r>
        <w:t xml:space="preserve">Teach-Back Template</w:t>
      </w:r>
    </w:p>
    <w:p>
      <w:pPr>
        <w:pStyle w:val="FirstParagraph"/>
      </w:pPr>
      <w:r>
        <w:t xml:space="preserve">Last updated: 2026-10-08 · Owner: BSA Manager</w:t>
      </w:r>
    </w:p>
    <w:p>
      <w:pPr>
        <w:numPr>
          <w:ilvl w:val="0"/>
          <w:numId w:val="1001"/>
        </w:numPr>
        <w:pStyle w:val="Compact"/>
      </w:pPr>
      <w:r>
        <w:rPr>
          <w:bCs/>
          <w:b/>
        </w:rPr>
        <w:t xml:space="preserve">Purpose:</w:t>
      </w:r>
      <w:r>
        <w:t xml:space="preserve"> </w:t>
      </w:r>
      <w:r>
        <w:t xml:space="preserve">a short weekly session where each hire explains a topic to the others as if they had to teach it. Explaining exposes gaps faster than re-reading, and the errors found become corrected notes, Anki cards and SOP lines. It is also how the trainers check understanding without extra teaching time.</w:t>
      </w:r>
    </w:p>
    <w:p>
      <w:pPr>
        <w:numPr>
          <w:ilvl w:val="0"/>
          <w:numId w:val="1001"/>
        </w:numPr>
        <w:pStyle w:val="Compact"/>
      </w:pPr>
      <w:r>
        <w:rPr>
          <w:bCs/>
          <w:b/>
        </w:rPr>
        <w:t xml:space="preserve">Who uses it:</w:t>
      </w:r>
      <w:r>
        <w:t xml:space="preserve"> </w:t>
      </w:r>
      <w:r>
        <w:t xml:space="preserve">Hire A and Hire B present. The Manager attends, scores and gives feedback. The other hire asks questions and keeps time. The Senior joins only when the topic is in their area and the slot fits their 4 to 5 hours that week.</w:t>
      </w:r>
    </w:p>
    <w:p>
      <w:pPr>
        <w:numPr>
          <w:ilvl w:val="0"/>
          <w:numId w:val="1001"/>
        </w:numPr>
        <w:pStyle w:val="Compact"/>
      </w:pPr>
      <w:r>
        <w:rPr>
          <w:bCs/>
          <w:b/>
        </w:rPr>
        <w:t xml:space="preserve">When:</w:t>
      </w:r>
      <w:r>
        <w:t xml:space="preserve"> </w:t>
      </w:r>
      <w:r>
        <w:t xml:space="preserve">the Friday teach-back, 30 minutes for both hires (15 minutes each), from Fri 10/30 (W2). None in W6 and W11; on the last working day in W10; inside the milestone review in W9 (the owned-tool demo) and W13. Targets: 3 by day 30, 6 by day 60, 9 by day 90 (</w:t>
      </w:r>
      <w:r>
        <w:rPr>
          <w:rStyle w:val="VerbatimChar"/>
        </w:rPr>
        <w:t xml:space="preserve">docs/01-30-60-90-plan.md</w:t>
      </w:r>
      <w:r>
        <w:t xml:space="preserve">). Module M0, then whichever module the topic belongs to.</w:t>
      </w:r>
    </w:p>
    <w:bookmarkStart w:id="20" w:name="format-15-minutes-per-hire"/>
    <w:p>
      <w:pPr>
        <w:pStyle w:val="Heading2"/>
      </w:pPr>
      <w:r>
        <w:t xml:space="preserve">Format (15 minutes per hire)</w:t>
      </w:r>
    </w:p>
    <w:tbl>
      <w:tblPr>
        <w:tblStyle w:val="Table"/>
        <w:tblW w:type="dxa" w:w="9360"/>
        <w:tblLook w:firstRow="1" w:lastRow="0" w:firstColumn="0" w:lastColumn="0" w:noHBand="0" w:noVBand="0" w:val="0020"/>
        <w:jc w:val="start"/>
        <w:tblLayout w:type="fixed"/>
      </w:tblPr>
      <w:tblGrid>
        <w:gridCol w:w="1265"/>
        <w:gridCol w:w="2623"/>
        <w:gridCol w:w="5471"/>
      </w:tblGrid>
      <w:tr>
        <w:trPr>
          <w:tblHeader w:val="true"/>
        </w:trPr>
        <w:tc>
          <w:tcPr>
            <w:tcW w:w="1265" w:type="dxa"/>
          </w:tcPr>
          <w:p>
            <w:pPr>
              <w:pStyle w:val="Compact"/>
              <w:jc w:val="left"/>
            </w:pPr>
            <w:r>
              <w:t xml:space="preserve">Part</w:t>
            </w:r>
          </w:p>
        </w:tc>
        <w:tc>
          <w:tcPr>
            <w:tcW w:w="2623" w:type="dxa"/>
          </w:tcPr>
          <w:p>
            <w:pPr>
              <w:pStyle w:val="Compact"/>
              <w:jc w:val="left"/>
            </w:pPr>
            <w:r>
              <w:t xml:space="preserve">Time</w:t>
            </w:r>
          </w:p>
        </w:tc>
        <w:tc>
          <w:tcPr>
            <w:tcW w:w="5471" w:type="dxa"/>
          </w:tcPr>
          <w:p>
            <w:pPr>
              <w:pStyle w:val="Compact"/>
              <w:jc w:val="left"/>
            </w:pPr>
            <w:r>
              <w:t xml:space="preserve">What happens</w:t>
            </w:r>
          </w:p>
        </w:tc>
      </w:tr>
      <w:tr>
        <w:tc>
          <w:tcPr>
            <w:tcW w:w="1265" w:type="dxa"/>
          </w:tcPr>
          <w:p>
            <w:pPr>
              <w:pStyle w:val="Compact"/>
              <w:jc w:val="left"/>
            </w:pPr>
            <w:r>
              <w:t xml:space="preserve">Explain</w:t>
            </w:r>
          </w:p>
        </w:tc>
        <w:tc>
          <w:tcPr>
            <w:tcW w:w="2623" w:type="dxa"/>
          </w:tcPr>
          <w:p>
            <w:pPr>
              <w:pStyle w:val="Compact"/>
              <w:jc w:val="left"/>
            </w:pPr>
            <w:r>
              <w:t xml:space="preserve">10 min, hard stop</w:t>
            </w:r>
          </w:p>
        </w:tc>
        <w:tc>
          <w:tcPr>
            <w:tcW w:w="5471" w:type="dxa"/>
          </w:tcPr>
          <w:p>
            <w:pPr>
              <w:pStyle w:val="Compact"/>
              <w:jc w:val="left"/>
            </w:pPr>
            <w:r>
              <w:t xml:space="preserve">The hire teaches the topic: 3 key points, one real example, one simple diagram or table. No reading from slides</w:t>
            </w:r>
          </w:p>
        </w:tc>
      </w:tr>
      <w:tr>
        <w:tc>
          <w:tcPr>
            <w:tcW w:w="1265" w:type="dxa"/>
          </w:tcPr>
          <w:p>
            <w:pPr>
              <w:pStyle w:val="Compact"/>
              <w:jc w:val="left"/>
            </w:pPr>
            <w:r>
              <w:t xml:space="preserve">Questions</w:t>
            </w:r>
          </w:p>
        </w:tc>
        <w:tc>
          <w:tcPr>
            <w:tcW w:w="2623" w:type="dxa"/>
          </w:tcPr>
          <w:p>
            <w:pPr>
              <w:pStyle w:val="Compact"/>
              <w:jc w:val="left"/>
            </w:pPr>
            <w:r>
              <w:t xml:space="preserve">3 to 4 min</w:t>
            </w:r>
          </w:p>
        </w:tc>
        <w:tc>
          <w:tcPr>
            <w:tcW w:w="5471" w:type="dxa"/>
          </w:tcPr>
          <w:p>
            <w:pPr>
              <w:pStyle w:val="Compact"/>
              <w:jc w:val="left"/>
            </w:pPr>
            <w:r>
              <w:t xml:space="preserve">The other hire asks at least one question; the Manager asks "why" and "what if" questions</w:t>
            </w:r>
          </w:p>
        </w:tc>
      </w:tr>
      <w:tr>
        <w:tc>
          <w:tcPr>
            <w:tcW w:w="1265" w:type="dxa"/>
          </w:tcPr>
          <w:p>
            <w:pPr>
              <w:pStyle w:val="Compact"/>
              <w:jc w:val="left"/>
            </w:pPr>
            <w:r>
              <w:t xml:space="preserve">Verbal feedback</w:t>
            </w:r>
          </w:p>
        </w:tc>
        <w:tc>
          <w:tcPr>
            <w:tcW w:w="2623" w:type="dxa"/>
          </w:tcPr>
          <w:p>
            <w:pPr>
              <w:pStyle w:val="Compact"/>
              <w:jc w:val="left"/>
            </w:pPr>
            <w:r>
              <w:t xml:space="preserve">1 to 2 min</w:t>
            </w:r>
          </w:p>
        </w:tc>
        <w:tc>
          <w:tcPr>
            <w:tcW w:w="5471" w:type="dxa"/>
          </w:tcPr>
          <w:p>
            <w:pPr>
              <w:pStyle w:val="Compact"/>
              <w:jc w:val="left"/>
            </w:pPr>
            <w:r>
              <w:t xml:space="preserve">The Manager gives one strength and one thing to fix, using the format below</w:t>
            </w:r>
          </w:p>
        </w:tc>
      </w:tr>
      <w:tr>
        <w:tc>
          <w:tcPr>
            <w:tcW w:w="1265" w:type="dxa"/>
          </w:tcPr>
          <w:p>
            <w:pPr>
              <w:pStyle w:val="Compact"/>
              <w:jc w:val="left"/>
            </w:pPr>
            <w:r>
              <w:t xml:space="preserve">Written record</w:t>
            </w:r>
          </w:p>
        </w:tc>
        <w:tc>
          <w:tcPr>
            <w:tcW w:w="2623" w:type="dxa"/>
          </w:tcPr>
          <w:p>
            <w:pPr>
              <w:pStyle w:val="Compact"/>
              <w:jc w:val="left"/>
            </w:pPr>
            <w:r>
              <w:t xml:space="preserve">Within 24 hours (about 5 min of the Manager's review time per hire)</w:t>
            </w:r>
          </w:p>
        </w:tc>
        <w:tc>
          <w:tcPr>
            <w:tcW w:w="5471" w:type="dxa"/>
          </w:tcPr>
          <w:p>
            <w:pPr>
              <w:pStyle w:val="Compact"/>
              <w:jc w:val="left"/>
            </w:pPr>
            <w:r>
              <w:t xml:space="preserve">Scores and notes in the hire's OneNote "Teach-backs" page, using the record table below</w:t>
            </w:r>
          </w:p>
        </w:tc>
      </w:tr>
    </w:tbl>
    <w:p>
      <w:pPr>
        <w:pStyle w:val="BodyText"/>
      </w:pPr>
      <w:r>
        <w:t xml:space="preserve">Rules:</w:t>
      </w:r>
    </w:p>
    <w:p>
      <w:pPr>
        <w:numPr>
          <w:ilvl w:val="0"/>
          <w:numId w:val="1002"/>
        </w:numPr>
        <w:pStyle w:val="Compact"/>
      </w:pPr>
      <w:r>
        <w:t xml:space="preserve">The other hire keeps time and stops the speaker at 10:00.</w:t>
      </w:r>
    </w:p>
    <w:p>
      <w:pPr>
        <w:numPr>
          <w:ilvl w:val="0"/>
          <w:numId w:val="1002"/>
        </w:numPr>
        <w:pStyle w:val="Compact"/>
      </w:pPr>
      <w:r>
        <w:t xml:space="preserve">Mix your own track with the other one: before day 30, at least one teach-back outside your own track; after the W7 and W8 tariff drill, each hire explains the other's side once (Hire A the $ model, Hire B the regulatory WHAT). The Manager may swap topics.</w:t>
      </w:r>
    </w:p>
    <w:p>
      <w:pPr>
        <w:numPr>
          <w:ilvl w:val="0"/>
          <w:numId w:val="1002"/>
        </w:numPr>
        <w:pStyle w:val="Compact"/>
      </w:pPr>
      <w:r>
        <w:t xml:space="preserve">Use a real company example where you can ([COMPANY] data stays in OneNote; nothing confidential goes into the repo or a personal account).</w:t>
      </w:r>
    </w:p>
    <w:p>
      <w:pPr>
        <w:numPr>
          <w:ilvl w:val="0"/>
          <w:numId w:val="1002"/>
        </w:numPr>
        <w:pStyle w:val="Compact"/>
      </w:pPr>
      <w:r>
        <w:t xml:space="preserve">Any factual error is corrected in your notes, cards and SOP drafts within 1 working day.</w:t>
      </w:r>
    </w:p>
    <w:bookmarkEnd w:id="20"/>
    <w:bookmarkStart w:id="21" w:name="suggested-topics-by-week"/>
    <w:p>
      <w:pPr>
        <w:pStyle w:val="Heading2"/>
      </w:pPr>
      <w:r>
        <w:t xml:space="preserve">Suggested topics by week</w:t>
      </w:r>
    </w:p>
    <w:p>
      <w:pPr>
        <w:pStyle w:val="FirstParagraph"/>
      </w:pPr>
      <w:r>
        <w:t xml:space="preserve">The Manager confirms each topic by the Monday before. These follow the plan's weekly focus; swap in live work whenever there is some.</w:t>
      </w:r>
    </w:p>
    <w:tbl>
      <w:tblPr>
        <w:tblStyle w:val="Table"/>
        <w:tblW w:type="dxa" w:w="9360"/>
        <w:tblLook w:firstRow="1" w:lastRow="0" w:firstColumn="0" w:lastColumn="0" w:noHBand="0" w:noVBand="0" w:val="0020"/>
        <w:jc w:val="start"/>
        <w:tblLayout w:type="fixed"/>
      </w:tblPr>
      <w:tblGrid>
        <w:gridCol w:w="900"/>
        <w:gridCol w:w="3682"/>
        <w:gridCol w:w="4777"/>
      </w:tblGrid>
      <w:tr>
        <w:trPr>
          <w:tblHeader w:val="true"/>
        </w:trPr>
        <w:tc>
          <w:tcPr>
            <w:tcW w:w="900" w:type="dxa"/>
          </w:tcPr>
          <w:p>
            <w:pPr>
              <w:pStyle w:val="Compact"/>
              <w:jc w:val="left"/>
            </w:pPr>
            <w:r>
              <w:t xml:space="preserve">Week</w:t>
            </w:r>
          </w:p>
        </w:tc>
        <w:tc>
          <w:tcPr>
            <w:tcW w:w="3682" w:type="dxa"/>
          </w:tcPr>
          <w:p>
            <w:pPr>
              <w:pStyle w:val="Compact"/>
              <w:jc w:val="left"/>
            </w:pPr>
            <w:r>
              <w:t xml:space="preserve">Hire A (Research)</w:t>
            </w:r>
          </w:p>
        </w:tc>
        <w:tc>
          <w:tcPr>
            <w:tcW w:w="4777" w:type="dxa"/>
          </w:tcPr>
          <w:p>
            <w:pPr>
              <w:pStyle w:val="Compact"/>
              <w:jc w:val="left"/>
            </w:pPr>
            <w:r>
              <w:t xml:space="preserve">Hire B (Standard Cost)</w:t>
            </w:r>
          </w:p>
        </w:tc>
      </w:tr>
      <w:tr>
        <w:tc>
          <w:tcPr>
            <w:tcW w:w="900" w:type="dxa"/>
          </w:tcPr>
          <w:p>
            <w:pPr>
              <w:pStyle w:val="Compact"/>
              <w:jc w:val="left"/>
            </w:pPr>
            <w:r>
              <w:t xml:space="preserve">W2</w:t>
            </w:r>
          </w:p>
        </w:tc>
        <w:tc>
          <w:tcPr>
            <w:tcW w:w="3682" w:type="dxa"/>
          </w:tcPr>
          <w:p>
            <w:pPr>
              <w:pStyle w:val="Compact"/>
              <w:jc w:val="left"/>
            </w:pPr>
            <w:r>
              <w:t xml:space="preserve">Our trade data flow: AS400, brokers, Oracle</w:t>
            </w:r>
          </w:p>
        </w:tc>
        <w:tc>
          <w:tcPr>
            <w:tcW w:w="4777" w:type="dxa"/>
          </w:tcPr>
          <w:p>
            <w:pPr>
              <w:pStyle w:val="Compact"/>
              <w:jc w:val="left"/>
            </w:pPr>
            <w:r>
              <w:t xml:space="preserve">US vs Canada vs Mexico: who files what</w:t>
            </w:r>
          </w:p>
        </w:tc>
      </w:tr>
      <w:tr>
        <w:tc>
          <w:tcPr>
            <w:tcW w:w="900" w:type="dxa"/>
          </w:tcPr>
          <w:p>
            <w:pPr>
              <w:pStyle w:val="Compact"/>
              <w:jc w:val="left"/>
            </w:pPr>
            <w:r>
              <w:t xml:space="preserve">W3</w:t>
            </w:r>
          </w:p>
        </w:tc>
        <w:tc>
          <w:tcPr>
            <w:tcW w:w="3682" w:type="dxa"/>
          </w:tcPr>
          <w:p>
            <w:pPr>
              <w:pStyle w:val="Compact"/>
              <w:jc w:val="left"/>
            </w:pPr>
            <w:r>
              <w:t xml:space="preserve">The US duty base: what is in customs value and what is not</w:t>
            </w:r>
          </w:p>
        </w:tc>
        <w:tc>
          <w:tcPr>
            <w:tcW w:w="4777" w:type="dxa"/>
          </w:tcPr>
          <w:p>
            <w:pPr>
              <w:pStyle w:val="Compact"/>
              <w:jc w:val="left"/>
            </w:pPr>
            <w:r>
              <w:t xml:space="preserve">USMCA: tariff shift vs regional value content, with one of our items</w:t>
            </w:r>
          </w:p>
        </w:tc>
      </w:tr>
      <w:tr>
        <w:tc>
          <w:tcPr>
            <w:tcW w:w="900" w:type="dxa"/>
          </w:tcPr>
          <w:p>
            <w:pPr>
              <w:pStyle w:val="Compact"/>
              <w:jc w:val="left"/>
            </w:pPr>
            <w:r>
              <w:t xml:space="preserve">W4</w:t>
            </w:r>
          </w:p>
        </w:tc>
        <w:tc>
          <w:tcPr>
            <w:tcW w:w="3682" w:type="dxa"/>
          </w:tcPr>
          <w:p>
            <w:pPr>
              <w:pStyle w:val="Compact"/>
              <w:jc w:val="left"/>
            </w:pPr>
            <w:r>
              <w:t xml:space="preserve">Landed cost of one of our items, component by component</w:t>
            </w:r>
          </w:p>
        </w:tc>
        <w:tc>
          <w:tcPr>
            <w:tcW w:w="4777" w:type="dxa"/>
          </w:tcPr>
          <w:p>
            <w:pPr>
              <w:pStyle w:val="Compact"/>
              <w:jc w:val="left"/>
            </w:pPr>
            <w:r>
              <w:t xml:space="preserve">IMMEX, Anexo 24 and Anexo 30 (formerly Anexo 31) in plain words</w:t>
            </w:r>
          </w:p>
        </w:tc>
      </w:tr>
      <w:tr>
        <w:tc>
          <w:tcPr>
            <w:tcW w:w="900" w:type="dxa"/>
          </w:tcPr>
          <w:p>
            <w:pPr>
              <w:pStyle w:val="Compact"/>
              <w:jc w:val="left"/>
            </w:pPr>
            <w:r>
              <w:t xml:space="preserve">W5</w:t>
            </w:r>
          </w:p>
        </w:tc>
        <w:tc>
          <w:tcPr>
            <w:tcW w:w="3682" w:type="dxa"/>
          </w:tcPr>
          <w:p>
            <w:pPr>
              <w:pStyle w:val="Compact"/>
              <w:jc w:val="left"/>
            </w:pPr>
            <w:r>
              <w:t xml:space="preserve">How to read a new tariff notice in 30 minutes</w:t>
            </w:r>
          </w:p>
        </w:tc>
        <w:tc>
          <w:tcPr>
            <w:tcW w:w="4777" w:type="dxa"/>
          </w:tcPr>
          <w:p>
            <w:pPr>
              <w:pStyle w:val="Compact"/>
              <w:jc w:val="left"/>
            </w:pPr>
            <w:r>
              <w:t xml:space="preserve">The standard cost cycle, using</w:t>
            </w:r>
            <w:r>
              <w:t xml:space="preserve"> </w:t>
            </w:r>
            <w:r>
              <w:rPr>
                <w:rStyle w:val="VerbatimChar"/>
              </w:rPr>
              <w:t xml:space="preserve">docs/templates/domain/standard-cost-update-checklist.md</w:t>
            </w:r>
          </w:p>
        </w:tc>
      </w:tr>
      <w:tr>
        <w:tc>
          <w:tcPr>
            <w:tcW w:w="900" w:type="dxa"/>
          </w:tcPr>
          <w:p>
            <w:pPr>
              <w:pStyle w:val="Compact"/>
              <w:jc w:val="left"/>
            </w:pPr>
            <w:r>
              <w:t xml:space="preserve">W7</w:t>
            </w:r>
          </w:p>
        </w:tc>
        <w:tc>
          <w:tcPr>
            <w:tcW w:w="3682" w:type="dxa"/>
          </w:tcPr>
          <w:p>
            <w:pPr>
              <w:pStyle w:val="Compact"/>
              <w:jc w:val="left"/>
            </w:pPr>
            <w:r>
              <w:t xml:space="preserve">The Tariff-Impact Brief for the real recent action</w:t>
            </w:r>
          </w:p>
        </w:tc>
        <w:tc>
          <w:tcPr>
            <w:tcW w:w="4777" w:type="dxa"/>
          </w:tcPr>
          <w:p>
            <w:pPr>
              <w:pStyle w:val="Compact"/>
              <w:jc w:val="left"/>
            </w:pPr>
            <w:r>
              <w:t xml:space="preserve">PPV for one closed period: the top 3 drivers</w:t>
            </w:r>
          </w:p>
        </w:tc>
      </w:tr>
      <w:tr>
        <w:tc>
          <w:tcPr>
            <w:tcW w:w="900" w:type="dxa"/>
          </w:tcPr>
          <w:p>
            <w:pPr>
              <w:pStyle w:val="Compact"/>
              <w:jc w:val="left"/>
            </w:pPr>
            <w:r>
              <w:t xml:space="preserve">W8</w:t>
            </w:r>
          </w:p>
        </w:tc>
        <w:tc>
          <w:tcPr>
            <w:tcW w:w="3682" w:type="dxa"/>
          </w:tcPr>
          <w:p>
            <w:pPr>
              <w:pStyle w:val="Compact"/>
              <w:jc w:val="left"/>
            </w:pPr>
            <w:r>
              <w:t xml:space="preserve">The Tariff-Impact Model, tab by tab (the $ side)</w:t>
            </w:r>
          </w:p>
        </w:tc>
        <w:tc>
          <w:tcPr>
            <w:tcW w:w="4777" w:type="dxa"/>
          </w:tcPr>
          <w:p>
            <w:pPr>
              <w:pStyle w:val="Compact"/>
              <w:jc w:val="left"/>
            </w:pPr>
            <w:r>
              <w:t xml:space="preserve">Stacking: how two actions combine on one item (the WHAT side)</w:t>
            </w:r>
          </w:p>
        </w:tc>
      </w:tr>
      <w:tr>
        <w:tc>
          <w:tcPr>
            <w:tcW w:w="900" w:type="dxa"/>
          </w:tcPr>
          <w:p>
            <w:pPr>
              <w:pStyle w:val="Compact"/>
              <w:jc w:val="left"/>
            </w:pPr>
            <w:r>
              <w:t xml:space="preserve">W9</w:t>
            </w:r>
          </w:p>
        </w:tc>
        <w:tc>
          <w:tcPr>
            <w:tcW w:w="3682" w:type="dxa"/>
          </w:tcPr>
          <w:p>
            <w:pPr>
              <w:pStyle w:val="Compact"/>
              <w:jc w:val="left"/>
            </w:pPr>
            <w:r>
              <w:t xml:space="preserve">Owned-tool demo inside the day-60 review (15 min)</w:t>
            </w:r>
          </w:p>
        </w:tc>
        <w:tc>
          <w:tcPr>
            <w:tcW w:w="4777" w:type="dxa"/>
          </w:tcPr>
          <w:p>
            <w:pPr>
              <w:pStyle w:val="Compact"/>
              <w:jc w:val="left"/>
            </w:pPr>
            <w:r>
              <w:t xml:space="preserve">Owned-tool demo inside the day-60 review (15 min)</w:t>
            </w:r>
          </w:p>
        </w:tc>
      </w:tr>
      <w:tr>
        <w:tc>
          <w:tcPr>
            <w:tcW w:w="900" w:type="dxa"/>
          </w:tcPr>
          <w:p>
            <w:pPr>
              <w:pStyle w:val="Compact"/>
              <w:jc w:val="left"/>
            </w:pPr>
            <w:r>
              <w:t xml:space="preserve">W10</w:t>
            </w:r>
          </w:p>
        </w:tc>
        <w:tc>
          <w:tcPr>
            <w:tcW w:w="3682" w:type="dxa"/>
          </w:tcPr>
          <w:p>
            <w:pPr>
              <w:pStyle w:val="Compact"/>
              <w:jc w:val="left"/>
            </w:pPr>
            <w:r>
              <w:t xml:space="preserve">My process as-is, for e2open</w:t>
            </w:r>
          </w:p>
        </w:tc>
        <w:tc>
          <w:tcPr>
            <w:tcW w:w="4777" w:type="dxa"/>
          </w:tcPr>
          <w:p>
            <w:pPr>
              <w:pStyle w:val="Compact"/>
              <w:jc w:val="left"/>
            </w:pPr>
            <w:r>
              <w:t xml:space="preserve">My process as-is, for e2open</w:t>
            </w:r>
          </w:p>
        </w:tc>
      </w:tr>
      <w:tr>
        <w:tc>
          <w:tcPr>
            <w:tcW w:w="900" w:type="dxa"/>
          </w:tcPr>
          <w:p>
            <w:pPr>
              <w:pStyle w:val="Compact"/>
              <w:jc w:val="left"/>
            </w:pPr>
            <w:r>
              <w:t xml:space="preserve">W12</w:t>
            </w:r>
          </w:p>
        </w:tc>
        <w:tc>
          <w:tcPr>
            <w:tcW w:w="3682" w:type="dxa"/>
          </w:tcPr>
          <w:p>
            <w:pPr>
              <w:pStyle w:val="Compact"/>
              <w:jc w:val="left"/>
            </w:pPr>
            <w:r>
              <w:t xml:space="preserve">What e2open changes for my process (after kickoff)</w:t>
            </w:r>
          </w:p>
        </w:tc>
        <w:tc>
          <w:tcPr>
            <w:tcW w:w="4777" w:type="dxa"/>
          </w:tcPr>
          <w:p>
            <w:pPr>
              <w:pStyle w:val="Compact"/>
              <w:jc w:val="left"/>
            </w:pPr>
            <w:r>
              <w:t xml:space="preserve">What e2open changes for my process (after kickoff)</w:t>
            </w:r>
          </w:p>
        </w:tc>
      </w:tr>
      <w:tr>
        <w:tc>
          <w:tcPr>
            <w:tcW w:w="900" w:type="dxa"/>
          </w:tcPr>
          <w:p>
            <w:pPr>
              <w:pStyle w:val="Compact"/>
              <w:jc w:val="left"/>
            </w:pPr>
            <w:r>
              <w:t xml:space="preserve">W13</w:t>
            </w:r>
          </w:p>
        </w:tc>
        <w:tc>
          <w:tcPr>
            <w:tcW w:w="3682" w:type="dxa"/>
          </w:tcPr>
          <w:p>
            <w:pPr>
              <w:pStyle w:val="Compact"/>
              <w:jc w:val="left"/>
            </w:pPr>
            <w:r>
              <w:t xml:space="preserve">Inside the day-90 review: my process end to end</w:t>
            </w:r>
          </w:p>
        </w:tc>
        <w:tc>
          <w:tcPr>
            <w:tcW w:w="4777" w:type="dxa"/>
          </w:tcPr>
          <w:p>
            <w:pPr>
              <w:pStyle w:val="Compact"/>
              <w:jc w:val="left"/>
            </w:pPr>
            <w:r>
              <w:t xml:space="preserve">Inside the day-90 review: my process end to end</w:t>
            </w:r>
          </w:p>
        </w:tc>
      </w:tr>
    </w:tbl>
    <w:bookmarkEnd w:id="21"/>
    <w:bookmarkStart w:id="22" w:name="prep-checklist"/>
    <w:p>
      <w:pPr>
        <w:pStyle w:val="Heading2"/>
      </w:pPr>
      <w:r>
        <w:t xml:space="preserve">Prep checklist</w:t>
      </w:r>
    </w:p>
    <w:p>
      <w:pPr>
        <w:numPr>
          <w:ilvl w:val="0"/>
          <w:numId w:val="1003"/>
        </w:numPr>
        <w:pStyle w:val="Compact"/>
      </w:pPr>
      <w:r>
        <w:t xml:space="preserve">☐ Topic confirmed with the Manager by Monday.</w:t>
      </w:r>
    </w:p>
    <w:p>
      <w:pPr>
        <w:numPr>
          <w:ilvl w:val="0"/>
          <w:numId w:val="1003"/>
        </w:numPr>
        <w:pStyle w:val="Compact"/>
      </w:pPr>
      <w:r>
        <w:t xml:space="preserve">☐ Outline by Wednesday: 3 key points, 1 real example, 1 diagram or table.</w:t>
      </w:r>
    </w:p>
    <w:p>
      <w:pPr>
        <w:numPr>
          <w:ilvl w:val="0"/>
          <w:numId w:val="1003"/>
        </w:numPr>
        <w:pStyle w:val="Compact"/>
      </w:pPr>
      <w:r>
        <w:t xml:space="preserve">☐ Every fact checked against a primary source, primer or SOP, and the sources listed at the bottom of your page.</w:t>
      </w:r>
    </w:p>
    <w:p>
      <w:pPr>
        <w:numPr>
          <w:ilvl w:val="0"/>
          <w:numId w:val="1003"/>
        </w:numPr>
        <w:pStyle w:val="Compact"/>
      </w:pPr>
      <w:r>
        <w:t xml:space="preserve">☐ Rates, thresholds and dates either avoided or stated with their date and source (</w:t>
      </w:r>
      <w:r>
        <w:rPr>
          <w:rStyle w:val="VerbatimChar"/>
        </w:rPr>
        <w:t xml:space="preserve">docs/primers/current-tariff-landscape.md</w:t>
      </w:r>
      <w:r>
        <w:t xml:space="preserve">).</w:t>
      </w:r>
    </w:p>
    <w:p>
      <w:pPr>
        <w:numPr>
          <w:ilvl w:val="0"/>
          <w:numId w:val="1003"/>
        </w:numPr>
        <w:pStyle w:val="Compact"/>
      </w:pPr>
      <w:r>
        <w:t xml:space="preserve">☐ 3 questions you expect, with your answers.</w:t>
      </w:r>
    </w:p>
    <w:p>
      <w:pPr>
        <w:numPr>
          <w:ilvl w:val="0"/>
          <w:numId w:val="1003"/>
        </w:numPr>
        <w:pStyle w:val="Compact"/>
      </w:pPr>
      <w:r>
        <w:t xml:space="preserve">☐ A short list of what you are not sure about. Saying it out loud scores well under "Gaps identified".</w:t>
      </w:r>
    </w:p>
    <w:p>
      <w:pPr>
        <w:numPr>
          <w:ilvl w:val="0"/>
          <w:numId w:val="1003"/>
        </w:numPr>
        <w:pStyle w:val="Compact"/>
      </w:pPr>
      <w:r>
        <w:t xml:space="preserve">☐ One timed rehearsal out loud. Cut to fit 10 minutes.</w:t>
      </w:r>
    </w:p>
    <w:p>
      <w:pPr>
        <w:numPr>
          <w:ilvl w:val="0"/>
          <w:numId w:val="1003"/>
        </w:numPr>
        <w:pStyle w:val="Compact"/>
      </w:pPr>
      <w:r>
        <w:t xml:space="preserve">☐ One-page OneNote summary ready to share on screen (it becomes reference material once corrected).</w:t>
      </w:r>
    </w:p>
    <w:bookmarkEnd w:id="22"/>
    <w:bookmarkStart w:id="23" w:name="rubric"/>
    <w:p>
      <w:pPr>
        <w:pStyle w:val="Heading2"/>
      </w:pPr>
      <w:r>
        <w:t xml:space="preserve">Rubric</w:t>
      </w:r>
    </w:p>
    <w:p>
      <w:pPr>
        <w:pStyle w:val="FirstParagraph"/>
      </w:pPr>
      <w:r>
        <w:t xml:space="preserve">Score each criterion 1 to 4. Score the work, not the effort. Expect mostly 2s in the first weeks, mostly 3s by day 60, and 3s with some 4s by day 90.</w:t>
      </w:r>
    </w:p>
    <w:tbl>
      <w:tblPr>
        <w:tblStyle w:val="Table"/>
        <w:tblW w:type="dxa" w:w="9360"/>
        <w:tblLook w:firstRow="1" w:lastRow="0" w:firstColumn="0" w:lastColumn="0" w:noHBand="0" w:noVBand="0" w:val="0020"/>
        <w:jc w:val="start"/>
        <w:tblLayout w:type="fixed"/>
      </w:tblPr>
      <w:tblGrid>
        <w:gridCol w:w="1380"/>
        <w:gridCol w:w="1912"/>
        <w:gridCol w:w="1617"/>
        <w:gridCol w:w="1997"/>
        <w:gridCol w:w="2453"/>
      </w:tblGrid>
      <w:tr>
        <w:trPr>
          <w:tblHeader w:val="true"/>
        </w:trPr>
        <w:tc>
          <w:tcPr>
            <w:tcW w:w="1380" w:type="dxa"/>
          </w:tcPr>
          <w:p>
            <w:pPr>
              <w:pStyle w:val="Compact"/>
              <w:jc w:val="left"/>
            </w:pPr>
            <w:r>
              <w:t xml:space="preserve">Criterion</w:t>
            </w:r>
          </w:p>
        </w:tc>
        <w:tc>
          <w:tcPr>
            <w:tcW w:w="1912" w:type="dxa"/>
          </w:tcPr>
          <w:p>
            <w:pPr>
              <w:pStyle w:val="Compact"/>
              <w:jc w:val="left"/>
            </w:pPr>
            <w:r>
              <w:t xml:space="preserve">1 Not yet</w:t>
            </w:r>
          </w:p>
        </w:tc>
        <w:tc>
          <w:tcPr>
            <w:tcW w:w="1617" w:type="dxa"/>
          </w:tcPr>
          <w:p>
            <w:pPr>
              <w:pStyle w:val="Compact"/>
              <w:jc w:val="left"/>
            </w:pPr>
            <w:r>
              <w:t xml:space="preserve">2 Developing</w:t>
            </w:r>
          </w:p>
        </w:tc>
        <w:tc>
          <w:tcPr>
            <w:tcW w:w="1997" w:type="dxa"/>
          </w:tcPr>
          <w:p>
            <w:pPr>
              <w:pStyle w:val="Compact"/>
              <w:jc w:val="left"/>
            </w:pPr>
            <w:r>
              <w:t xml:space="preserve">3 Solid</w:t>
            </w:r>
          </w:p>
        </w:tc>
        <w:tc>
          <w:tcPr>
            <w:tcW w:w="2453" w:type="dxa"/>
          </w:tcPr>
          <w:p>
            <w:pPr>
              <w:pStyle w:val="Compact"/>
              <w:jc w:val="left"/>
            </w:pPr>
            <w:r>
              <w:t xml:space="preserve">4 Strong</w:t>
            </w:r>
          </w:p>
        </w:tc>
      </w:tr>
      <w:tr>
        <w:tc>
          <w:tcPr>
            <w:tcW w:w="1380" w:type="dxa"/>
          </w:tcPr>
          <w:p>
            <w:pPr>
              <w:pStyle w:val="Compact"/>
              <w:jc w:val="left"/>
            </w:pPr>
            <w:r>
              <w:t xml:space="preserve">Accuracy</w:t>
            </w:r>
          </w:p>
        </w:tc>
        <w:tc>
          <w:tcPr>
            <w:tcW w:w="1912" w:type="dxa"/>
          </w:tcPr>
          <w:p>
            <w:pPr>
              <w:pStyle w:val="Compact"/>
              <w:jc w:val="left"/>
            </w:pPr>
            <w:r>
              <w:t xml:space="preserve">One or more material errors (wrong rule, rate basis, date logic or owner)</w:t>
            </w:r>
          </w:p>
        </w:tc>
        <w:tc>
          <w:tcPr>
            <w:tcW w:w="1617" w:type="dxa"/>
          </w:tcPr>
          <w:p>
            <w:pPr>
              <w:pStyle w:val="Compact"/>
              <w:jc w:val="left"/>
            </w:pPr>
            <w:r>
              <w:t xml:space="preserve">Minor errors or vague statements that could mislead</w:t>
            </w:r>
          </w:p>
        </w:tc>
        <w:tc>
          <w:tcPr>
            <w:tcW w:w="1997" w:type="dxa"/>
          </w:tcPr>
          <w:p>
            <w:pPr>
              <w:pStyle w:val="Compact"/>
              <w:jc w:val="left"/>
            </w:pPr>
            <w:r>
              <w:t xml:space="preserve">No errors; precise terms; sources named</w:t>
            </w:r>
          </w:p>
        </w:tc>
        <w:tc>
          <w:tcPr>
            <w:tcW w:w="2453" w:type="dxa"/>
          </w:tcPr>
          <w:p>
            <w:pPr>
              <w:pStyle w:val="Compact"/>
              <w:jc w:val="left"/>
            </w:pPr>
            <w:r>
              <w:t xml:space="preserve">No errors, and qualifies correctly where rules differ by country or action</w:t>
            </w:r>
          </w:p>
        </w:tc>
      </w:tr>
      <w:tr>
        <w:tc>
          <w:tcPr>
            <w:tcW w:w="1380" w:type="dxa"/>
          </w:tcPr>
          <w:p>
            <w:pPr>
              <w:pStyle w:val="Compact"/>
              <w:jc w:val="left"/>
            </w:pPr>
            <w:r>
              <w:t xml:space="preserve">Clarity</w:t>
            </w:r>
          </w:p>
        </w:tc>
        <w:tc>
          <w:tcPr>
            <w:tcW w:w="1912" w:type="dxa"/>
          </w:tcPr>
          <w:p>
            <w:pPr>
              <w:pStyle w:val="Compact"/>
              <w:jc w:val="left"/>
            </w:pPr>
            <w:r>
              <w:t xml:space="preserve">No structure; runs over time; jargon unexplained</w:t>
            </w:r>
          </w:p>
        </w:tc>
        <w:tc>
          <w:tcPr>
            <w:tcW w:w="1617" w:type="dxa"/>
          </w:tcPr>
          <w:p>
            <w:pPr>
              <w:pStyle w:val="Compact"/>
              <w:jc w:val="left"/>
            </w:pPr>
            <w:r>
              <w:t xml:space="preserve">Some structure; listeners need to ask what terms mean</w:t>
            </w:r>
          </w:p>
        </w:tc>
        <w:tc>
          <w:tcPr>
            <w:tcW w:w="1997" w:type="dxa"/>
          </w:tcPr>
          <w:p>
            <w:pPr>
              <w:pStyle w:val="Compact"/>
              <w:jc w:val="left"/>
            </w:pPr>
            <w:r>
              <w:t xml:space="preserve">Clear 3-point structure; terms defined; finishes in 10 minutes</w:t>
            </w:r>
          </w:p>
        </w:tc>
        <w:tc>
          <w:tcPr>
            <w:tcW w:w="2453" w:type="dxa"/>
          </w:tcPr>
          <w:p>
            <w:pPr>
              <w:pStyle w:val="Compact"/>
              <w:jc w:val="left"/>
            </w:pPr>
            <w:r>
              <w:t xml:space="preserve">A newcomer could repeat the explanation; diagram does the work</w:t>
            </w:r>
          </w:p>
        </w:tc>
      </w:tr>
      <w:tr>
        <w:tc>
          <w:tcPr>
            <w:tcW w:w="1380" w:type="dxa"/>
          </w:tcPr>
          <w:p>
            <w:pPr>
              <w:pStyle w:val="Compact"/>
              <w:jc w:val="left"/>
            </w:pPr>
            <w:r>
              <w:t xml:space="preserve">Examples</w:t>
            </w:r>
          </w:p>
        </w:tc>
        <w:tc>
          <w:tcPr>
            <w:tcW w:w="1912" w:type="dxa"/>
          </w:tcPr>
          <w:p>
            <w:pPr>
              <w:pStyle w:val="Compact"/>
              <w:jc w:val="left"/>
            </w:pPr>
            <w:r>
              <w:t xml:space="preserve">None, or a generic textbook example</w:t>
            </w:r>
          </w:p>
        </w:tc>
        <w:tc>
          <w:tcPr>
            <w:tcW w:w="1617" w:type="dxa"/>
          </w:tcPr>
          <w:p>
            <w:pPr>
              <w:pStyle w:val="Compact"/>
              <w:jc w:val="left"/>
            </w:pPr>
            <w:r>
              <w:t xml:space="preserve">One example, loosely connected</w:t>
            </w:r>
          </w:p>
        </w:tc>
        <w:tc>
          <w:tcPr>
            <w:tcW w:w="1997" w:type="dxa"/>
          </w:tcPr>
          <w:p>
            <w:pPr>
              <w:pStyle w:val="Compact"/>
              <w:jc w:val="left"/>
            </w:pPr>
            <w:r>
              <w:t xml:space="preserve">A real company or realistic example that shows the main point</w:t>
            </w:r>
          </w:p>
        </w:tc>
        <w:tc>
          <w:tcPr>
            <w:tcW w:w="2453" w:type="dxa"/>
          </w:tcPr>
          <w:p>
            <w:pPr>
              <w:pStyle w:val="Compact"/>
              <w:jc w:val="left"/>
            </w:pPr>
            <w:r>
              <w:t xml:space="preserve">Several well-chosen examples, including an edge case or exception</w:t>
            </w:r>
          </w:p>
        </w:tc>
      </w:tr>
      <w:tr>
        <w:tc>
          <w:tcPr>
            <w:tcW w:w="1380" w:type="dxa"/>
          </w:tcPr>
          <w:p>
            <w:pPr>
              <w:pStyle w:val="Compact"/>
              <w:jc w:val="left"/>
            </w:pPr>
            <w:r>
              <w:t xml:space="preserve">Handling questions</w:t>
            </w:r>
          </w:p>
        </w:tc>
        <w:tc>
          <w:tcPr>
            <w:tcW w:w="1912" w:type="dxa"/>
          </w:tcPr>
          <w:p>
            <w:pPr>
              <w:pStyle w:val="Compact"/>
              <w:jc w:val="left"/>
            </w:pPr>
            <w:r>
              <w:t xml:space="preserve">Guesses, or cannot answer</w:t>
            </w:r>
          </w:p>
        </w:tc>
        <w:tc>
          <w:tcPr>
            <w:tcW w:w="1617" w:type="dxa"/>
          </w:tcPr>
          <w:p>
            <w:pPr>
              <w:pStyle w:val="Compact"/>
              <w:jc w:val="left"/>
            </w:pPr>
            <w:r>
              <w:t xml:space="preserve">Answers the "what" but not the "why"</w:t>
            </w:r>
          </w:p>
        </w:tc>
        <w:tc>
          <w:tcPr>
            <w:tcW w:w="1997" w:type="dxa"/>
          </w:tcPr>
          <w:p>
            <w:pPr>
              <w:pStyle w:val="Compact"/>
              <w:jc w:val="left"/>
            </w:pPr>
            <w:r>
              <w:t xml:space="preserve">Answers clearly, or says "I don't know" and how to find out</w:t>
            </w:r>
          </w:p>
        </w:tc>
        <w:tc>
          <w:tcPr>
            <w:tcW w:w="2453" w:type="dxa"/>
          </w:tcPr>
          <w:p>
            <w:pPr>
              <w:pStyle w:val="Compact"/>
              <w:jc w:val="left"/>
            </w:pPr>
            <w:r>
              <w:t xml:space="preserve">Answers "why" and "what if", and links to other topics</w:t>
            </w:r>
          </w:p>
        </w:tc>
      </w:tr>
      <w:tr>
        <w:tc>
          <w:tcPr>
            <w:tcW w:w="1380" w:type="dxa"/>
          </w:tcPr>
          <w:p>
            <w:pPr>
              <w:pStyle w:val="Compact"/>
              <w:jc w:val="left"/>
            </w:pPr>
            <w:r>
              <w:t xml:space="preserve">Gaps identified</w:t>
            </w:r>
          </w:p>
        </w:tc>
        <w:tc>
          <w:tcPr>
            <w:tcW w:w="1912" w:type="dxa"/>
          </w:tcPr>
          <w:p>
            <w:pPr>
              <w:pStyle w:val="Compact"/>
              <w:jc w:val="left"/>
            </w:pPr>
            <w:r>
              <w:t xml:space="preserve">Does not see own gaps</w:t>
            </w:r>
          </w:p>
        </w:tc>
        <w:tc>
          <w:tcPr>
            <w:tcW w:w="1617" w:type="dxa"/>
          </w:tcPr>
          <w:p>
            <w:pPr>
              <w:pStyle w:val="Compact"/>
              <w:jc w:val="left"/>
            </w:pPr>
            <w:r>
              <w:t xml:space="preserve">Names gaps only when asked</w:t>
            </w:r>
          </w:p>
        </w:tc>
        <w:tc>
          <w:tcPr>
            <w:tcW w:w="1997" w:type="dxa"/>
          </w:tcPr>
          <w:p>
            <w:pPr>
              <w:pStyle w:val="Compact"/>
              <w:jc w:val="left"/>
            </w:pPr>
            <w:r>
              <w:t xml:space="preserve">Names own gaps and a plan to close each one</w:t>
            </w:r>
          </w:p>
        </w:tc>
        <w:tc>
          <w:tcPr>
            <w:tcW w:w="2453" w:type="dxa"/>
          </w:tcPr>
          <w:p>
            <w:pPr>
              <w:pStyle w:val="Compact"/>
              <w:jc w:val="left"/>
            </w:pPr>
            <w:r>
              <w:t xml:space="preserve">Names gaps, and has already logged the questions and asked the right person</w:t>
            </w:r>
          </w:p>
        </w:tc>
      </w:tr>
    </w:tbl>
    <w:p>
      <w:pPr>
        <w:pStyle w:val="BodyText"/>
      </w:pPr>
      <w:r>
        <w:t xml:space="preserve">Follow-up rule: an Accuracy score of 1 means the topic comes back as a 5-minute redo the next Friday, after corrections. A teach-back counts toward the target when it is delivered and its record is complete.</w:t>
      </w:r>
    </w:p>
    <w:bookmarkEnd w:id="23"/>
    <w:bookmarkStart w:id="24" w:name="how-trainers-give-feedback"/>
    <w:p>
      <w:pPr>
        <w:pStyle w:val="Heading2"/>
      </w:pPr>
      <w:r>
        <w:t xml:space="preserve">How trainers give feedback</w:t>
      </w:r>
    </w:p>
    <w:p>
      <w:pPr>
        <w:numPr>
          <w:ilvl w:val="0"/>
          <w:numId w:val="1004"/>
        </w:numPr>
        <w:pStyle w:val="Compact"/>
      </w:pPr>
      <w:r>
        <w:rPr>
          <w:bCs/>
          <w:b/>
        </w:rPr>
        <w:t xml:space="preserve">Format: Situation, Behaviour, Impact.</w:t>
      </w:r>
      <w:r>
        <w:t xml:space="preserve"> </w:t>
      </w:r>
      <w:r>
        <w:t xml:space="preserve">"In today's teach-back (S), you showed the entry date deciding the duty rate with a real entry (B). That's the exact point people get wrong in cost files, and now both of you have it (I)."</w:t>
      </w:r>
    </w:p>
    <w:p>
      <w:pPr>
        <w:numPr>
          <w:ilvl w:val="0"/>
          <w:numId w:val="1004"/>
        </w:numPr>
        <w:pStyle w:val="Compact"/>
      </w:pPr>
      <w:r>
        <w:rPr>
          <w:bCs/>
          <w:b/>
        </w:rPr>
        <w:t xml:space="preserve">One strength and one fix,</w:t>
      </w:r>
      <w:r>
        <w:t xml:space="preserve"> </w:t>
      </w:r>
      <w:r>
        <w:t xml:space="preserve">live, in under 2 minutes. More detail goes in the written record.</w:t>
      </w:r>
    </w:p>
    <w:p>
      <w:pPr>
        <w:numPr>
          <w:ilvl w:val="0"/>
          <w:numId w:val="1004"/>
        </w:numPr>
        <w:pStyle w:val="Compact"/>
      </w:pPr>
      <w:r>
        <w:rPr>
          <w:bCs/>
          <w:b/>
        </w:rPr>
        <w:t xml:space="preserve">Correct facts on the spot.</w:t>
      </w:r>
      <w:r>
        <w:t xml:space="preserve"> </w:t>
      </w:r>
      <w:r>
        <w:t xml:space="preserve">A material error is corrected before the session ends, so the other hire does not learn it.</w:t>
      </w:r>
    </w:p>
    <w:p>
      <w:pPr>
        <w:numPr>
          <w:ilvl w:val="0"/>
          <w:numId w:val="1004"/>
        </w:numPr>
        <w:pStyle w:val="Compact"/>
      </w:pPr>
      <w:r>
        <w:rPr>
          <w:bCs/>
          <w:b/>
        </w:rPr>
        <w:t xml:space="preserve">Ask, don't tell, first.</w:t>
      </w:r>
      <w:r>
        <w:t xml:space="preserve"> </w:t>
      </w:r>
      <w:r>
        <w:t xml:space="preserve">"What would change if the goods came from Mexico?" finds gaps better than a lecture.</w:t>
      </w:r>
    </w:p>
    <w:p>
      <w:pPr>
        <w:numPr>
          <w:ilvl w:val="0"/>
          <w:numId w:val="1004"/>
        </w:numPr>
        <w:pStyle w:val="Compact"/>
      </w:pPr>
      <w:r>
        <w:rPr>
          <w:bCs/>
          <w:b/>
        </w:rPr>
        <w:t xml:space="preserve">Write it down within 24 hours</w:t>
      </w:r>
      <w:r>
        <w:t xml:space="preserve"> </w:t>
      </w:r>
      <w:r>
        <w:t xml:space="preserve">in the record table, with the scores and the agreed actions. Review trends in the 1:1 (</w:t>
      </w:r>
      <w:r>
        <w:rPr>
          <w:rStyle w:val="VerbatimChar"/>
        </w:rPr>
        <w:t xml:space="preserve">docs/03-check-ins-and-scorecards.md</w:t>
      </w:r>
      <w:r>
        <w:t xml:space="preserve">).</w:t>
      </w:r>
    </w:p>
    <w:p>
      <w:pPr>
        <w:numPr>
          <w:ilvl w:val="0"/>
          <w:numId w:val="1004"/>
        </w:numPr>
        <w:pStyle w:val="Compact"/>
      </w:pPr>
      <w:r>
        <w:rPr>
          <w:bCs/>
          <w:b/>
        </w:rPr>
        <w:t xml:space="preserve">Peer feedback:</w:t>
      </w:r>
      <w:r>
        <w:t xml:space="preserve"> </w:t>
      </w:r>
      <w:r>
        <w:t xml:space="preserve">the other hire writes one line in the record: "I learned..." or "I'm still unsure about...".</w:t>
      </w:r>
    </w:p>
    <w:bookmarkEnd w:id="24"/>
    <w:bookmarkStart w:id="25" w:name="Xcdaaa45797fa0542d570f215a5b1b030d64f9ba"/>
    <w:p>
      <w:pPr>
        <w:pStyle w:val="Heading2"/>
      </w:pPr>
      <w:r>
        <w:t xml:space="preserve">Record (one row per teach-back, on the hire's OneNote page)</w:t>
      </w:r>
    </w:p>
    <w:tbl>
      <w:tblPr>
        <w:tblStyle w:val="Table"/>
        <w:tblW w:type="dxa" w:w="9360"/>
        <w:tblLook w:firstRow="1" w:lastRow="0" w:firstColumn="0" w:lastColumn="0" w:noHBand="0" w:noVBand="0" w:val="0020"/>
        <w:jc w:val="start"/>
        <w:tblLayout w:type="fixed"/>
      </w:tblPr>
      <w:tblGrid>
        <w:gridCol w:w="1632"/>
        <w:gridCol w:w="1404"/>
        <w:gridCol w:w="1265"/>
        <w:gridCol w:w="1406"/>
        <w:gridCol w:w="1989"/>
        <w:gridCol w:w="1662"/>
      </w:tblGrid>
      <w:tr>
        <w:trPr>
          <w:tblHeader w:val="true"/>
        </w:trPr>
        <w:tc>
          <w:tcPr>
            <w:tcW w:w="1632" w:type="dxa"/>
          </w:tcPr>
          <w:p>
            <w:pPr>
              <w:pStyle w:val="Compact"/>
              <w:jc w:val="left"/>
            </w:pPr>
            <w:r>
              <w:t xml:space="preserve">Date and topic (module)</w:t>
            </w:r>
          </w:p>
        </w:tc>
        <w:tc>
          <w:tcPr>
            <w:tcW w:w="1404" w:type="dxa"/>
          </w:tcPr>
          <w:p>
            <w:pPr>
              <w:pStyle w:val="Compact"/>
              <w:jc w:val="left"/>
            </w:pPr>
            <w:r>
              <w:t xml:space="preserve">Scores: Acc / Cla / Ex / Q / Gaps</w:t>
            </w:r>
          </w:p>
        </w:tc>
        <w:tc>
          <w:tcPr>
            <w:tcW w:w="1265" w:type="dxa"/>
          </w:tcPr>
          <w:p>
            <w:pPr>
              <w:pStyle w:val="Compact"/>
              <w:jc w:val="left"/>
            </w:pPr>
            <w:r>
              <w:t xml:space="preserve">Strength</w:t>
            </w:r>
          </w:p>
        </w:tc>
        <w:tc>
          <w:tcPr>
            <w:tcW w:w="1406" w:type="dxa"/>
          </w:tcPr>
          <w:p>
            <w:pPr>
              <w:pStyle w:val="Compact"/>
              <w:jc w:val="left"/>
            </w:pPr>
            <w:r>
              <w:t xml:space="preserve">Fix</w:t>
            </w:r>
          </w:p>
        </w:tc>
        <w:tc>
          <w:tcPr>
            <w:tcW w:w="1989" w:type="dxa"/>
          </w:tcPr>
          <w:p>
            <w:pPr>
              <w:pStyle w:val="Compact"/>
              <w:jc w:val="left"/>
            </w:pPr>
            <w:r>
              <w:t xml:space="preserve">Errors found and corrected (where, when)</w:t>
            </w:r>
          </w:p>
        </w:tc>
        <w:tc>
          <w:tcPr>
            <w:tcW w:w="1662" w:type="dxa"/>
          </w:tcPr>
          <w:p>
            <w:pPr>
              <w:pStyle w:val="Compact"/>
              <w:jc w:val="left"/>
            </w:pPr>
            <w:r>
              <w:t xml:space="preserve">Cards, SOP lines or questions created</w:t>
            </w:r>
          </w:p>
        </w:tc>
      </w:tr>
      <w:tr>
        <w:tc>
          <w:tcPr>
            <w:tcW w:w="1632" w:type="dxa"/>
          </w:tcPr>
          <w:p>
            <w:pPr>
              <w:pStyle w:val="Compact"/>
              <w:jc w:val="left"/>
            </w:pPr>
            <w:r>
              <w:t xml:space="preserve">[2026-10-30, Our trade data flow (M2)]</w:t>
            </w:r>
          </w:p>
        </w:tc>
        <w:tc>
          <w:tcPr>
            <w:tcW w:w="1404" w:type="dxa"/>
          </w:tcPr>
          <w:p>
            <w:pPr>
              <w:pStyle w:val="Compact"/>
              <w:jc w:val="left"/>
            </w:pPr>
            <w:r>
              <w:t xml:space="preserve">[3 / 2 / 3 / 2 / 3]</w:t>
            </w:r>
          </w:p>
        </w:tc>
        <w:tc>
          <w:tcPr>
            <w:tcW w:w="1265" w:type="dxa"/>
          </w:tcPr>
          <w:p>
            <w:pPr>
              <w:pStyle w:val="Compact"/>
              <w:jc w:val="left"/>
            </w:pPr>
            <w:r>
              <w:t xml:space="preserve">[Used a real shipment]</w:t>
            </w:r>
          </w:p>
        </w:tc>
        <w:tc>
          <w:tcPr>
            <w:tcW w:w="1406" w:type="dxa"/>
          </w:tcPr>
          <w:p>
            <w:pPr>
              <w:pStyle w:val="Compact"/>
              <w:jc w:val="left"/>
            </w:pPr>
            <w:r>
              <w:t xml:space="preserve">[Define "entry summary" before using it]</w:t>
            </w:r>
          </w:p>
        </w:tc>
        <w:tc>
          <w:tcPr>
            <w:tcW w:w="1989" w:type="dxa"/>
          </w:tcPr>
          <w:p>
            <w:pPr>
              <w:pStyle w:val="Compact"/>
              <w:jc w:val="left"/>
            </w:pPr>
            <w:r>
              <w:t xml:space="preserve">[Broker timing step; fixed in notes 10/30]</w:t>
            </w:r>
          </w:p>
        </w:tc>
        <w:tc>
          <w:tcPr>
            <w:tcW w:w="1662" w:type="dxa"/>
          </w:tcPr>
          <w:p>
            <w:pPr>
              <w:pStyle w:val="Compact"/>
              <w:jc w:val="left"/>
            </w:pPr>
            <w:r>
              <w:t xml:space="preserve">[3 cards; 1 question logged]</w:t>
            </w:r>
          </w:p>
        </w:tc>
      </w:tr>
    </w:tbl>
    <w:bookmarkEnd w:id="25"/>
    <w:bookmarkStart w:id="26" w:name="X5f01966152984708278f7f734cc351007feb9a1"/>
    <w:p>
      <w:pPr>
        <w:pStyle w:val="Heading2"/>
      </w:pPr>
      <w:r>
        <w:t xml:space="preserve">Quality checklist (presenter, after the session)</w:t>
      </w:r>
    </w:p>
    <w:p>
      <w:pPr>
        <w:numPr>
          <w:ilvl w:val="0"/>
          <w:numId w:val="1005"/>
        </w:numPr>
        <w:pStyle w:val="Compact"/>
      </w:pPr>
      <w:r>
        <w:t xml:space="preserve">☐ Record row complete, with scores and the strength and fix.</w:t>
      </w:r>
    </w:p>
    <w:p>
      <w:pPr>
        <w:numPr>
          <w:ilvl w:val="0"/>
          <w:numId w:val="1005"/>
        </w:numPr>
        <w:pStyle w:val="Compact"/>
      </w:pPr>
      <w:r>
        <w:t xml:space="preserve">☐ Every error found is corrected in notes, cards and SOP drafts within 1 working day.</w:t>
      </w:r>
    </w:p>
    <w:p>
      <w:pPr>
        <w:numPr>
          <w:ilvl w:val="0"/>
          <w:numId w:val="1005"/>
        </w:numPr>
        <w:pStyle w:val="Compact"/>
      </w:pPr>
      <w:r>
        <w:t xml:space="preserve">☐ New questions are in the question log.</w:t>
      </w:r>
    </w:p>
    <w:p>
      <w:pPr>
        <w:numPr>
          <w:ilvl w:val="0"/>
          <w:numId w:val="1005"/>
        </w:numPr>
        <w:pStyle w:val="Compact"/>
      </w:pPr>
      <w:r>
        <w:t xml:space="preserve">☐ At least 2 Anki cards written from the session (</w:t>
      </w:r>
      <w:r>
        <w:rPr>
          <w:rStyle w:val="VerbatimChar"/>
        </w:rPr>
        <w:t xml:space="preserve">docs/templates/knowledge/anki-card-writing-guide.md</w:t>
      </w:r>
      <w:r>
        <w:t xml:space="preserve">).</w:t>
      </w:r>
    </w:p>
    <w:p>
      <w:pPr>
        <w:numPr>
          <w:ilvl w:val="0"/>
          <w:numId w:val="1005"/>
        </w:numPr>
        <w:pStyle w:val="Compact"/>
      </w:pPr>
      <w:r>
        <w:t xml:space="preserve">☐ Count checked: the number of complete record rows on my OneNote Teach-backs page is my teach-back count for the milestone targets (A30-7, B30-7 and later) and the Friday self-report. If the topic is a row on my Knowledge tab in the trackers workbook, its Status is set to "Teach-back done".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62626"/>
      <w:sz w:val="22"/>
    </w:rPr>
  </w:style>
  <w:style w:styleId="BodyText" w:type="paragraph">
    <w:name w:val="Body Text"/>
    <w:basedOn w:val="Normal"/>
    <w:link w:val="BodyTextChar"/>
    <w:pPr>
      <w:spacing w:after="180" w:before="180"/>
    </w:pPr>
    <w:qFormat/>
    <w:rPr>
      <w:rFonts w:ascii="Calibri" w:hAnsi="Calibri"/>
      <w:color w:val="262626"/>
      <w:sz w:val="22"/>
    </w:rPr>
  </w:style>
  <w:style w:customStyle="1" w:styleId="FirstParagraph" w:type="paragraph">
    <w:name w:val="First Paragraph"/>
    <w:basedOn w:val="BodyText"/>
    <w:next w:val="BodyText"/>
    <w:qFormat/>
    <w:rPr>
      <w:rFonts w:ascii="Calibri" w:hAnsi="Calibri"/>
      <w:color w:val="262626"/>
      <w:sz w:val="22"/>
    </w:rPr>
  </w:style>
  <w:style w:customStyle="1" w:styleId="Compact" w:type="paragraph">
    <w:name w:val="Compact"/>
    <w:basedOn w:val="BodyText"/>
    <w:qFormat/>
    <w:pPr>
      <w:spacing w:after="36" w:before="36"/>
    </w:pPr>
    <w:rPr>
      <w:rFonts w:ascii="Calibri" w:hAnsi="Calibri"/>
      <w:color w:val="262626"/>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3864"/>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1F3864"/>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262626"/>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Pr>
    <w:tblStylePr w:type="firstRow">
      <w:tblPr>
        <w:jc w:val="left"/>
        <w:tblInd w:type="dxa" w:w="0"/>
      </w:tblPr>
      <w:trPr>
        <w:jc w:val="left"/>
      </w:trPr>
      <w:tcPr>
        <w:vAlign w:val="bottom"/>
        <w:tcBorders>
          <w:bottom w:val="single"/>
        </w:tcBorders>
      </w:tcPr>
    </w:tblStylePr>
    <w:tblStylePr w:type="firstRow">
      <w:rPr>
        <w:b/>
      </w:rPr>
      <w:tcPr>
        <w:shd w:color="auto" w:fill="D9E2F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2026-10-17T03:02:35Z</dcterms:created>
  <dcterms:modified xsi:type="dcterms:W3CDTF">2026-10-17T03:02:35Z</dcterms:modified>
</cp:coreProperties>
</file>

<file path=docProps/custom.xml><?xml version="1.0" encoding="utf-8"?>
<Properties xmlns="http://schemas.openxmlformats.org/officeDocument/2006/custom-properties" xmlns:vt="http://schemas.openxmlformats.org/officeDocument/2006/docPropsVTypes"/>
</file>