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FF603B" w:rsidRDefault="002D598C" w:rsidP="00A32451">
      <w:pPr>
        <w:rPr>
          <w:lang w:val="en-US"/>
        </w:rPr>
      </w:pPr>
    </w:p>
    <w:p w14:paraId="0BEA2FDC" w14:textId="77777777" w:rsidR="00916CF6" w:rsidRPr="00FF603B" w:rsidRDefault="00916CF6" w:rsidP="00916CF6">
      <w:pPr>
        <w:rPr>
          <w:lang w:val="en-US"/>
        </w:rPr>
      </w:pPr>
      <w:r w:rsidRPr="00FF603B">
        <w:rPr>
          <w:lang w:val="en-US"/>
        </w:rPr>
        <w:br w:type="page"/>
      </w:r>
    </w:p>
    <w:p w14:paraId="323AC36B" w14:textId="77777777" w:rsidR="00916CF6" w:rsidRPr="00FF603B" w:rsidRDefault="00916CF6" w:rsidP="00916CF6">
      <w:pPr>
        <w:rPr>
          <w:lang w:val="en-US"/>
        </w:rPr>
      </w:pPr>
      <w:r w:rsidRPr="00FF603B">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FF603B" w:rsidRDefault="00916CF6" w:rsidP="00916CF6">
      <w:pPr>
        <w:rPr>
          <w:lang w:val="en-US"/>
        </w:rPr>
      </w:pPr>
    </w:p>
    <w:p w14:paraId="0AC80A2C" w14:textId="77777777" w:rsidR="00F34AC1" w:rsidRPr="00FF603B" w:rsidRDefault="00F34AC1" w:rsidP="00A32451">
      <w:pPr>
        <w:rPr>
          <w:lang w:val="en-US"/>
        </w:rPr>
      </w:pPr>
    </w:p>
    <w:p w14:paraId="0436AB43" w14:textId="12636936" w:rsidR="002D598C" w:rsidRPr="00FF603B" w:rsidRDefault="00B71C38" w:rsidP="00A32451">
      <w:pPr>
        <w:rPr>
          <w:lang w:val="en-US"/>
        </w:rPr>
      </w:pPr>
      <w:r w:rsidRPr="00FF603B">
        <w:rPr>
          <w:noProof/>
          <w:lang w:val="en-US"/>
        </w:rPr>
        <mc:AlternateContent>
          <mc:Choice Requires="wps">
            <w:drawing>
              <wp:anchor distT="0" distB="0" distL="114300" distR="114300" simplePos="0" relativeHeight="251664384" behindDoc="1" locked="0" layoutInCell="1" allowOverlap="1" wp14:anchorId="1563AD83" wp14:editId="02231C16">
                <wp:simplePos x="0" y="0"/>
                <wp:positionH relativeFrom="column">
                  <wp:posOffset>-940223</wp:posOffset>
                </wp:positionH>
                <wp:positionV relativeFrom="page">
                  <wp:posOffset>-67733</wp:posOffset>
                </wp:positionV>
                <wp:extent cx="6358466" cy="8711565"/>
                <wp:effectExtent l="0" t="0" r="17145" b="13335"/>
                <wp:wrapNone/>
                <wp:docPr id="1853308397"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C7B79" id="Rectangle 1" o:spid="_x0000_s1026" style="position:absolute;margin-left:-74.05pt;margin-top:-5.35pt;width:500.65pt;height:685.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4054D7F2" w14:textId="77777777" w:rsidR="002D598C" w:rsidRPr="00FF603B" w:rsidRDefault="002D598C" w:rsidP="00A32451">
      <w:pPr>
        <w:rPr>
          <w:lang w:val="en-US"/>
        </w:rPr>
      </w:pPr>
    </w:p>
    <w:p w14:paraId="11ED3802" w14:textId="77777777" w:rsidR="002D598C" w:rsidRPr="00FF603B" w:rsidRDefault="002D598C" w:rsidP="00A32451">
      <w:pPr>
        <w:rPr>
          <w:lang w:val="en-US"/>
        </w:rPr>
      </w:pPr>
    </w:p>
    <w:p w14:paraId="363DFD58" w14:textId="64C23AED" w:rsidR="002D598C" w:rsidRPr="00FF603B" w:rsidRDefault="00953FCF" w:rsidP="00A32451">
      <w:pPr>
        <w:pStyle w:val="Heading1"/>
      </w:pPr>
      <w:r w:rsidRPr="00FF603B">
        <w:t>C</w:t>
      </w:r>
      <w:r w:rsidR="002D598C" w:rsidRPr="00FF603B">
        <w:t xml:space="preserve">hapter </w:t>
      </w:r>
      <w:r w:rsidR="00FF603B" w:rsidRPr="00FF603B">
        <w:t>7</w:t>
      </w:r>
    </w:p>
    <w:p w14:paraId="238FE18E" w14:textId="77777777" w:rsidR="002D598C" w:rsidRPr="00FF603B" w:rsidRDefault="002D598C" w:rsidP="00A32451">
      <w:pPr>
        <w:rPr>
          <w:lang w:val="en-US"/>
        </w:rPr>
      </w:pPr>
    </w:p>
    <w:p w14:paraId="61CCBA02" w14:textId="12E215B6" w:rsidR="002D598C" w:rsidRPr="00FF603B" w:rsidRDefault="005025D6" w:rsidP="00916CF6">
      <w:pPr>
        <w:jc w:val="right"/>
        <w:rPr>
          <w:color w:val="FFFFFF" w:themeColor="background1"/>
          <w:sz w:val="48"/>
          <w:szCs w:val="48"/>
          <w:lang w:val="en-US"/>
        </w:rPr>
      </w:pPr>
      <w:r>
        <w:rPr>
          <w:color w:val="FFFFFF" w:themeColor="background1"/>
          <w:sz w:val="48"/>
          <w:szCs w:val="48"/>
          <w:lang w:val="en-US"/>
        </w:rPr>
        <w:t>Deep learning directed evolution of anti-mCD25 nanobodies</w:t>
      </w:r>
    </w:p>
    <w:p w14:paraId="06FE66B8" w14:textId="77777777" w:rsidR="0017440B" w:rsidRPr="00FF603B" w:rsidRDefault="0017440B" w:rsidP="00A32451">
      <w:pPr>
        <w:rPr>
          <w:lang w:val="en-US"/>
        </w:rPr>
      </w:pPr>
    </w:p>
    <w:p w14:paraId="5BA0A5AB" w14:textId="77777777" w:rsidR="0017440B" w:rsidRPr="00FF603B" w:rsidRDefault="0017440B" w:rsidP="00A32451">
      <w:pPr>
        <w:rPr>
          <w:lang w:val="en-US"/>
        </w:rPr>
      </w:pPr>
    </w:p>
    <w:p w14:paraId="40E91BE7" w14:textId="77777777" w:rsidR="0017440B" w:rsidRPr="00FF603B" w:rsidRDefault="0017440B" w:rsidP="00A32451">
      <w:pPr>
        <w:rPr>
          <w:lang w:val="en-US"/>
        </w:rPr>
      </w:pPr>
    </w:p>
    <w:p w14:paraId="3ACB2060" w14:textId="77777777" w:rsidR="0017440B" w:rsidRPr="00FF603B" w:rsidRDefault="0017440B" w:rsidP="00A32451">
      <w:pPr>
        <w:rPr>
          <w:lang w:val="en-US"/>
        </w:rPr>
      </w:pPr>
    </w:p>
    <w:p w14:paraId="7DF1B715" w14:textId="77777777" w:rsidR="0017440B" w:rsidRPr="00FF603B" w:rsidRDefault="0017440B" w:rsidP="00A32451">
      <w:pPr>
        <w:rPr>
          <w:lang w:val="en-US"/>
        </w:rPr>
      </w:pPr>
    </w:p>
    <w:p w14:paraId="33DF2EF9" w14:textId="77777777" w:rsidR="0017440B" w:rsidRPr="00FF603B" w:rsidRDefault="0017440B" w:rsidP="00A32451">
      <w:pPr>
        <w:rPr>
          <w:lang w:val="en-US"/>
        </w:rPr>
      </w:pPr>
    </w:p>
    <w:p w14:paraId="3FB5F5AB" w14:textId="77777777" w:rsidR="0017440B" w:rsidRPr="00FF603B" w:rsidRDefault="0017440B" w:rsidP="00A32451">
      <w:pPr>
        <w:rPr>
          <w:lang w:val="en-US"/>
        </w:rPr>
      </w:pPr>
    </w:p>
    <w:p w14:paraId="56A90C7A" w14:textId="77777777" w:rsidR="0017440B" w:rsidRPr="00FF603B" w:rsidRDefault="0017440B" w:rsidP="00A32451">
      <w:pPr>
        <w:rPr>
          <w:lang w:val="en-US"/>
        </w:rPr>
      </w:pPr>
    </w:p>
    <w:p w14:paraId="607DA2A5" w14:textId="77777777" w:rsidR="0017440B" w:rsidRPr="00FF603B" w:rsidRDefault="0017440B" w:rsidP="00A32451">
      <w:pPr>
        <w:rPr>
          <w:lang w:val="en-US"/>
        </w:rPr>
      </w:pPr>
    </w:p>
    <w:p w14:paraId="6D1800DE" w14:textId="77777777" w:rsidR="0017440B" w:rsidRPr="00FF603B" w:rsidRDefault="0017440B" w:rsidP="00A32451">
      <w:pPr>
        <w:rPr>
          <w:lang w:val="en-US"/>
        </w:rPr>
      </w:pPr>
    </w:p>
    <w:p w14:paraId="389E945C" w14:textId="349B37AD" w:rsidR="0017440B" w:rsidRPr="00FF603B" w:rsidRDefault="0017440B" w:rsidP="00A32451">
      <w:pPr>
        <w:rPr>
          <w:lang w:val="en-US"/>
        </w:rPr>
      </w:pPr>
    </w:p>
    <w:p w14:paraId="5B186E62" w14:textId="6CC3CBE2" w:rsidR="0017440B" w:rsidRPr="00FF603B" w:rsidRDefault="0017440B" w:rsidP="00A32451">
      <w:pPr>
        <w:rPr>
          <w:lang w:val="en-US"/>
        </w:rPr>
      </w:pPr>
    </w:p>
    <w:p w14:paraId="2C7CBC5A" w14:textId="5574AD1F" w:rsidR="0017440B" w:rsidRPr="00FF603B" w:rsidRDefault="0017440B" w:rsidP="00A32451">
      <w:pPr>
        <w:rPr>
          <w:lang w:val="en-US"/>
        </w:rPr>
      </w:pPr>
    </w:p>
    <w:p w14:paraId="246BDC5E" w14:textId="069E359B" w:rsidR="0017440B" w:rsidRPr="00FF603B" w:rsidRDefault="0017440B" w:rsidP="00A32451">
      <w:pPr>
        <w:rPr>
          <w:lang w:val="en-US"/>
        </w:rPr>
      </w:pPr>
    </w:p>
    <w:p w14:paraId="0A753969" w14:textId="1AEC03F3" w:rsidR="002F3C7F" w:rsidRPr="00FF603B" w:rsidRDefault="002F3C7F" w:rsidP="00A32451">
      <w:pPr>
        <w:rPr>
          <w:lang w:val="en-US"/>
        </w:rPr>
      </w:pPr>
    </w:p>
    <w:p w14:paraId="593E5CC4" w14:textId="3604FDB6" w:rsidR="002F3C7F" w:rsidRPr="00FF603B" w:rsidRDefault="002F3C7F" w:rsidP="00A32451">
      <w:pPr>
        <w:rPr>
          <w:lang w:val="en-US"/>
        </w:rPr>
      </w:pPr>
      <w:r w:rsidRPr="00FF603B">
        <w:rPr>
          <w:lang w:val="en-US"/>
        </w:rPr>
        <w:br w:type="page"/>
      </w:r>
    </w:p>
    <w:p w14:paraId="76D964BC" w14:textId="1FE2EFDE" w:rsidR="0017440B" w:rsidRPr="00FF603B" w:rsidRDefault="00FF603B" w:rsidP="00A32451">
      <w:pPr>
        <w:pStyle w:val="Heading2"/>
      </w:pPr>
      <w:r w:rsidRPr="00FF603B">
        <w:lastRenderedPageBreak/>
        <w:t>7</w:t>
      </w:r>
      <w:r w:rsidR="007816CC" w:rsidRPr="00FF603B">
        <w:t xml:space="preserve">.1 </w:t>
      </w:r>
      <w:r w:rsidR="0017440B" w:rsidRPr="00FF603B">
        <w:t>Abstract</w:t>
      </w:r>
    </w:p>
    <w:p w14:paraId="6FBD2EF5" w14:textId="77777777" w:rsidR="0017440B" w:rsidRPr="00FF603B" w:rsidRDefault="0017440B" w:rsidP="00A32451">
      <w:pPr>
        <w:rPr>
          <w:lang w:val="en-US"/>
        </w:rPr>
      </w:pPr>
    </w:p>
    <w:p w14:paraId="70176933" w14:textId="6202AAC4" w:rsidR="00087411" w:rsidRPr="00FF603B" w:rsidRDefault="00087411" w:rsidP="00A32451">
      <w:pPr>
        <w:rPr>
          <w:lang w:val="en-US"/>
        </w:rPr>
      </w:pPr>
    </w:p>
    <w:p w14:paraId="69E14A7D" w14:textId="56DAAD9F" w:rsidR="00087411" w:rsidRPr="00FF603B" w:rsidRDefault="00FF603B" w:rsidP="00A32451">
      <w:pPr>
        <w:rPr>
          <w:lang w:val="en-US"/>
        </w:rPr>
      </w:pPr>
      <w:proofErr w:type="spellStart"/>
      <w:r w:rsidRPr="00FF603B">
        <w:rPr>
          <w:lang w:val="en-US"/>
        </w:rPr>
        <w:t>Bla</w:t>
      </w:r>
      <w:proofErr w:type="spellEnd"/>
      <w:r w:rsidRPr="00FF603B">
        <w:rPr>
          <w:lang w:val="en-US"/>
        </w:rPr>
        <w:t xml:space="preserve"> </w:t>
      </w:r>
      <w:proofErr w:type="spellStart"/>
      <w:r w:rsidRPr="00FF603B">
        <w:rPr>
          <w:lang w:val="en-US"/>
        </w:rPr>
        <w:t>bla</w:t>
      </w:r>
      <w:proofErr w:type="spellEnd"/>
      <w:r w:rsidRPr="00FF603B">
        <w:rPr>
          <w:lang w:val="en-US"/>
        </w:rPr>
        <w:t xml:space="preserve"> </w:t>
      </w:r>
      <w:proofErr w:type="spellStart"/>
      <w:r w:rsidRPr="00FF603B">
        <w:rPr>
          <w:lang w:val="en-US"/>
        </w:rPr>
        <w:t>bla</w:t>
      </w:r>
      <w:proofErr w:type="spellEnd"/>
    </w:p>
    <w:p w14:paraId="56FCF0DC" w14:textId="77777777" w:rsidR="008726E3" w:rsidRPr="00FF603B" w:rsidRDefault="008726E3" w:rsidP="005B21A8">
      <w:pPr>
        <w:rPr>
          <w:lang w:val="en-US"/>
        </w:rPr>
      </w:pPr>
    </w:p>
    <w:p w14:paraId="65747B48" w14:textId="77777777" w:rsidR="008726E3" w:rsidRPr="00FF603B" w:rsidRDefault="008726E3" w:rsidP="005B21A8">
      <w:pPr>
        <w:rPr>
          <w:lang w:val="en-US"/>
        </w:rPr>
      </w:pPr>
    </w:p>
    <w:p w14:paraId="62AEC1C1" w14:textId="77777777" w:rsidR="008726E3" w:rsidRPr="00FF603B" w:rsidRDefault="008726E3" w:rsidP="005B21A8">
      <w:pPr>
        <w:rPr>
          <w:lang w:val="en-US"/>
        </w:rPr>
      </w:pPr>
    </w:p>
    <w:p w14:paraId="2CAD2C89" w14:textId="77777777" w:rsidR="008726E3" w:rsidRPr="00FF603B" w:rsidRDefault="008726E3" w:rsidP="005B21A8">
      <w:pPr>
        <w:rPr>
          <w:lang w:val="en-US"/>
        </w:rPr>
      </w:pPr>
    </w:p>
    <w:p w14:paraId="2B71831B" w14:textId="77777777" w:rsidR="008726E3" w:rsidRPr="00FF603B" w:rsidRDefault="008726E3" w:rsidP="005B21A8">
      <w:pPr>
        <w:rPr>
          <w:lang w:val="en-US"/>
        </w:rPr>
      </w:pPr>
    </w:p>
    <w:p w14:paraId="373A427D" w14:textId="77777777" w:rsidR="00FF603B" w:rsidRPr="00FF603B" w:rsidRDefault="00FF603B" w:rsidP="005B21A8">
      <w:pPr>
        <w:rPr>
          <w:lang w:val="en-US"/>
        </w:rPr>
      </w:pPr>
    </w:p>
    <w:p w14:paraId="42FA3DDD" w14:textId="77777777" w:rsidR="00FF603B" w:rsidRPr="00FF603B" w:rsidRDefault="00FF603B" w:rsidP="005B21A8">
      <w:pPr>
        <w:rPr>
          <w:lang w:val="en-US"/>
        </w:rPr>
      </w:pPr>
    </w:p>
    <w:p w14:paraId="23CA54D0" w14:textId="77777777" w:rsidR="00FF603B" w:rsidRPr="00FF603B" w:rsidRDefault="00FF603B" w:rsidP="005B21A8">
      <w:pPr>
        <w:rPr>
          <w:lang w:val="en-US"/>
        </w:rPr>
      </w:pPr>
    </w:p>
    <w:p w14:paraId="2306A7A9" w14:textId="77777777" w:rsidR="00FF603B" w:rsidRPr="00FF603B" w:rsidRDefault="00FF603B" w:rsidP="005B21A8">
      <w:pPr>
        <w:rPr>
          <w:lang w:val="en-US"/>
        </w:rPr>
      </w:pPr>
    </w:p>
    <w:p w14:paraId="21FE8BD0" w14:textId="77777777" w:rsidR="00FF603B" w:rsidRPr="00FF603B" w:rsidRDefault="00FF603B" w:rsidP="005B21A8">
      <w:pPr>
        <w:rPr>
          <w:lang w:val="en-US"/>
        </w:rPr>
      </w:pPr>
    </w:p>
    <w:p w14:paraId="50924BCB" w14:textId="77777777" w:rsidR="00FF603B" w:rsidRPr="00FF603B" w:rsidRDefault="00FF603B" w:rsidP="005B21A8">
      <w:pPr>
        <w:rPr>
          <w:lang w:val="en-US"/>
        </w:rPr>
      </w:pPr>
    </w:p>
    <w:p w14:paraId="21CAC3D8" w14:textId="77777777" w:rsidR="00FF603B" w:rsidRPr="00FF603B" w:rsidRDefault="00FF603B" w:rsidP="005B21A8">
      <w:pPr>
        <w:rPr>
          <w:lang w:val="en-US"/>
        </w:rPr>
      </w:pPr>
    </w:p>
    <w:p w14:paraId="64E99EEF" w14:textId="77777777" w:rsidR="00FF603B" w:rsidRPr="00FF603B" w:rsidRDefault="00FF603B" w:rsidP="005B21A8">
      <w:pPr>
        <w:rPr>
          <w:lang w:val="en-US"/>
        </w:rPr>
      </w:pPr>
    </w:p>
    <w:p w14:paraId="4F30F841" w14:textId="77777777" w:rsidR="00FF603B" w:rsidRPr="00FF603B" w:rsidRDefault="00FF603B" w:rsidP="005B21A8">
      <w:pPr>
        <w:rPr>
          <w:lang w:val="en-US"/>
        </w:rPr>
      </w:pPr>
    </w:p>
    <w:p w14:paraId="27F49613" w14:textId="77777777" w:rsidR="00FF603B" w:rsidRPr="00FF603B" w:rsidRDefault="00FF603B" w:rsidP="005B21A8">
      <w:pPr>
        <w:rPr>
          <w:lang w:val="en-US"/>
        </w:rPr>
      </w:pPr>
    </w:p>
    <w:p w14:paraId="1E2250F1" w14:textId="77777777" w:rsidR="00FF603B" w:rsidRPr="00FF603B" w:rsidRDefault="00FF603B" w:rsidP="005B21A8">
      <w:pPr>
        <w:rPr>
          <w:lang w:val="en-US"/>
        </w:rPr>
      </w:pPr>
    </w:p>
    <w:p w14:paraId="6B7CBC6F" w14:textId="77777777" w:rsidR="00FF603B" w:rsidRPr="00FF603B" w:rsidRDefault="00FF603B" w:rsidP="005B21A8">
      <w:pPr>
        <w:rPr>
          <w:lang w:val="en-US"/>
        </w:rPr>
      </w:pPr>
    </w:p>
    <w:p w14:paraId="1759A913" w14:textId="77777777" w:rsidR="00FF603B" w:rsidRPr="00FF603B" w:rsidRDefault="00FF603B" w:rsidP="005B21A8">
      <w:pPr>
        <w:rPr>
          <w:lang w:val="en-US"/>
        </w:rPr>
      </w:pPr>
    </w:p>
    <w:p w14:paraId="5C830A1B" w14:textId="77777777" w:rsidR="00FF603B" w:rsidRPr="00FF603B" w:rsidRDefault="00FF603B" w:rsidP="005B21A8">
      <w:pPr>
        <w:rPr>
          <w:lang w:val="en-US"/>
        </w:rPr>
      </w:pPr>
    </w:p>
    <w:p w14:paraId="4E3A670C" w14:textId="77777777" w:rsidR="00FF603B" w:rsidRPr="00FF603B" w:rsidRDefault="00FF603B" w:rsidP="005B21A8">
      <w:pPr>
        <w:rPr>
          <w:lang w:val="en-US"/>
        </w:rPr>
      </w:pPr>
    </w:p>
    <w:p w14:paraId="000D3666" w14:textId="77777777" w:rsidR="00FF603B" w:rsidRPr="00FF603B" w:rsidRDefault="00FF603B" w:rsidP="005B21A8">
      <w:pPr>
        <w:rPr>
          <w:lang w:val="en-US"/>
        </w:rPr>
      </w:pPr>
    </w:p>
    <w:p w14:paraId="32F96DAC" w14:textId="77777777" w:rsidR="00FF603B" w:rsidRPr="00FF603B" w:rsidRDefault="00FF603B" w:rsidP="005B21A8">
      <w:pPr>
        <w:rPr>
          <w:lang w:val="en-US"/>
        </w:rPr>
      </w:pPr>
    </w:p>
    <w:p w14:paraId="207C9F41" w14:textId="15ECA818" w:rsidR="00A06995" w:rsidRPr="00FF603B" w:rsidRDefault="00087411" w:rsidP="005B21A8">
      <w:pPr>
        <w:rPr>
          <w:lang w:val="en-US"/>
        </w:rPr>
      </w:pPr>
      <w:r w:rsidRPr="00FF603B">
        <w:rPr>
          <w:noProof/>
          <w:lang w:val="en-US"/>
        </w:rPr>
        <mc:AlternateContent>
          <mc:Choice Requires="wps">
            <w:drawing>
              <wp:anchor distT="0" distB="0" distL="114300" distR="114300" simplePos="0" relativeHeight="251668480" behindDoc="0" locked="0" layoutInCell="1" allowOverlap="1" wp14:anchorId="6BD479EC" wp14:editId="644B9C33">
                <wp:simplePos x="0" y="0"/>
                <wp:positionH relativeFrom="column">
                  <wp:posOffset>-59902</wp:posOffset>
                </wp:positionH>
                <wp:positionV relativeFrom="paragraph">
                  <wp:posOffset>1170940</wp:posOffset>
                </wp:positionV>
                <wp:extent cx="4766310" cy="677334"/>
                <wp:effectExtent l="0" t="0" r="0" b="0"/>
                <wp:wrapNone/>
                <wp:docPr id="413276781" name="Text Box 3"/>
                <wp:cNvGraphicFramePr/>
                <a:graphic xmlns:a="http://schemas.openxmlformats.org/drawingml/2006/main">
                  <a:graphicData uri="http://schemas.microsoft.com/office/word/2010/wordprocessingShape">
                    <wps:wsp>
                      <wps:cNvSpPr txBox="1"/>
                      <wps:spPr>
                        <a:xfrm>
                          <a:off x="0" y="0"/>
                          <a:ext cx="4766310" cy="677334"/>
                        </a:xfrm>
                        <a:prstGeom prst="rect">
                          <a:avLst/>
                        </a:prstGeom>
                        <a:solidFill>
                          <a:schemeClr val="lt1"/>
                        </a:solidFill>
                        <a:ln w="6350">
                          <a:noFill/>
                        </a:ln>
                      </wps:spPr>
                      <wps:txbx>
                        <w:txbxContent>
                          <w:p w14:paraId="68170A6A" w14:textId="42506649" w:rsidR="00087411" w:rsidRPr="00784F11" w:rsidRDefault="00BE76FF" w:rsidP="00A32451">
                            <w:pPr>
                              <w:rPr>
                                <w:lang w:val="en-US"/>
                              </w:rPr>
                            </w:pPr>
                            <w:r>
                              <w:rPr>
                                <w:b/>
                                <w:bCs/>
                                <w:lang w:val="en-US"/>
                              </w:rPr>
                              <w:t>Manuscript in preparation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BD479EC" id="_x0000_t202" coordsize="21600,21600" o:spt="202" path="m,l,21600r21600,l21600,xe">
                <v:stroke joinstyle="miter"/>
                <v:path gradientshapeok="t" o:connecttype="rect"/>
              </v:shapetype>
              <v:shape id="Text Box 3" o:spid="_x0000_s1026" type="#_x0000_t202" style="position:absolute;left:0;text-align:left;margin-left:-4.7pt;margin-top:92.2pt;width:375.3pt;height:53.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" fillcolor="white [3201]" stroked="f" strokeweight=".5pt">
                <v:textbox>
                  <w:txbxContent>
                    <w:p w14:paraId="68170A6A" w14:textId="42506649" w:rsidR="00087411" w:rsidRPr="00784F11" w:rsidRDefault="00BE76FF" w:rsidP="00A32451">
                      <w:pPr>
                        <w:rPr>
                          <w:lang w:val="en-US"/>
                        </w:rPr>
                      </w:pPr>
                      <w:r>
                        <w:rPr>
                          <w:b/>
                          <w:bCs/>
                          <w:lang w:val="en-US"/>
                        </w:rPr>
                        <w:t>Manuscript in preparation</w:t>
                      </w:r>
                    </w:p>
                  </w:txbxContent>
                </v:textbox>
              </v:shape>
            </w:pict>
          </mc:Fallback>
        </mc:AlternateContent>
      </w:r>
      <w:r w:rsidR="002D598C" w:rsidRPr="00FF603B">
        <w:rPr>
          <w:lang w:val="en-US"/>
        </w:rPr>
        <w:br w:type="page"/>
      </w:r>
    </w:p>
    <w:p w14:paraId="333D1E63" w14:textId="319F1568" w:rsidR="0031545D" w:rsidRPr="00FF603B" w:rsidRDefault="00FF603B" w:rsidP="00A32451">
      <w:pPr>
        <w:pStyle w:val="Heading2"/>
        <w:rPr>
          <w:sz w:val="22"/>
          <w:szCs w:val="22"/>
        </w:rPr>
      </w:pPr>
      <w:r w:rsidRPr="00FF603B">
        <w:lastRenderedPageBreak/>
        <w:t>7</w:t>
      </w:r>
      <w:r w:rsidR="007816CC" w:rsidRPr="00FF603B">
        <w:t xml:space="preserve">.2 </w:t>
      </w:r>
      <w:r w:rsidR="0017440B" w:rsidRPr="00FF603B">
        <w:t>Introduction</w:t>
      </w:r>
    </w:p>
    <w:p w14:paraId="1C4D39D8" w14:textId="77777777" w:rsidR="00087411" w:rsidRPr="00FF603B" w:rsidRDefault="00087411" w:rsidP="00A32451">
      <w:pPr>
        <w:rPr>
          <w:lang w:val="en-US"/>
        </w:rPr>
      </w:pPr>
    </w:p>
    <w:p w14:paraId="5703B8B5" w14:textId="23BB3E1A" w:rsidR="005025D6" w:rsidRDefault="005025D6" w:rsidP="00FF603B">
      <w:pPr>
        <w:rPr>
          <w:lang w:val="en-US"/>
        </w:rPr>
      </w:pPr>
      <w:r>
        <w:rPr>
          <w:lang w:val="en-US"/>
        </w:rPr>
        <w:t>We can use deep learning not only for small molecules, but also for biologics</w:t>
      </w:r>
    </w:p>
    <w:p w14:paraId="747CCACC" w14:textId="77777777" w:rsidR="005025D6" w:rsidRDefault="005025D6" w:rsidP="00FF603B">
      <w:pPr>
        <w:rPr>
          <w:lang w:val="en-US"/>
        </w:rPr>
      </w:pPr>
    </w:p>
    <w:p w14:paraId="3302E8E3" w14:textId="6FEE78E8" w:rsidR="005025D6" w:rsidRDefault="005025D6" w:rsidP="00FF603B">
      <w:pPr>
        <w:rPr>
          <w:lang w:val="en-US"/>
        </w:rPr>
      </w:pPr>
      <w:r>
        <w:rPr>
          <w:lang w:val="en-US"/>
        </w:rPr>
        <w:t>Immune modulators are very promising, for example for cancer</w:t>
      </w:r>
    </w:p>
    <w:p w14:paraId="3636C2F7" w14:textId="77777777" w:rsidR="005025D6" w:rsidRDefault="005025D6" w:rsidP="00FF603B">
      <w:pPr>
        <w:rPr>
          <w:lang w:val="en-US"/>
        </w:rPr>
      </w:pPr>
    </w:p>
    <w:p w14:paraId="51ECFCD2" w14:textId="09DA4027" w:rsidR="00FF603B" w:rsidRDefault="005025D6" w:rsidP="00FF603B">
      <w:pPr>
        <w:rPr>
          <w:lang w:val="en-US"/>
        </w:rPr>
      </w:pPr>
      <w:r>
        <w:rPr>
          <w:lang w:val="en-US"/>
        </w:rPr>
        <w:t>However, modulating the immune system in an untargeted manner can result in immune-related off-target toxicity.</w:t>
      </w:r>
    </w:p>
    <w:p w14:paraId="47C9B7AF" w14:textId="77777777" w:rsidR="004C2B6A" w:rsidRDefault="004C2B6A" w:rsidP="00FF603B">
      <w:pPr>
        <w:rPr>
          <w:lang w:val="en-US"/>
        </w:rPr>
      </w:pPr>
    </w:p>
    <w:p w14:paraId="4EFEACCC" w14:textId="48E3E7C7" w:rsidR="004C2B6A" w:rsidRDefault="004C2B6A" w:rsidP="00FF603B">
      <w:pPr>
        <w:rPr>
          <w:lang w:val="en-US"/>
        </w:rPr>
      </w:pPr>
      <w:r>
        <w:rPr>
          <w:lang w:val="en-US"/>
        </w:rPr>
        <w:t xml:space="preserve">Nanoparticles -&gt; </w:t>
      </w:r>
      <w:proofErr w:type="spellStart"/>
      <w:r>
        <w:rPr>
          <w:lang w:val="en-US"/>
        </w:rPr>
        <w:t>aNP</w:t>
      </w:r>
      <w:proofErr w:type="spellEnd"/>
    </w:p>
    <w:p w14:paraId="2284DCD2" w14:textId="77777777" w:rsidR="004C2B6A" w:rsidRDefault="004C2B6A" w:rsidP="00FF603B">
      <w:pPr>
        <w:rPr>
          <w:lang w:val="en-US"/>
        </w:rPr>
      </w:pPr>
    </w:p>
    <w:p w14:paraId="1A0EEDFD" w14:textId="675BDF31" w:rsidR="004C2B6A" w:rsidRDefault="004C2B6A" w:rsidP="00FF603B">
      <w:pPr>
        <w:rPr>
          <w:lang w:val="en-US"/>
        </w:rPr>
      </w:pPr>
      <w:r>
        <w:rPr>
          <w:lang w:val="en-US"/>
        </w:rPr>
        <w:t>Inherent affinity for myeloid cells (macrophages, dendritic cells, monocytes, and neutrophils)</w:t>
      </w:r>
    </w:p>
    <w:p w14:paraId="521C3E52" w14:textId="77777777" w:rsidR="004C2B6A" w:rsidRDefault="004C2B6A" w:rsidP="00FF603B">
      <w:pPr>
        <w:rPr>
          <w:lang w:val="en-US"/>
        </w:rPr>
      </w:pPr>
    </w:p>
    <w:p w14:paraId="434B8D13" w14:textId="2B94FD47" w:rsidR="004C2B6A" w:rsidRPr="00FF603B" w:rsidRDefault="004C2B6A" w:rsidP="00FF603B">
      <w:pPr>
        <w:rPr>
          <w:lang w:val="en-US"/>
        </w:rPr>
      </w:pPr>
      <w:r>
        <w:rPr>
          <w:lang w:val="en-US"/>
        </w:rPr>
        <w:t xml:space="preserve">We can add an additional target moiety to expand their therapeutic use </w:t>
      </w:r>
    </w:p>
    <w:p w14:paraId="05A28E82" w14:textId="77777777" w:rsidR="005025D6" w:rsidRDefault="005025D6" w:rsidP="00FF603B">
      <w:pPr>
        <w:rPr>
          <w:color w:val="2E74B5" w:themeColor="accent5" w:themeShade="BF"/>
          <w:lang w:val="en-US"/>
        </w:rPr>
      </w:pPr>
    </w:p>
    <w:p w14:paraId="4CD54F69" w14:textId="2BA7B77F" w:rsidR="004C2B6A" w:rsidRDefault="004C2B6A" w:rsidP="00FF603B">
      <w:pPr>
        <w:rPr>
          <w:i/>
          <w:iCs/>
          <w:color w:val="2E74B5" w:themeColor="accent5" w:themeShade="BF"/>
          <w:lang w:val="en-US"/>
        </w:rPr>
      </w:pPr>
    </w:p>
    <w:p w14:paraId="1D8BA5EB" w14:textId="77777777" w:rsidR="005025D6" w:rsidRDefault="005025D6" w:rsidP="00FF603B">
      <w:pPr>
        <w:rPr>
          <w:i/>
          <w:iCs/>
          <w:color w:val="2E74B5" w:themeColor="accent5" w:themeShade="BF"/>
          <w:lang w:val="en-US"/>
        </w:rPr>
      </w:pPr>
    </w:p>
    <w:p w14:paraId="02B21860" w14:textId="77777777" w:rsidR="005025D6" w:rsidRDefault="005025D6" w:rsidP="00FF603B">
      <w:pPr>
        <w:rPr>
          <w:i/>
          <w:iCs/>
          <w:color w:val="2E74B5" w:themeColor="accent5" w:themeShade="BF"/>
          <w:lang w:val="en-US"/>
        </w:rPr>
      </w:pPr>
    </w:p>
    <w:p w14:paraId="77DF659A" w14:textId="77777777" w:rsidR="005025D6" w:rsidRDefault="005025D6" w:rsidP="00FF603B">
      <w:pPr>
        <w:rPr>
          <w:i/>
          <w:iCs/>
          <w:color w:val="2E74B5" w:themeColor="accent5" w:themeShade="BF"/>
          <w:lang w:val="en-US"/>
        </w:rPr>
      </w:pPr>
    </w:p>
    <w:p w14:paraId="3A3C599D" w14:textId="77777777" w:rsidR="005025D6" w:rsidRDefault="005025D6">
      <w:pPr>
        <w:spacing w:line="240" w:lineRule="auto"/>
        <w:jc w:val="left"/>
        <w:rPr>
          <w:i/>
          <w:iCs/>
          <w:color w:val="2E74B5" w:themeColor="accent5" w:themeShade="BF"/>
          <w:lang w:val="en-US"/>
        </w:rPr>
      </w:pPr>
      <w:r>
        <w:rPr>
          <w:i/>
          <w:iCs/>
          <w:color w:val="2E74B5" w:themeColor="accent5" w:themeShade="BF"/>
          <w:lang w:val="en-US"/>
        </w:rPr>
        <w:br w:type="page"/>
      </w:r>
    </w:p>
    <w:p w14:paraId="0BABE9E5" w14:textId="5049CCA3" w:rsidR="00FF603B" w:rsidRPr="00FF603B" w:rsidRDefault="00FF603B" w:rsidP="00FF603B">
      <w:pPr>
        <w:rPr>
          <w:i/>
          <w:iCs/>
          <w:color w:val="2E74B5" w:themeColor="accent5" w:themeShade="BF"/>
          <w:lang w:val="en-US"/>
        </w:rPr>
      </w:pPr>
      <w:r w:rsidRPr="00FF603B">
        <w:rPr>
          <w:i/>
          <w:iCs/>
          <w:color w:val="2E74B5" w:themeColor="accent5" w:themeShade="BF"/>
          <w:lang w:val="en-US"/>
        </w:rPr>
        <w:lastRenderedPageBreak/>
        <w:t>The final chapter of this thesis presents a distinct but conceptually related project: the generative design of nanobody sequences using large language models. While the molecular modality (protein vs. small molecule) and the task (generation vs. prediction) differ from earlier chapters, the methodological challenges — learning under data scarcity, generalizing beyond training distributions, and leveraging uncertainty for decision-making — remain central. This work represents a step toward integrating predictive and generative tools in the molecular design cycle.</w:t>
      </w:r>
    </w:p>
    <w:p w14:paraId="5D38B55B" w14:textId="77777777" w:rsidR="00FF603B" w:rsidRPr="00FF603B" w:rsidRDefault="00FF603B" w:rsidP="00FF603B">
      <w:pPr>
        <w:rPr>
          <w:i/>
          <w:iCs/>
          <w:color w:val="2E74B5" w:themeColor="accent5" w:themeShade="BF"/>
          <w:lang w:val="en-US"/>
        </w:rPr>
      </w:pPr>
    </w:p>
    <w:p w14:paraId="6392429E" w14:textId="77777777" w:rsidR="00FF603B" w:rsidRPr="00FF603B" w:rsidRDefault="00FF603B" w:rsidP="00FF603B">
      <w:pPr>
        <w:rPr>
          <w:i/>
          <w:iCs/>
          <w:color w:val="2E74B5" w:themeColor="accent5" w:themeShade="BF"/>
          <w:lang w:val="en-US"/>
        </w:rPr>
      </w:pPr>
      <w:r w:rsidRPr="00FF603B">
        <w:rPr>
          <w:i/>
          <w:iCs/>
          <w:color w:val="2E74B5" w:themeColor="accent5" w:themeShade="BF"/>
          <w:lang w:val="en-US"/>
        </w:rPr>
        <w:t>While earlier chapters explored how to build robust models for molecular property prediction and decision-making under uncertainty, this chapter investigates whether such models can be used to proactively generate biologically relevant molecules — in this case, nanobody sequences with likely target affinity.</w:t>
      </w:r>
    </w:p>
    <w:p w14:paraId="7D128A13" w14:textId="77777777" w:rsidR="00FF603B" w:rsidRPr="00FF603B" w:rsidRDefault="00FF603B" w:rsidP="00FF603B">
      <w:pPr>
        <w:rPr>
          <w:i/>
          <w:iCs/>
          <w:color w:val="2E74B5" w:themeColor="accent5" w:themeShade="BF"/>
          <w:lang w:val="en-US"/>
        </w:rPr>
      </w:pPr>
    </w:p>
    <w:p w14:paraId="4B480392" w14:textId="77777777" w:rsidR="00FF603B" w:rsidRPr="00FF603B" w:rsidRDefault="00FF603B" w:rsidP="00FF603B">
      <w:pPr>
        <w:rPr>
          <w:i/>
          <w:iCs/>
          <w:color w:val="2E74B5" w:themeColor="accent5" w:themeShade="BF"/>
          <w:lang w:val="en-US"/>
        </w:rPr>
      </w:pPr>
      <w:r w:rsidRPr="00FF603B">
        <w:rPr>
          <w:i/>
          <w:iCs/>
          <w:color w:val="2E74B5" w:themeColor="accent5" w:themeShade="BF"/>
          <w:lang w:val="en-US"/>
        </w:rPr>
        <w:t>Just like in small molecule screening, nanobody discovery is constrained by data scarcity and the need to generalize beyond known binders. This chapter applies similar machine learning principles — such as transfer learning and likelihood-based acquisition — to a different molecular modality.</w:t>
      </w:r>
    </w:p>
    <w:p w14:paraId="24BDDDDE" w14:textId="77777777" w:rsidR="00FF603B" w:rsidRPr="00FF603B" w:rsidRDefault="00FF603B" w:rsidP="00FF603B">
      <w:pPr>
        <w:rPr>
          <w:i/>
          <w:iCs/>
          <w:color w:val="2E74B5" w:themeColor="accent5" w:themeShade="BF"/>
          <w:lang w:val="en-US"/>
        </w:rPr>
      </w:pPr>
    </w:p>
    <w:p w14:paraId="22F561B8" w14:textId="77777777" w:rsidR="00FF603B" w:rsidRPr="00FF603B" w:rsidRDefault="00FF603B" w:rsidP="00FF603B">
      <w:pPr>
        <w:rPr>
          <w:i/>
          <w:iCs/>
          <w:color w:val="2E74B5" w:themeColor="accent5" w:themeShade="BF"/>
          <w:lang w:val="en-US"/>
        </w:rPr>
      </w:pPr>
      <w:r w:rsidRPr="00FF603B">
        <w:rPr>
          <w:i/>
          <w:iCs/>
          <w:color w:val="2E74B5" w:themeColor="accent5" w:themeShade="BF"/>
          <w:lang w:val="en-US"/>
        </w:rPr>
        <w:t>This chapter illustrates how the same data-driven principles developed for chemical structure-based learning can be adapted to other biomolecular systems — here, protein sequences — highlighting the generality of molecular machine learning approaches.</w:t>
      </w:r>
    </w:p>
    <w:p w14:paraId="548071C9" w14:textId="77777777" w:rsidR="00BE76FF" w:rsidRDefault="00BE76FF" w:rsidP="00BE76FF">
      <w:pPr>
        <w:spacing w:line="240" w:lineRule="auto"/>
        <w:rPr>
          <w:color w:val="000000"/>
          <w:shd w:val="clear" w:color="auto" w:fill="FFFFFF"/>
          <w:lang w:val="en-US"/>
        </w:rPr>
      </w:pPr>
    </w:p>
    <w:p w14:paraId="610C3CB3" w14:textId="0C0C1DA0" w:rsidR="00FF603B" w:rsidRPr="00FF603B" w:rsidRDefault="00FF603B" w:rsidP="00BE76FF">
      <w:pPr>
        <w:spacing w:line="240" w:lineRule="auto"/>
        <w:rPr>
          <w:color w:val="000000"/>
          <w:shd w:val="clear" w:color="auto" w:fill="FFFFFF"/>
          <w:lang w:val="en-US"/>
        </w:rPr>
      </w:pPr>
      <w:r w:rsidRPr="00FF603B">
        <w:rPr>
          <w:color w:val="000000"/>
          <w:shd w:val="clear" w:color="auto" w:fill="FFFFFF"/>
          <w:lang w:val="en-US"/>
        </w:rPr>
        <w:t>Introduction to nanobodies</w:t>
      </w:r>
    </w:p>
    <w:p w14:paraId="748912AC" w14:textId="77777777" w:rsidR="00FF603B" w:rsidRPr="00FF603B" w:rsidRDefault="00FF603B" w:rsidP="00BE76FF">
      <w:pPr>
        <w:spacing w:line="240" w:lineRule="auto"/>
        <w:rPr>
          <w:color w:val="2E74B5" w:themeColor="accent5" w:themeShade="BF"/>
          <w:shd w:val="clear" w:color="auto" w:fill="FFFFFF"/>
          <w:lang w:val="en-US"/>
        </w:rPr>
      </w:pPr>
    </w:p>
    <w:p w14:paraId="2DF6C14A" w14:textId="77777777" w:rsidR="00FF603B" w:rsidRPr="00FF603B" w:rsidRDefault="00FF603B" w:rsidP="00FF603B">
      <w:pPr>
        <w:pStyle w:val="ListParagraph"/>
        <w:numPr>
          <w:ilvl w:val="0"/>
          <w:numId w:val="22"/>
        </w:numPr>
        <w:spacing w:line="240" w:lineRule="auto"/>
        <w:rPr>
          <w:color w:val="2E74B5" w:themeColor="accent5" w:themeShade="BF"/>
          <w:shd w:val="clear" w:color="auto" w:fill="FFFFFF"/>
          <w:lang w:val="en-US"/>
        </w:rPr>
      </w:pPr>
      <w:r w:rsidRPr="00FF603B">
        <w:rPr>
          <w:color w:val="2E74B5" w:themeColor="accent5" w:themeShade="BF"/>
          <w:shd w:val="clear" w:color="auto" w:fill="FFFFFF"/>
          <w:lang w:val="en-US"/>
        </w:rPr>
        <w:t>Briefly define nanobodies (single-domain antibodies from camelids).</w:t>
      </w:r>
    </w:p>
    <w:p w14:paraId="1DC6CA84" w14:textId="77777777" w:rsidR="00FF603B" w:rsidRPr="00FF603B" w:rsidRDefault="00FF603B" w:rsidP="00FF603B">
      <w:pPr>
        <w:pStyle w:val="ListParagraph"/>
        <w:numPr>
          <w:ilvl w:val="0"/>
          <w:numId w:val="22"/>
        </w:numPr>
        <w:spacing w:line="240" w:lineRule="auto"/>
        <w:rPr>
          <w:color w:val="2E74B5" w:themeColor="accent5" w:themeShade="BF"/>
          <w:shd w:val="clear" w:color="auto" w:fill="FFFFFF"/>
          <w:lang w:val="en-US"/>
        </w:rPr>
      </w:pPr>
      <w:r w:rsidRPr="00FF603B">
        <w:rPr>
          <w:color w:val="2E74B5" w:themeColor="accent5" w:themeShade="BF"/>
          <w:shd w:val="clear" w:color="auto" w:fill="FFFFFF"/>
          <w:lang w:val="en-US"/>
        </w:rPr>
        <w:t>Mention their advantages over conventional antibodies (size, stability, ease of expression).</w:t>
      </w:r>
    </w:p>
    <w:p w14:paraId="0044E1F0" w14:textId="68FF1B4A" w:rsidR="00FF603B" w:rsidRPr="00FF603B" w:rsidRDefault="00FF603B" w:rsidP="00FF603B">
      <w:pPr>
        <w:pStyle w:val="ListParagraph"/>
        <w:numPr>
          <w:ilvl w:val="0"/>
          <w:numId w:val="22"/>
        </w:numPr>
        <w:spacing w:line="240" w:lineRule="auto"/>
        <w:rPr>
          <w:color w:val="2E74B5" w:themeColor="accent5" w:themeShade="BF"/>
          <w:shd w:val="clear" w:color="auto" w:fill="FFFFFF"/>
          <w:lang w:val="en-US"/>
        </w:rPr>
      </w:pPr>
      <w:r w:rsidRPr="00FF603B">
        <w:rPr>
          <w:color w:val="2E74B5" w:themeColor="accent5" w:themeShade="BF"/>
          <w:shd w:val="clear" w:color="auto" w:fill="FFFFFF"/>
          <w:lang w:val="en-US"/>
        </w:rPr>
        <w:t>State their emerging importance in therapeutics and diagnostics.</w:t>
      </w:r>
      <w:r w:rsidRPr="00FF603B">
        <w:rPr>
          <w:i/>
          <w:iCs/>
          <w:color w:val="2E74B5" w:themeColor="accent5" w:themeShade="BF"/>
        </w:rPr>
        <w:t xml:space="preserve"> </w:t>
      </w:r>
    </w:p>
    <w:p w14:paraId="225ECC29" w14:textId="77777777" w:rsidR="00FF603B" w:rsidRPr="00FF603B" w:rsidRDefault="00FF603B" w:rsidP="00FF603B">
      <w:pPr>
        <w:spacing w:line="240" w:lineRule="auto"/>
        <w:jc w:val="left"/>
        <w:rPr>
          <w:i/>
          <w:iCs/>
          <w:color w:val="2E74B5" w:themeColor="accent5" w:themeShade="BF"/>
        </w:rPr>
      </w:pPr>
    </w:p>
    <w:p w14:paraId="4DCA4D01" w14:textId="6D9C5B13" w:rsidR="00FF603B" w:rsidRPr="00FF603B" w:rsidRDefault="00FF603B" w:rsidP="00FF603B">
      <w:pPr>
        <w:spacing w:line="240" w:lineRule="auto"/>
        <w:jc w:val="left"/>
        <w:rPr>
          <w:rFonts w:eastAsia="Times New Roman"/>
          <w:color w:val="2E74B5" w:themeColor="accent5" w:themeShade="BF"/>
          <w:kern w:val="0"/>
          <w:lang w:val="en-US"/>
          <w14:ligatures w14:val="none"/>
        </w:rPr>
      </w:pPr>
      <w:r w:rsidRPr="00FF603B">
        <w:rPr>
          <w:rFonts w:eastAsia="Times New Roman"/>
          <w:i/>
          <w:iCs/>
          <w:color w:val="2E74B5" w:themeColor="accent5" w:themeShade="BF"/>
          <w:kern w:val="0"/>
          <w:lang w:val="en-US"/>
          <w14:ligatures w14:val="none"/>
        </w:rPr>
        <w:t xml:space="preserve">Nanobodies are the variable heavy chain (VHH) domains of camelid antibodies. Unlike conventional antibodies, which require both heavy and light chains, nanobodies are composed of a single domain capable of high-affinity target binding. Their small size (~15 </w:t>
      </w:r>
      <w:proofErr w:type="spellStart"/>
      <w:r w:rsidRPr="00FF603B">
        <w:rPr>
          <w:rFonts w:eastAsia="Times New Roman"/>
          <w:i/>
          <w:iCs/>
          <w:color w:val="2E74B5" w:themeColor="accent5" w:themeShade="BF"/>
          <w:kern w:val="0"/>
          <w:lang w:val="en-US"/>
          <w14:ligatures w14:val="none"/>
        </w:rPr>
        <w:t>kDa</w:t>
      </w:r>
      <w:proofErr w:type="spellEnd"/>
      <w:r w:rsidRPr="00FF603B">
        <w:rPr>
          <w:rFonts w:eastAsia="Times New Roman"/>
          <w:i/>
          <w:iCs/>
          <w:color w:val="2E74B5" w:themeColor="accent5" w:themeShade="BF"/>
          <w:kern w:val="0"/>
          <w:lang w:val="en-US"/>
          <w14:ligatures w14:val="none"/>
        </w:rPr>
        <w:t>), high solubility, and robust stability have made them attractive candidates for therapeutic and diagnostic applications, particularly in immune-oncology and targeted delivery systems.</w:t>
      </w:r>
    </w:p>
    <w:p w14:paraId="1360698F" w14:textId="77777777" w:rsidR="00FF603B" w:rsidRPr="00FF603B" w:rsidRDefault="00FF603B" w:rsidP="00FF603B">
      <w:pPr>
        <w:pStyle w:val="ListParagraph"/>
        <w:spacing w:line="240" w:lineRule="auto"/>
        <w:rPr>
          <w:color w:val="2E74B5" w:themeColor="accent5" w:themeShade="BF"/>
          <w:shd w:val="clear" w:color="auto" w:fill="FFFFFF"/>
          <w:lang w:val="en-US"/>
        </w:rPr>
      </w:pPr>
    </w:p>
    <w:p w14:paraId="509E726F" w14:textId="19543F84" w:rsidR="00FF603B" w:rsidRPr="00FF603B" w:rsidRDefault="00FF603B" w:rsidP="00FF603B">
      <w:pPr>
        <w:spacing w:line="240" w:lineRule="auto"/>
        <w:rPr>
          <w:color w:val="2E74B5" w:themeColor="accent5" w:themeShade="BF"/>
          <w:shd w:val="clear" w:color="auto" w:fill="FFFFFF"/>
          <w:lang w:val="en-US"/>
        </w:rPr>
      </w:pPr>
      <w:r w:rsidRPr="00FF603B">
        <w:rPr>
          <w:color w:val="2E74B5" w:themeColor="accent5" w:themeShade="BF"/>
          <w:shd w:val="clear" w:color="auto" w:fill="FFFFFF"/>
          <w:lang w:val="en-US"/>
        </w:rPr>
        <w:t>The role of CDR loops in binding</w:t>
      </w:r>
    </w:p>
    <w:p w14:paraId="44FFE8B8" w14:textId="77777777" w:rsidR="00FF603B" w:rsidRPr="00FF603B" w:rsidRDefault="00FF603B" w:rsidP="00FF603B">
      <w:pPr>
        <w:numPr>
          <w:ilvl w:val="0"/>
          <w:numId w:val="15"/>
        </w:numPr>
        <w:spacing w:before="100" w:beforeAutospacing="1" w:after="100" w:afterAutospacing="1" w:line="240" w:lineRule="auto"/>
        <w:jc w:val="left"/>
        <w:rPr>
          <w:rFonts w:eastAsia="Times New Roman"/>
          <w:color w:val="2E74B5" w:themeColor="accent5" w:themeShade="BF"/>
          <w:kern w:val="0"/>
          <w:lang w:val="en-US"/>
          <w14:ligatures w14:val="none"/>
        </w:rPr>
      </w:pPr>
      <w:r w:rsidRPr="00FF603B">
        <w:rPr>
          <w:rFonts w:eastAsia="Times New Roman"/>
          <w:color w:val="2E74B5" w:themeColor="accent5" w:themeShade="BF"/>
          <w:kern w:val="0"/>
          <w:lang w:val="en-US"/>
          <w14:ligatures w14:val="none"/>
        </w:rPr>
        <w:t>Introduce the concept of Complementarity Determining Regions (CDRs).</w:t>
      </w:r>
    </w:p>
    <w:p w14:paraId="288FA5A0" w14:textId="77777777" w:rsidR="00FF603B" w:rsidRPr="00FF603B" w:rsidRDefault="00FF603B" w:rsidP="00FF603B">
      <w:pPr>
        <w:numPr>
          <w:ilvl w:val="0"/>
          <w:numId w:val="15"/>
        </w:numPr>
        <w:spacing w:before="100" w:beforeAutospacing="1" w:after="100" w:afterAutospacing="1" w:line="240" w:lineRule="auto"/>
        <w:jc w:val="left"/>
        <w:rPr>
          <w:rFonts w:eastAsia="Times New Roman"/>
          <w:color w:val="2E74B5" w:themeColor="accent5" w:themeShade="BF"/>
          <w:kern w:val="0"/>
          <w:lang w:val="en-US"/>
          <w14:ligatures w14:val="none"/>
        </w:rPr>
      </w:pPr>
      <w:r w:rsidRPr="00FF603B">
        <w:rPr>
          <w:rFonts w:eastAsia="Times New Roman"/>
          <w:color w:val="2E74B5" w:themeColor="accent5" w:themeShade="BF"/>
          <w:kern w:val="0"/>
          <w:lang w:val="en-US"/>
          <w14:ligatures w14:val="none"/>
        </w:rPr>
        <w:t>Explain the biological function of CDR1–3, with a note on CDR3 being the most variable and critical.</w:t>
      </w:r>
    </w:p>
    <w:p w14:paraId="29D1A93E" w14:textId="77777777" w:rsidR="00FF603B" w:rsidRPr="00FF603B" w:rsidRDefault="00FF603B" w:rsidP="00FF603B">
      <w:pPr>
        <w:numPr>
          <w:ilvl w:val="0"/>
          <w:numId w:val="15"/>
        </w:numPr>
        <w:spacing w:before="100" w:beforeAutospacing="1" w:after="100" w:afterAutospacing="1" w:line="240" w:lineRule="auto"/>
        <w:jc w:val="left"/>
        <w:rPr>
          <w:rFonts w:eastAsia="Times New Roman"/>
          <w:color w:val="2E74B5" w:themeColor="accent5" w:themeShade="BF"/>
          <w:kern w:val="0"/>
          <w:lang w:val="en-US"/>
          <w14:ligatures w14:val="none"/>
        </w:rPr>
      </w:pPr>
      <w:r w:rsidRPr="00FF603B">
        <w:rPr>
          <w:rFonts w:eastAsia="Times New Roman"/>
          <w:color w:val="2E74B5" w:themeColor="accent5" w:themeShade="BF"/>
          <w:kern w:val="0"/>
          <w:lang w:val="en-US"/>
          <w14:ligatures w14:val="none"/>
        </w:rPr>
        <w:t>Clarify that the framework regions are structurally conserved and often reused.</w:t>
      </w:r>
    </w:p>
    <w:p w14:paraId="31C8BFF6" w14:textId="77777777" w:rsidR="00FF603B" w:rsidRPr="00FF603B" w:rsidRDefault="00FF603B" w:rsidP="00FF603B">
      <w:pPr>
        <w:spacing w:line="240" w:lineRule="auto"/>
        <w:jc w:val="left"/>
        <w:rPr>
          <w:rFonts w:eastAsia="Times New Roman"/>
          <w:color w:val="2E74B5" w:themeColor="accent5" w:themeShade="BF"/>
          <w:lang w:val="en-US"/>
        </w:rPr>
      </w:pPr>
      <w:r w:rsidRPr="00FF603B">
        <w:rPr>
          <w:i/>
          <w:iCs/>
          <w:color w:val="2E74B5" w:themeColor="accent5" w:themeShade="BF"/>
        </w:rPr>
        <w:t>Target recognition in nanobodies is mediated by three hypervariable loops known as the complementarity-determining regions (CDR1, CDR2, and CDR3), which form the antigen-binding site. Among these, CDR3 exhibits the greatest sequence and structural variability, typically contributing most to antigen specificity. The surrounding framework regions provide structural support but are largely conserved across nanobodies.</w:t>
      </w:r>
    </w:p>
    <w:p w14:paraId="650784BD" w14:textId="77777777" w:rsidR="00FF603B" w:rsidRPr="00FF603B" w:rsidRDefault="00FF603B" w:rsidP="00FF603B">
      <w:pPr>
        <w:pStyle w:val="Heading3"/>
        <w:rPr>
          <w:color w:val="2E74B5" w:themeColor="accent5" w:themeShade="BF"/>
        </w:rPr>
      </w:pPr>
    </w:p>
    <w:p w14:paraId="2AE949AD" w14:textId="29A97558" w:rsidR="00FF603B" w:rsidRPr="00FF603B" w:rsidRDefault="00FF603B" w:rsidP="00FF603B">
      <w:pPr>
        <w:pStyle w:val="Heading3"/>
        <w:rPr>
          <w:color w:val="2E74B5" w:themeColor="accent5" w:themeShade="BF"/>
        </w:rPr>
      </w:pPr>
      <w:r w:rsidRPr="00FF603B">
        <w:rPr>
          <w:color w:val="2E74B5" w:themeColor="accent5" w:themeShade="BF"/>
        </w:rPr>
        <w:t>Target and Experimental Context</w:t>
      </w:r>
    </w:p>
    <w:p w14:paraId="52BC3E0D" w14:textId="77777777" w:rsidR="00FF603B" w:rsidRPr="00FF603B" w:rsidRDefault="00FF603B" w:rsidP="00FF603B">
      <w:pPr>
        <w:pStyle w:val="p1"/>
        <w:numPr>
          <w:ilvl w:val="0"/>
          <w:numId w:val="16"/>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Introduce murine CD25 (mCD25) as the target used for fine-tuning.</w:t>
      </w:r>
    </w:p>
    <w:p w14:paraId="1AA54826" w14:textId="77777777" w:rsidR="00FF603B" w:rsidRPr="00FF603B" w:rsidRDefault="00FF603B" w:rsidP="00FF603B">
      <w:pPr>
        <w:pStyle w:val="p1"/>
        <w:numPr>
          <w:ilvl w:val="0"/>
          <w:numId w:val="16"/>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Mention why mCD25 is relevant: well-characterized immune marker, expressed on activated and regulatory T cells.</w:t>
      </w:r>
    </w:p>
    <w:p w14:paraId="58CB3122" w14:textId="3B278E43" w:rsidR="00FF603B" w:rsidRPr="00FF603B" w:rsidRDefault="00FF603B" w:rsidP="00FF603B">
      <w:pPr>
        <w:pStyle w:val="p1"/>
        <w:numPr>
          <w:ilvl w:val="0"/>
          <w:numId w:val="16"/>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Describe the experimental setup briefly: yeast display to identify weak binders to mCD25.</w:t>
      </w:r>
    </w:p>
    <w:p w14:paraId="0628CC3B" w14:textId="77777777" w:rsidR="00FF603B" w:rsidRPr="00FF603B" w:rsidRDefault="00FF603B" w:rsidP="00FF603B">
      <w:pPr>
        <w:rPr>
          <w:color w:val="2E74B5" w:themeColor="accent5" w:themeShade="BF"/>
        </w:rPr>
      </w:pPr>
      <w:r w:rsidRPr="00FF603B">
        <w:rPr>
          <w:i/>
          <w:iCs/>
          <w:color w:val="2E74B5" w:themeColor="accent5" w:themeShade="BF"/>
        </w:rPr>
        <w:t>In this study, nanobody generation was performed against murine CD25 (mCD25), the alpha chain of the interleukin-2 receptor. mCD25 is expressed on activated T cells and regulatory T cells (Tregs</w:t>
      </w:r>
      <w:proofErr w:type="gramStart"/>
      <w:r w:rsidRPr="00FF603B">
        <w:rPr>
          <w:i/>
          <w:iCs/>
          <w:color w:val="2E74B5" w:themeColor="accent5" w:themeShade="BF"/>
        </w:rPr>
        <w:t>), and</w:t>
      </w:r>
      <w:proofErr w:type="gramEnd"/>
      <w:r w:rsidRPr="00FF603B">
        <w:rPr>
          <w:i/>
          <w:iCs/>
          <w:color w:val="2E74B5" w:themeColor="accent5" w:themeShade="BF"/>
        </w:rPr>
        <w:t xml:space="preserve"> serves as an important immune marker. A set of weak mCD25-binding nanobodies was identified using yeast surface display and subsequently used for model fine-tuning.</w:t>
      </w:r>
    </w:p>
    <w:p w14:paraId="4544EC8A" w14:textId="77777777" w:rsidR="00FF603B" w:rsidRPr="00FF603B" w:rsidRDefault="00FF603B" w:rsidP="00FF603B">
      <w:pPr>
        <w:pStyle w:val="Heading3"/>
        <w:rPr>
          <w:color w:val="2E74B5" w:themeColor="accent5" w:themeShade="BF"/>
        </w:rPr>
      </w:pPr>
    </w:p>
    <w:p w14:paraId="4F64D052" w14:textId="21FB6B02" w:rsidR="00FF603B" w:rsidRPr="00FF603B" w:rsidRDefault="00FF603B" w:rsidP="00FF603B">
      <w:pPr>
        <w:pStyle w:val="Heading3"/>
        <w:rPr>
          <w:color w:val="2E74B5" w:themeColor="accent5" w:themeShade="BF"/>
        </w:rPr>
      </w:pPr>
      <w:r w:rsidRPr="00FF603B">
        <w:rPr>
          <w:color w:val="2E74B5" w:themeColor="accent5" w:themeShade="BF"/>
        </w:rPr>
        <w:t>Challenges in Binder Discovery and Optimization</w:t>
      </w:r>
    </w:p>
    <w:p w14:paraId="6998C2D6" w14:textId="77777777" w:rsidR="00FF603B" w:rsidRPr="00FF603B" w:rsidRDefault="00FF603B" w:rsidP="00FF603B">
      <w:pPr>
        <w:pStyle w:val="p1"/>
        <w:numPr>
          <w:ilvl w:val="0"/>
          <w:numId w:val="17"/>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Describe the limitations of traditional affinity maturation (mutagenesis + selection).</w:t>
      </w:r>
    </w:p>
    <w:p w14:paraId="24777EE9" w14:textId="77777777" w:rsidR="00FF603B" w:rsidRPr="00FF603B" w:rsidRDefault="00FF603B" w:rsidP="00FF603B">
      <w:pPr>
        <w:pStyle w:val="p1"/>
        <w:numPr>
          <w:ilvl w:val="0"/>
          <w:numId w:val="17"/>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Highlight the need for diverse, high-affinity binders.</w:t>
      </w:r>
    </w:p>
    <w:p w14:paraId="69B51EE7" w14:textId="5F23C00B" w:rsidR="00FF603B" w:rsidRPr="00A3327A" w:rsidRDefault="00FF603B" w:rsidP="00FF603B">
      <w:pPr>
        <w:pStyle w:val="p1"/>
        <w:numPr>
          <w:ilvl w:val="0"/>
          <w:numId w:val="17"/>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Motivate the use of ML to complement experimental screening.</w:t>
      </w:r>
    </w:p>
    <w:p w14:paraId="646F840B" w14:textId="77777777" w:rsidR="00FF603B" w:rsidRPr="00FF603B" w:rsidRDefault="00FF603B" w:rsidP="00FF603B">
      <w:pPr>
        <w:rPr>
          <w:color w:val="2E74B5" w:themeColor="accent5" w:themeShade="BF"/>
        </w:rPr>
      </w:pPr>
      <w:r w:rsidRPr="00FF603B">
        <w:rPr>
          <w:i/>
          <w:iCs/>
          <w:color w:val="2E74B5" w:themeColor="accent5" w:themeShade="BF"/>
        </w:rPr>
        <w:t xml:space="preserve">Traditional affinity maturation via yeast or phage display involves laborious iterative cycles of mutagenesis and selection, often exploring only a narrow </w:t>
      </w:r>
      <w:r w:rsidRPr="00FF603B">
        <w:rPr>
          <w:i/>
          <w:iCs/>
          <w:color w:val="2E74B5" w:themeColor="accent5" w:themeShade="BF"/>
        </w:rPr>
        <w:lastRenderedPageBreak/>
        <w:t>local region of sequence space. In contrast, machine learning models can accelerate binder discovery by proposing diverse, syntactically plausible, and target-specific sequences in silico.</w:t>
      </w:r>
    </w:p>
    <w:p w14:paraId="0A4B47B3" w14:textId="77777777" w:rsidR="00FF603B" w:rsidRPr="00FF603B" w:rsidRDefault="00FF603B" w:rsidP="00FF603B">
      <w:pPr>
        <w:rPr>
          <w:color w:val="2E74B5" w:themeColor="accent5" w:themeShade="BF"/>
        </w:rPr>
      </w:pPr>
    </w:p>
    <w:p w14:paraId="7A09C389" w14:textId="46A02F81" w:rsidR="00FF603B" w:rsidRPr="00FF603B" w:rsidRDefault="00FF603B" w:rsidP="00FF603B">
      <w:pPr>
        <w:rPr>
          <w:color w:val="2E74B5" w:themeColor="accent5" w:themeShade="BF"/>
        </w:rPr>
      </w:pPr>
      <w:r w:rsidRPr="00FF603B">
        <w:rPr>
          <w:color w:val="2E74B5" w:themeColor="accent5" w:themeShade="BF"/>
        </w:rPr>
        <w:t xml:space="preserve">Generative </w:t>
      </w:r>
      <w:proofErr w:type="spellStart"/>
      <w:r w:rsidRPr="00FF603B">
        <w:rPr>
          <w:color w:val="2E74B5" w:themeColor="accent5" w:themeShade="BF"/>
        </w:rPr>
        <w:t>Modeling</w:t>
      </w:r>
      <w:proofErr w:type="spellEnd"/>
      <w:r w:rsidRPr="00FF603B">
        <w:rPr>
          <w:color w:val="2E74B5" w:themeColor="accent5" w:themeShade="BF"/>
        </w:rPr>
        <w:t xml:space="preserve"> with LLMs</w:t>
      </w:r>
    </w:p>
    <w:p w14:paraId="639F66EA" w14:textId="77777777" w:rsidR="00FF603B" w:rsidRPr="00FF603B" w:rsidRDefault="00FF603B" w:rsidP="00FF603B">
      <w:pPr>
        <w:pStyle w:val="p1"/>
        <w:numPr>
          <w:ilvl w:val="0"/>
          <w:numId w:val="19"/>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Briefly describe the concept of training a language model on nanobody sequences.</w:t>
      </w:r>
    </w:p>
    <w:p w14:paraId="753BFA7E" w14:textId="77777777" w:rsidR="00FF603B" w:rsidRPr="00FF603B" w:rsidRDefault="00FF603B" w:rsidP="00FF603B">
      <w:pPr>
        <w:pStyle w:val="p1"/>
        <w:numPr>
          <w:ilvl w:val="0"/>
          <w:numId w:val="19"/>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Mention the benefit of learning the “syntax” of nanobodies from large pretraining corpora.</w:t>
      </w:r>
    </w:p>
    <w:p w14:paraId="09973DDA" w14:textId="3C312D10" w:rsidR="00FF603B" w:rsidRPr="00FF603B" w:rsidRDefault="00FF603B" w:rsidP="00FF603B">
      <w:pPr>
        <w:pStyle w:val="p1"/>
        <w:numPr>
          <w:ilvl w:val="0"/>
          <w:numId w:val="19"/>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Introduce the idea of fine-tuning on weak binders to steer generation toward target-specific binders.</w:t>
      </w:r>
    </w:p>
    <w:p w14:paraId="0A2C844E" w14:textId="77777777" w:rsidR="00FF603B" w:rsidRPr="00FF603B" w:rsidRDefault="00FF603B" w:rsidP="00FF603B">
      <w:pPr>
        <w:rPr>
          <w:color w:val="2E74B5" w:themeColor="accent5" w:themeShade="BF"/>
        </w:rPr>
      </w:pPr>
      <w:r w:rsidRPr="00FF603B">
        <w:rPr>
          <w:i/>
          <w:iCs/>
          <w:color w:val="2E74B5" w:themeColor="accent5" w:themeShade="BF"/>
        </w:rPr>
        <w:t>We pretrained an autoregressive language model on millions of natural nanobody sequences to learn their underlying ‘grammar’ — the patterns and constraints that define viable CDR loop combinations. The model was then fine-tuned on a small set of experimentally selected weak binders for mCD25 to bias generation toward plausible target-specific designs.</w:t>
      </w:r>
    </w:p>
    <w:p w14:paraId="27E9FEF5" w14:textId="77777777" w:rsidR="00FF603B" w:rsidRPr="00FF603B" w:rsidRDefault="00FF603B" w:rsidP="00FF603B">
      <w:pPr>
        <w:rPr>
          <w:color w:val="2E74B5" w:themeColor="accent5" w:themeShade="BF"/>
        </w:rPr>
      </w:pPr>
    </w:p>
    <w:p w14:paraId="65E871D7" w14:textId="2A194E9F" w:rsidR="00FF603B" w:rsidRPr="00FF603B" w:rsidRDefault="00FF603B" w:rsidP="00FF603B">
      <w:pPr>
        <w:rPr>
          <w:color w:val="2E74B5" w:themeColor="accent5" w:themeShade="BF"/>
        </w:rPr>
      </w:pPr>
      <w:r w:rsidRPr="00FF603B">
        <w:rPr>
          <w:color w:val="2E74B5" w:themeColor="accent5" w:themeShade="BF"/>
        </w:rPr>
        <w:t>Goal and Contribution of This Chapter</w:t>
      </w:r>
    </w:p>
    <w:p w14:paraId="216428D6" w14:textId="77777777" w:rsidR="00FF603B" w:rsidRPr="00FF603B" w:rsidRDefault="00FF603B" w:rsidP="00FF603B">
      <w:pPr>
        <w:pStyle w:val="p1"/>
        <w:numPr>
          <w:ilvl w:val="0"/>
          <w:numId w:val="20"/>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Clearly state your contribution.</w:t>
      </w:r>
    </w:p>
    <w:p w14:paraId="25261C73" w14:textId="42FE6C66" w:rsidR="00FF603B" w:rsidRPr="00FF603B" w:rsidRDefault="00FF603B" w:rsidP="00FF603B">
      <w:pPr>
        <w:pStyle w:val="p1"/>
        <w:numPr>
          <w:ilvl w:val="0"/>
          <w:numId w:val="20"/>
        </w:numPr>
        <w:spacing w:before="100" w:beforeAutospacing="1" w:after="100" w:afterAutospacing="1"/>
        <w:rPr>
          <w:rFonts w:ascii="Arial" w:hAnsi="Arial" w:cs="Arial"/>
          <w:color w:val="2E74B5" w:themeColor="accent5" w:themeShade="BF"/>
          <w:sz w:val="22"/>
          <w:szCs w:val="22"/>
        </w:rPr>
      </w:pPr>
      <w:r w:rsidRPr="00FF603B">
        <w:rPr>
          <w:rFonts w:ascii="Arial" w:hAnsi="Arial" w:cs="Arial"/>
          <w:color w:val="2E74B5" w:themeColor="accent5" w:themeShade="BF"/>
          <w:sz w:val="22"/>
          <w:szCs w:val="22"/>
        </w:rPr>
        <w:t>Mention that the generated sequences have not been experimentally validated yet but represent a new path for affinity maturation.</w:t>
      </w:r>
    </w:p>
    <w:p w14:paraId="421E4118" w14:textId="77777777" w:rsidR="00FF603B" w:rsidRPr="00FF603B" w:rsidRDefault="00FF603B" w:rsidP="00FF603B">
      <w:pPr>
        <w:rPr>
          <w:color w:val="2E74B5" w:themeColor="accent5" w:themeShade="BF"/>
        </w:rPr>
      </w:pPr>
      <w:r w:rsidRPr="00FF603B">
        <w:rPr>
          <w:i/>
          <w:iCs/>
          <w:color w:val="2E74B5" w:themeColor="accent5" w:themeShade="BF"/>
        </w:rPr>
        <w:t xml:space="preserve">This chapter presents a generative </w:t>
      </w:r>
      <w:proofErr w:type="spellStart"/>
      <w:r w:rsidRPr="00FF603B">
        <w:rPr>
          <w:i/>
          <w:iCs/>
          <w:color w:val="2E74B5" w:themeColor="accent5" w:themeShade="BF"/>
        </w:rPr>
        <w:t>modeling</w:t>
      </w:r>
      <w:proofErr w:type="spellEnd"/>
      <w:r w:rsidRPr="00FF603B">
        <w:rPr>
          <w:i/>
          <w:iCs/>
          <w:color w:val="2E74B5" w:themeColor="accent5" w:themeShade="BF"/>
        </w:rPr>
        <w:t xml:space="preserve"> approach for target-specific nanobody design using large-scale pretraining and data-efficient fine-tuning. Although experimental validation of the generated sequences is pending, this work illustrates a machine learning pipeline for virtual affinity maturation, enabling rapid design of novel, target-biased nanobody sequences.</w:t>
      </w:r>
    </w:p>
    <w:p w14:paraId="60A61EAE" w14:textId="77777777" w:rsidR="00FF603B" w:rsidRPr="00FF603B" w:rsidRDefault="00FF603B" w:rsidP="00FF603B">
      <w:pPr>
        <w:spacing w:line="240" w:lineRule="auto"/>
        <w:rPr>
          <w:color w:val="2E74B5" w:themeColor="accent5" w:themeShade="BF"/>
          <w:shd w:val="clear" w:color="auto" w:fill="FFFFFF"/>
        </w:rPr>
      </w:pPr>
    </w:p>
    <w:p w14:paraId="658AE71B" w14:textId="6926989E" w:rsidR="00AA71CB" w:rsidRPr="00FF603B" w:rsidRDefault="00AA71CB" w:rsidP="00AA71C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D775C7" w:rsidRPr="00FF603B" w14:paraId="0FAE269F" w14:textId="77777777" w:rsidTr="00FB3754">
        <w:tc>
          <w:tcPr>
            <w:tcW w:w="7342" w:type="dxa"/>
            <w:shd w:val="clear" w:color="auto" w:fill="F2F2F2" w:themeFill="background1" w:themeFillShade="F2"/>
            <w:tcMar>
              <w:top w:w="173" w:type="dxa"/>
              <w:left w:w="173" w:type="dxa"/>
              <w:bottom w:w="173" w:type="dxa"/>
              <w:right w:w="173" w:type="dxa"/>
            </w:tcMar>
          </w:tcPr>
          <w:p w14:paraId="3BBE5420" w14:textId="0A698BC4" w:rsidR="00D775C7" w:rsidRPr="00FF603B" w:rsidRDefault="00DF5018" w:rsidP="00FB3754">
            <w:pPr>
              <w:rPr>
                <w:lang w:val="en-US"/>
              </w:rPr>
            </w:pPr>
            <w:r>
              <w:rPr>
                <w:lang w:val="en-US"/>
              </w:rPr>
              <w:t>By</w:t>
            </w:r>
            <w:r w:rsidRPr="00DF5018">
              <w:rPr>
                <w:lang w:val="en-US"/>
              </w:rPr>
              <w:t xml:space="preserve"> introducing a targeting moiety</w:t>
            </w:r>
            <w:r>
              <w:rPr>
                <w:lang w:val="en-US"/>
              </w:rPr>
              <w:t>, such as a nanobody,</w:t>
            </w:r>
            <w:r w:rsidRPr="00DF5018">
              <w:rPr>
                <w:lang w:val="en-US"/>
              </w:rPr>
              <w:t xml:space="preserve"> fused to apoA1, the distribution of </w:t>
            </w:r>
            <w:proofErr w:type="spellStart"/>
            <w:r w:rsidRPr="00DF5018">
              <w:rPr>
                <w:lang w:val="en-US"/>
              </w:rPr>
              <w:t>aNPs</w:t>
            </w:r>
            <w:proofErr w:type="spellEnd"/>
            <w:r w:rsidRPr="00DF5018">
              <w:rPr>
                <w:lang w:val="en-US"/>
              </w:rPr>
              <w:t xml:space="preserve"> can be redirected away from myeloid cells towards a different cell type</w:t>
            </w:r>
            <w:r>
              <w:rPr>
                <w:lang w:val="en-US"/>
              </w:rPr>
              <w:t>.</w:t>
            </w:r>
          </w:p>
        </w:tc>
      </w:tr>
    </w:tbl>
    <w:p w14:paraId="6635DF24" w14:textId="77777777" w:rsidR="00D775C7" w:rsidRPr="00FF603B" w:rsidRDefault="00D775C7" w:rsidP="00AA71CB"/>
    <w:p w14:paraId="021E2101" w14:textId="77777777" w:rsidR="00567840" w:rsidRPr="00FF603B" w:rsidRDefault="00567840" w:rsidP="00BE76FF">
      <w:pPr>
        <w:spacing w:line="240" w:lineRule="auto"/>
        <w:rPr>
          <w:color w:val="000000"/>
          <w:shd w:val="clear" w:color="auto" w:fill="FFFFFF"/>
          <w:lang w:val="en-US"/>
        </w:rPr>
      </w:pPr>
    </w:p>
    <w:p w14:paraId="06C4A50E" w14:textId="793A35FB" w:rsidR="0024335B" w:rsidRPr="00FF603B" w:rsidRDefault="0024335B" w:rsidP="00BE76FF">
      <w:pPr>
        <w:spacing w:line="240" w:lineRule="auto"/>
        <w:rPr>
          <w:color w:val="000000"/>
          <w:shd w:val="clear" w:color="auto" w:fill="FFFFFF"/>
          <w:lang w:val="en-US"/>
        </w:rPr>
      </w:pPr>
    </w:p>
    <w:p w14:paraId="467DD1A5" w14:textId="4D7567B6" w:rsidR="00FF603B" w:rsidRPr="00FF603B" w:rsidRDefault="00581A75" w:rsidP="007D62D1">
      <w:pPr>
        <w:rPr>
          <w:noProof/>
          <w:lang w:val="en-US"/>
        </w:rPr>
      </w:pPr>
      <w:r>
        <w:rPr>
          <w:noProof/>
          <w:lang w:val="en-US"/>
        </w:rPr>
        <w:t>&lt;Antibody, Nanobody, CDR loops, nanobiologic&gt;</w:t>
      </w:r>
    </w:p>
    <w:p w14:paraId="6342E76E" w14:textId="5FC9BD3C" w:rsidR="007D62D1" w:rsidRPr="00FF603B" w:rsidRDefault="007D62D1" w:rsidP="007D62D1">
      <w:pPr>
        <w:rPr>
          <w:sz w:val="24"/>
          <w:szCs w:val="24"/>
          <w:lang w:val="en-US"/>
        </w:rPr>
      </w:pPr>
      <w:r w:rsidRPr="00FF603B">
        <w:rPr>
          <w:b/>
          <w:bCs/>
          <w:sz w:val="20"/>
          <w:szCs w:val="20"/>
          <w:lang w:val="en-US"/>
        </w:rPr>
        <w:t xml:space="preserve">Figure </w:t>
      </w:r>
      <w:r w:rsidR="00FF603B" w:rsidRPr="00FF603B">
        <w:rPr>
          <w:b/>
          <w:bCs/>
          <w:sz w:val="20"/>
          <w:szCs w:val="20"/>
          <w:lang w:val="en-US"/>
        </w:rPr>
        <w:t>7</w:t>
      </w:r>
      <w:r w:rsidR="0024335B" w:rsidRPr="00FF603B">
        <w:rPr>
          <w:b/>
          <w:bCs/>
          <w:sz w:val="20"/>
          <w:szCs w:val="20"/>
          <w:lang w:val="en-US"/>
        </w:rPr>
        <w:t>.</w:t>
      </w:r>
      <w:r w:rsidR="00FF603B" w:rsidRPr="00FF603B">
        <w:rPr>
          <w:b/>
          <w:bCs/>
          <w:sz w:val="20"/>
          <w:szCs w:val="20"/>
          <w:lang w:val="en-US"/>
        </w:rPr>
        <w:t>1</w:t>
      </w:r>
      <w:r w:rsidRPr="00FF603B">
        <w:rPr>
          <w:b/>
          <w:bCs/>
          <w:sz w:val="20"/>
          <w:szCs w:val="20"/>
          <w:lang w:val="en-US"/>
        </w:rPr>
        <w:t xml:space="preserve"> | </w:t>
      </w:r>
      <w:proofErr w:type="spellStart"/>
      <w:r w:rsidR="00581A75">
        <w:rPr>
          <w:b/>
          <w:bCs/>
          <w:sz w:val="20"/>
          <w:szCs w:val="20"/>
          <w:lang w:val="en-US"/>
        </w:rPr>
        <w:t>Nanobiologics</w:t>
      </w:r>
      <w:proofErr w:type="spellEnd"/>
      <w:r w:rsidR="00581A75">
        <w:rPr>
          <w:b/>
          <w:bCs/>
          <w:sz w:val="20"/>
          <w:szCs w:val="20"/>
          <w:lang w:val="en-US"/>
        </w:rPr>
        <w:t xml:space="preserve"> and how to generate them.</w:t>
      </w:r>
    </w:p>
    <w:p w14:paraId="3A5264C8" w14:textId="77777777" w:rsidR="004D3F84" w:rsidRPr="00FF603B" w:rsidRDefault="004D3F84" w:rsidP="00BE76FF">
      <w:pPr>
        <w:spacing w:line="240" w:lineRule="auto"/>
        <w:rPr>
          <w:color w:val="000000"/>
          <w:shd w:val="clear" w:color="auto" w:fill="FFFFFF"/>
          <w:lang w:val="en-US"/>
        </w:rPr>
      </w:pPr>
    </w:p>
    <w:p w14:paraId="2C36DF37" w14:textId="28C62A14" w:rsidR="00762B9C" w:rsidRPr="00FF603B" w:rsidRDefault="00762B9C">
      <w:pPr>
        <w:spacing w:line="240" w:lineRule="auto"/>
        <w:jc w:val="left"/>
        <w:rPr>
          <w:b/>
          <w:bCs/>
          <w:color w:val="000000" w:themeColor="text1"/>
          <w:sz w:val="32"/>
          <w:szCs w:val="32"/>
          <w:lang w:val="en-US"/>
        </w:rPr>
      </w:pPr>
      <w:r w:rsidRPr="00FF603B">
        <w:br w:type="page"/>
      </w:r>
    </w:p>
    <w:p w14:paraId="4CBA34D5" w14:textId="4045E667" w:rsidR="00E44248" w:rsidRPr="00FF603B" w:rsidRDefault="00FF603B" w:rsidP="00E44248">
      <w:pPr>
        <w:pStyle w:val="Heading2"/>
      </w:pPr>
      <w:r w:rsidRPr="00FF603B">
        <w:lastRenderedPageBreak/>
        <w:t>7</w:t>
      </w:r>
      <w:r w:rsidR="007816CC" w:rsidRPr="00FF603B">
        <w:t xml:space="preserve">.3 </w:t>
      </w:r>
      <w:r w:rsidR="00E44248" w:rsidRPr="00FF603B">
        <w:t>Results</w:t>
      </w:r>
    </w:p>
    <w:p w14:paraId="6852C806" w14:textId="77777777" w:rsidR="00BE76FF" w:rsidRPr="00FF603B" w:rsidRDefault="00BE76FF" w:rsidP="00BE76FF">
      <w:pPr>
        <w:rPr>
          <w:lang w:val="en-US"/>
        </w:rPr>
      </w:pPr>
    </w:p>
    <w:p w14:paraId="6F2F283D" w14:textId="1AFCAE72" w:rsidR="00BE76FF" w:rsidRDefault="00BE76FF" w:rsidP="00BE76FF">
      <w:pPr>
        <w:spacing w:line="240" w:lineRule="auto"/>
        <w:rPr>
          <w:color w:val="000000" w:themeColor="text1"/>
          <w:lang w:val="en-US"/>
        </w:rPr>
      </w:pPr>
      <w:r w:rsidRPr="00FF603B">
        <w:rPr>
          <w:color w:val="000000" w:themeColor="text1"/>
          <w:lang w:val="en-US"/>
        </w:rPr>
        <w:t xml:space="preserve">In what follows, we will </w:t>
      </w:r>
    </w:p>
    <w:p w14:paraId="047DFE0B" w14:textId="77777777" w:rsidR="00FF603B" w:rsidRDefault="00FF603B" w:rsidP="00BE76FF">
      <w:pPr>
        <w:spacing w:line="240" w:lineRule="auto"/>
        <w:rPr>
          <w:color w:val="000000" w:themeColor="text1"/>
          <w:lang w:val="en-US"/>
        </w:rPr>
      </w:pPr>
    </w:p>
    <w:p w14:paraId="3C8A16F7" w14:textId="77777777" w:rsidR="00FF603B" w:rsidRPr="00FF603B" w:rsidRDefault="00FF603B" w:rsidP="00FF603B">
      <w:pPr>
        <w:spacing w:line="240" w:lineRule="auto"/>
        <w:rPr>
          <w:color w:val="000000" w:themeColor="text1"/>
          <w:lang w:val="en-US"/>
        </w:rPr>
      </w:pPr>
      <w:r w:rsidRPr="00FF603B">
        <w:rPr>
          <w:color w:val="000000" w:themeColor="text1"/>
          <w:lang w:val="en-US"/>
        </w:rPr>
        <w:t>Why Model CDR Loops Only</w:t>
      </w:r>
    </w:p>
    <w:p w14:paraId="189FD308" w14:textId="22DD5A09" w:rsidR="00FF603B" w:rsidRPr="00FF603B" w:rsidRDefault="00FF603B" w:rsidP="00FF603B">
      <w:pPr>
        <w:pStyle w:val="ListParagraph"/>
        <w:numPr>
          <w:ilvl w:val="0"/>
          <w:numId w:val="21"/>
        </w:numPr>
        <w:spacing w:line="240" w:lineRule="auto"/>
        <w:rPr>
          <w:color w:val="000000" w:themeColor="text1"/>
          <w:lang w:val="en-US"/>
        </w:rPr>
      </w:pPr>
      <w:r w:rsidRPr="00FF603B">
        <w:rPr>
          <w:color w:val="000000" w:themeColor="text1"/>
          <w:lang w:val="en-US"/>
        </w:rPr>
        <w:t>Framework</w:t>
      </w:r>
      <w:r w:rsidRPr="00FF603B">
        <w:rPr>
          <w:color w:val="000000" w:themeColor="text1"/>
          <w:lang w:val="en-US"/>
        </w:rPr>
        <w:t xml:space="preserve"> regions are constant and not modeled.</w:t>
      </w:r>
    </w:p>
    <w:p w14:paraId="466F9074" w14:textId="0324AEAE" w:rsidR="00FF603B" w:rsidRPr="00FF603B" w:rsidRDefault="00FF603B" w:rsidP="00FF603B">
      <w:pPr>
        <w:pStyle w:val="ListParagraph"/>
        <w:numPr>
          <w:ilvl w:val="0"/>
          <w:numId w:val="21"/>
        </w:numPr>
        <w:spacing w:line="240" w:lineRule="auto"/>
        <w:rPr>
          <w:color w:val="000000" w:themeColor="text1"/>
          <w:lang w:val="en-US"/>
        </w:rPr>
      </w:pPr>
      <w:r w:rsidRPr="00FF603B">
        <w:rPr>
          <w:color w:val="000000" w:themeColor="text1"/>
          <w:lang w:val="en-US"/>
        </w:rPr>
        <w:t>The</w:t>
      </w:r>
      <w:r w:rsidRPr="00FF603B">
        <w:rPr>
          <w:color w:val="000000" w:themeColor="text1"/>
          <w:lang w:val="en-US"/>
        </w:rPr>
        <w:t xml:space="preserve"> model focuses exclusively on generating CDR1–3, which encode binding information.</w:t>
      </w:r>
    </w:p>
    <w:p w14:paraId="1DB8B9BC" w14:textId="06C6C0A3" w:rsidR="00FF603B" w:rsidRPr="00FF603B" w:rsidRDefault="00FF603B" w:rsidP="00FF603B">
      <w:pPr>
        <w:pStyle w:val="ListParagraph"/>
        <w:numPr>
          <w:ilvl w:val="0"/>
          <w:numId w:val="21"/>
        </w:numPr>
        <w:spacing w:line="240" w:lineRule="auto"/>
        <w:rPr>
          <w:color w:val="000000" w:themeColor="text1"/>
          <w:lang w:val="en-US"/>
        </w:rPr>
      </w:pPr>
      <w:r w:rsidRPr="00FF603B">
        <w:rPr>
          <w:color w:val="000000" w:themeColor="text1"/>
          <w:lang w:val="en-US"/>
        </w:rPr>
        <w:t>Reduces</w:t>
      </w:r>
      <w:r w:rsidRPr="00FF603B">
        <w:rPr>
          <w:color w:val="000000" w:themeColor="text1"/>
          <w:lang w:val="en-US"/>
        </w:rPr>
        <w:t xml:space="preserve"> sequence redundancy and model complexity.</w:t>
      </w:r>
    </w:p>
    <w:p w14:paraId="298EC79D" w14:textId="77777777" w:rsidR="007D62D1" w:rsidRPr="00FF603B" w:rsidRDefault="007D62D1" w:rsidP="005B21A8">
      <w:pPr>
        <w:rPr>
          <w:lang w:val="en-US"/>
        </w:rPr>
      </w:pPr>
    </w:p>
    <w:p w14:paraId="12F08F37" w14:textId="316D001B" w:rsidR="008726E3" w:rsidRPr="00FF603B" w:rsidRDefault="00FF603B" w:rsidP="008726E3">
      <w:pPr>
        <w:pStyle w:val="Heading3"/>
        <w:rPr>
          <w:lang w:val="en-US"/>
        </w:rPr>
      </w:pPr>
      <w:r w:rsidRPr="00FF603B">
        <w:rPr>
          <w:lang w:val="en-US"/>
        </w:rPr>
        <w:t>Pretraining</w:t>
      </w:r>
    </w:p>
    <w:p w14:paraId="3DA9E101" w14:textId="77777777" w:rsidR="00FF603B" w:rsidRPr="00FF603B" w:rsidRDefault="00FF603B" w:rsidP="00FF603B">
      <w:r w:rsidRPr="00FF603B">
        <w:t xml:space="preserve">Before designing target-specific CDR3 loops, we pretrained a large language model to learn the general nanobody ‘syntax’ using 7.4M nanobody sequences without specific binding information (Fig. 1). Our model generates sequences containing just CDR loops (omitting framework regions). We evaluated the generative performance of our pretrained model by </w:t>
      </w:r>
      <w:proofErr w:type="spellStart"/>
      <w:r w:rsidRPr="00FF603B">
        <w:t>analyzing</w:t>
      </w:r>
      <w:proofErr w:type="spellEnd"/>
      <w:r w:rsidRPr="00FF603B">
        <w:t xml:space="preserve"> its designs that are sampled using temperature sampling. Our model achieves a uniqueness of 0.768 and a novelty of 0.629 for a temperature of t=1, which is </w:t>
      </w:r>
      <w:proofErr w:type="spellStart"/>
      <w:r w:rsidRPr="00FF603B">
        <w:t>comparible</w:t>
      </w:r>
      <w:proofErr w:type="spellEnd"/>
      <w:r w:rsidRPr="00FF603B">
        <w:t xml:space="preserve"> to </w:t>
      </w:r>
      <w:proofErr w:type="spellStart"/>
      <w:r w:rsidRPr="00FF603B">
        <w:t>exisiting</w:t>
      </w:r>
      <w:proofErr w:type="spellEnd"/>
      <w:r w:rsidRPr="00FF603B">
        <w:t xml:space="preserve"> literature</w:t>
      </w:r>
      <w:r w:rsidRPr="00FF603B">
        <w:fldChar w:fldCharType="begin"/>
      </w:r>
      <w:r w:rsidRPr="00FF603B">
        <w:instrText xml:space="preserve"> ADDIN ZOTERO_ITEM CSL_CITATION {"citationID":"lUjsMnA4","properties":{"formattedCitation":"\\super 1\\nosupersub{}","plainCitation":"1","noteIndex":0},"citationItems":[{"id":1410,"uris":["http://zotero.org/users/6870879/items/DYI875R2"],"itemData":{"id":1410,"type":"article","abstract":"Computational protein design, i.e. inferring novel and diverse protein sequences consistent with a given structure, remains a major unsolved challenge. Recently, deep generative models that learn from sequences alone or from sequences and structures jointly have shown impressive performance on this task. However, those models appear limited in terms of modeling structural constraints, capturing enough sequence diversity, or both. Here we consider three recently proposed deep generative frameworks for protein design: (AR) the sequence-based autoregressive generative model, (GVP) the precise structure-based graph neural network, and Fold2Seq that leverages a fuzzy and scale-free representation of a three-dimensional fold, while enforcing structure-to-sequence (and vice versa) consistency. We benchmark these models on the task of computational design of antibody sequences, which demand designing sequences with high diversity for functional implication. The Fold2Seq framework outperforms the two other baselines in terms of diversity of the designed sequences, while maintaining the typical fold.","DOI":"10.48550/ARXIV.2111.06801","license":"Creative Commons Attribution 4.0 International","note":"version: 1","publisher":"arXiv","source":"DOI.org (Datacite)","title":"Benchmarking deep generative models for diverse antibody sequence design","URL":"https://arxiv.org/abs/2111.06801","author":[{"family":"Melnyk","given":"Igor"},{"family":"Das","given":"Payel"},{"family":"Chenthamarakshan","given":"Vijil"},{"family":"Lozano","given":"Aurelie"}],"accessed":{"date-parts":[["2024",9,18]]},"issued":{"date-parts":[["2021"]]}}}],"schema":"https://github.com/citation-style-language/schema/raw/master/csl-citation.json"} </w:instrText>
      </w:r>
      <w:r w:rsidRPr="00FF603B">
        <w:fldChar w:fldCharType="separate"/>
      </w:r>
      <w:r w:rsidRPr="00FF603B">
        <w:rPr>
          <w:kern w:val="0"/>
          <w:vertAlign w:val="superscript"/>
        </w:rPr>
        <w:t>1</w:t>
      </w:r>
      <w:r w:rsidRPr="00FF603B">
        <w:fldChar w:fldCharType="end"/>
      </w:r>
      <w:r w:rsidRPr="00FF603B">
        <w:t>. By increasing the sampling temperature, designs become more unique and novel (Fig. 1</w:t>
      </w:r>
      <w:proofErr w:type="gramStart"/>
      <w:r w:rsidRPr="00FF603B">
        <w:t>d,e</w:t>
      </w:r>
      <w:proofErr w:type="gramEnd"/>
      <w:r w:rsidRPr="00FF603B">
        <w:t>). A higher temperature allows for more ‘creativity’ in sampled designs by moving away from the models original learned probability landscape (</w:t>
      </w:r>
      <w:r w:rsidRPr="00FF603B">
        <w:rPr>
          <w:i/>
          <w:iCs/>
        </w:rPr>
        <w:t>t</w:t>
      </w:r>
      <w:r w:rsidRPr="00FF603B">
        <w:t xml:space="preserve">=1). Due to the untargeted nature of the pretraining data, detailed evaluation of CDR motifs is infeasible. However, as a </w:t>
      </w:r>
      <w:proofErr w:type="spellStart"/>
      <w:r w:rsidRPr="00FF603B">
        <w:t>santity</w:t>
      </w:r>
      <w:proofErr w:type="spellEnd"/>
      <w:r w:rsidRPr="00FF603B">
        <w:t xml:space="preserve"> check, </w:t>
      </w:r>
      <w:proofErr w:type="spellStart"/>
      <w:r w:rsidRPr="00FF603B">
        <w:t>pysicochemical</w:t>
      </w:r>
      <w:proofErr w:type="spellEnd"/>
      <w:r w:rsidRPr="00FF603B">
        <w:t xml:space="preserve"> property distributions of designs match distributions from the test set, while being more dissimilar to control sequences designed with a simple statistical method in comparison (Supp Fig. 1).</w:t>
      </w:r>
    </w:p>
    <w:p w14:paraId="3929AAFF" w14:textId="77777777" w:rsidR="00FF603B" w:rsidRPr="00FF603B" w:rsidRDefault="00FF603B" w:rsidP="00FF603B"/>
    <w:p w14:paraId="0E91C4FE" w14:textId="77777777" w:rsidR="00FF603B" w:rsidRPr="00FF603B" w:rsidRDefault="00FF603B" w:rsidP="00FF603B"/>
    <w:p w14:paraId="093EFB46" w14:textId="77777777" w:rsidR="00FF603B" w:rsidRPr="00FF603B" w:rsidRDefault="00FF603B" w:rsidP="00FF603B">
      <w:pPr>
        <w:jc w:val="center"/>
        <w:rPr>
          <w:b/>
          <w:bCs/>
        </w:rPr>
      </w:pPr>
      <w:r w:rsidRPr="00FF603B">
        <w:rPr>
          <w:b/>
          <w:bCs/>
          <w:noProof/>
        </w:rPr>
        <w:lastRenderedPageBreak/>
        <w:drawing>
          <wp:inline distT="0" distB="0" distL="0" distR="0" wp14:anchorId="6C5B437C" wp14:editId="49BE794E">
            <wp:extent cx="4240272" cy="2469334"/>
            <wp:effectExtent l="0" t="0" r="1905" b="0"/>
            <wp:docPr id="494557518" name="Picture 2"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57518" name="Picture 2" descr="A graph of different types of graph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40272" cy="2469334"/>
                    </a:xfrm>
                    <a:prstGeom prst="rect">
                      <a:avLst/>
                    </a:prstGeom>
                  </pic:spPr>
                </pic:pic>
              </a:graphicData>
            </a:graphic>
          </wp:inline>
        </w:drawing>
      </w:r>
    </w:p>
    <w:p w14:paraId="503A6C58" w14:textId="77777777" w:rsidR="00FF603B" w:rsidRPr="00FF603B" w:rsidRDefault="00FF603B" w:rsidP="00FF603B">
      <w:pPr>
        <w:rPr>
          <w:sz w:val="20"/>
          <w:szCs w:val="20"/>
        </w:rPr>
      </w:pPr>
      <w:r w:rsidRPr="00FF603B">
        <w:rPr>
          <w:b/>
          <w:bCs/>
          <w:sz w:val="20"/>
          <w:szCs w:val="20"/>
        </w:rPr>
        <w:t xml:space="preserve">Fig 1 | Generative performance of the pretrained model. </w:t>
      </w:r>
      <w:proofErr w:type="gramStart"/>
      <w:r w:rsidRPr="00FF603B">
        <w:rPr>
          <w:b/>
          <w:bCs/>
          <w:sz w:val="20"/>
          <w:szCs w:val="20"/>
        </w:rPr>
        <w:t>a,</w:t>
      </w:r>
      <w:proofErr w:type="gramEnd"/>
      <w:r w:rsidRPr="00FF603B">
        <w:rPr>
          <w:b/>
          <w:bCs/>
          <w:sz w:val="20"/>
          <w:szCs w:val="20"/>
        </w:rPr>
        <w:t xml:space="preserve"> </w:t>
      </w:r>
      <w:r w:rsidRPr="00FF603B">
        <w:rPr>
          <w:sz w:val="20"/>
          <w:szCs w:val="20"/>
        </w:rPr>
        <w:t xml:space="preserve">Model losses during training. </w:t>
      </w:r>
      <w:r w:rsidRPr="00FF603B">
        <w:rPr>
          <w:b/>
          <w:bCs/>
          <w:sz w:val="20"/>
          <w:szCs w:val="20"/>
        </w:rPr>
        <w:t>b</w:t>
      </w:r>
      <w:r w:rsidRPr="00FF603B">
        <w:rPr>
          <w:sz w:val="20"/>
          <w:szCs w:val="20"/>
        </w:rPr>
        <w:t>, Jensen-Shannon divergence (</w:t>
      </w:r>
      <m:oMath>
        <m:sSub>
          <m:sSubPr>
            <m:ctrlPr>
              <w:rPr>
                <w:rFonts w:ascii="Cambria Math" w:hAnsi="Cambria Math"/>
              </w:rPr>
            </m:ctrlPr>
          </m:sSubPr>
          <m:e>
            <m:r>
              <w:rPr>
                <w:rFonts w:ascii="Cambria Math" w:hAnsi="Cambria Math"/>
              </w:rPr>
              <m:t>D</m:t>
            </m:r>
          </m:e>
          <m:sub>
            <m:r>
              <w:rPr>
                <w:rFonts w:ascii="Cambria Math" w:hAnsi="Cambria Math"/>
              </w:rPr>
              <m:t>JS</m:t>
            </m:r>
          </m:sub>
        </m:sSub>
      </m:oMath>
      <w:r w:rsidRPr="00FF603B">
        <w:t>)</w:t>
      </w:r>
      <w:r w:rsidRPr="00FF603B">
        <w:rPr>
          <w:sz w:val="20"/>
          <w:szCs w:val="20"/>
        </w:rPr>
        <w:t xml:space="preserve"> between generated nanobody sequences and the test set across different sampling temperatures. </w:t>
      </w:r>
      <w:r w:rsidRPr="00FF603B">
        <w:rPr>
          <w:b/>
          <w:bCs/>
          <w:sz w:val="20"/>
          <w:szCs w:val="20"/>
        </w:rPr>
        <w:t>c</w:t>
      </w:r>
      <w:r w:rsidRPr="00FF603B">
        <w:rPr>
          <w:sz w:val="20"/>
          <w:szCs w:val="20"/>
        </w:rPr>
        <w:t xml:space="preserve">, Validity of generated nanobody sequences across different temperatures. </w:t>
      </w:r>
      <w:r w:rsidRPr="00FF603B">
        <w:rPr>
          <w:b/>
          <w:bCs/>
          <w:sz w:val="20"/>
          <w:szCs w:val="20"/>
        </w:rPr>
        <w:t>d</w:t>
      </w:r>
      <w:r w:rsidRPr="00FF603B">
        <w:rPr>
          <w:sz w:val="20"/>
          <w:szCs w:val="20"/>
        </w:rPr>
        <w:t xml:space="preserve">, Uniqueness (fraction of unique designs) of nanobody designs across different temperatures, measured on valid sequences. </w:t>
      </w:r>
      <w:r w:rsidRPr="00FF603B">
        <w:rPr>
          <w:b/>
          <w:bCs/>
          <w:sz w:val="20"/>
          <w:szCs w:val="20"/>
        </w:rPr>
        <w:t>e</w:t>
      </w:r>
      <w:r w:rsidRPr="00FF603B">
        <w:rPr>
          <w:sz w:val="20"/>
          <w:szCs w:val="20"/>
        </w:rPr>
        <w:t xml:space="preserve">, Novelty (fraction of designs not </w:t>
      </w:r>
      <w:proofErr w:type="spellStart"/>
      <w:r w:rsidRPr="00FF603B">
        <w:rPr>
          <w:sz w:val="20"/>
          <w:szCs w:val="20"/>
        </w:rPr>
        <w:t>occuring</w:t>
      </w:r>
      <w:proofErr w:type="spellEnd"/>
      <w:r w:rsidRPr="00FF603B">
        <w:rPr>
          <w:sz w:val="20"/>
          <w:szCs w:val="20"/>
        </w:rPr>
        <w:t xml:space="preserve"> in the training set) of nanobody designs across different temperatures, measured on valid sequences. Metrics in </w:t>
      </w:r>
      <w:r w:rsidRPr="00FF603B">
        <w:rPr>
          <w:b/>
          <w:bCs/>
          <w:sz w:val="20"/>
          <w:szCs w:val="20"/>
        </w:rPr>
        <w:t>c</w:t>
      </w:r>
      <w:r w:rsidRPr="00FF603B">
        <w:rPr>
          <w:sz w:val="20"/>
          <w:szCs w:val="20"/>
        </w:rPr>
        <w:t>-</w:t>
      </w:r>
      <w:r w:rsidRPr="00FF603B">
        <w:rPr>
          <w:b/>
          <w:bCs/>
          <w:sz w:val="20"/>
          <w:szCs w:val="20"/>
        </w:rPr>
        <w:t>e</w:t>
      </w:r>
      <w:r w:rsidRPr="00FF603B">
        <w:rPr>
          <w:sz w:val="20"/>
          <w:szCs w:val="20"/>
        </w:rPr>
        <w:t xml:space="preserve"> are calculated on n=100,000 designs. </w:t>
      </w:r>
    </w:p>
    <w:p w14:paraId="31EE15F6" w14:textId="77777777" w:rsidR="00BE76FF" w:rsidRPr="00FF603B" w:rsidRDefault="00BE76FF" w:rsidP="00BE76FF">
      <w:pPr>
        <w:rPr>
          <w:sz w:val="21"/>
          <w:szCs w:val="21"/>
          <w:lang w:val="en-US"/>
        </w:rPr>
      </w:pPr>
    </w:p>
    <w:p w14:paraId="3A19D504" w14:textId="77777777" w:rsidR="00FF603B" w:rsidRPr="00FF603B" w:rsidRDefault="00FF603B" w:rsidP="00FF603B">
      <w:r w:rsidRPr="00FF603B">
        <w:rPr>
          <w:noProof/>
        </w:rPr>
        <w:lastRenderedPageBreak/>
        <w:drawing>
          <wp:inline distT="0" distB="0" distL="0" distR="0" wp14:anchorId="371AB5C1" wp14:editId="14806680">
            <wp:extent cx="4681728" cy="4416552"/>
            <wp:effectExtent l="0" t="0" r="5080" b="0"/>
            <wp:docPr id="3997101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1016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4416552"/>
                    </a:xfrm>
                    <a:prstGeom prst="rect">
                      <a:avLst/>
                    </a:prstGeom>
                  </pic:spPr>
                </pic:pic>
              </a:graphicData>
            </a:graphic>
          </wp:inline>
        </w:drawing>
      </w:r>
    </w:p>
    <w:p w14:paraId="0C0DC23D" w14:textId="77777777" w:rsidR="00FF603B" w:rsidRPr="00FF603B" w:rsidRDefault="00FF603B" w:rsidP="00FF603B">
      <w:pPr>
        <w:rPr>
          <w:b/>
          <w:bCs/>
          <w:sz w:val="20"/>
          <w:szCs w:val="20"/>
        </w:rPr>
      </w:pPr>
      <w:r w:rsidRPr="00FF603B">
        <w:rPr>
          <w:b/>
          <w:bCs/>
          <w:sz w:val="20"/>
          <w:szCs w:val="20"/>
        </w:rPr>
        <w:t xml:space="preserve">Supplementary figure 1 | </w:t>
      </w:r>
      <w:proofErr w:type="spellStart"/>
      <w:r w:rsidRPr="00FF603B">
        <w:rPr>
          <w:b/>
          <w:bCs/>
          <w:sz w:val="20"/>
          <w:szCs w:val="20"/>
        </w:rPr>
        <w:t>Phyicochemical</w:t>
      </w:r>
      <w:proofErr w:type="spellEnd"/>
      <w:r w:rsidRPr="00FF603B">
        <w:rPr>
          <w:b/>
          <w:bCs/>
          <w:sz w:val="20"/>
          <w:szCs w:val="20"/>
        </w:rPr>
        <w:t xml:space="preserve"> properties of CDR regions generated by the pretrained model. </w:t>
      </w:r>
      <w:r w:rsidRPr="00FF603B">
        <w:rPr>
          <w:sz w:val="20"/>
          <w:szCs w:val="20"/>
        </w:rPr>
        <w:t xml:space="preserve">Property distributions of generated CDR region 1-3 for different sampling temperatures in comparison to test set sequences or </w:t>
      </w:r>
      <w:proofErr w:type="spellStart"/>
      <w:r w:rsidRPr="00FF603B">
        <w:rPr>
          <w:sz w:val="20"/>
          <w:szCs w:val="20"/>
        </w:rPr>
        <w:t>modelfree</w:t>
      </w:r>
      <w:proofErr w:type="spellEnd"/>
      <w:r w:rsidRPr="00FF603B">
        <w:rPr>
          <w:sz w:val="20"/>
          <w:szCs w:val="20"/>
        </w:rPr>
        <w:t xml:space="preserve"> designs. All metrics are calculated using n=100,000 designs. </w:t>
      </w:r>
      <w:r w:rsidRPr="00FF603B">
        <w:rPr>
          <w:b/>
          <w:bCs/>
          <w:sz w:val="20"/>
          <w:szCs w:val="20"/>
        </w:rPr>
        <w:t>a</w:t>
      </w:r>
      <w:r w:rsidRPr="00FF603B">
        <w:rPr>
          <w:sz w:val="20"/>
          <w:szCs w:val="20"/>
        </w:rPr>
        <w:t>-</w:t>
      </w:r>
      <w:r w:rsidRPr="00FF603B">
        <w:rPr>
          <w:b/>
          <w:bCs/>
          <w:sz w:val="20"/>
          <w:szCs w:val="20"/>
        </w:rPr>
        <w:t>c</w:t>
      </w:r>
      <w:r w:rsidRPr="00FF603B">
        <w:rPr>
          <w:sz w:val="20"/>
          <w:szCs w:val="20"/>
        </w:rPr>
        <w:t>,</w:t>
      </w:r>
      <w:r w:rsidRPr="00FF603B">
        <w:rPr>
          <w:b/>
          <w:bCs/>
          <w:sz w:val="20"/>
          <w:szCs w:val="20"/>
        </w:rPr>
        <w:t xml:space="preserve"> </w:t>
      </w:r>
      <w:r w:rsidRPr="00FF603B">
        <w:rPr>
          <w:sz w:val="20"/>
          <w:szCs w:val="20"/>
        </w:rPr>
        <w:t xml:space="preserve">Distributions of the ratio between hydrophilic and hydrophobic amino acids. </w:t>
      </w:r>
      <w:r w:rsidRPr="00FF603B">
        <w:rPr>
          <w:b/>
          <w:bCs/>
          <w:sz w:val="20"/>
          <w:szCs w:val="20"/>
        </w:rPr>
        <w:t>d</w:t>
      </w:r>
      <w:r w:rsidRPr="00FF603B">
        <w:rPr>
          <w:sz w:val="20"/>
          <w:szCs w:val="20"/>
        </w:rPr>
        <w:t>, Jensen-Shannon divergence (</w:t>
      </w:r>
      <m:oMath>
        <m:sSub>
          <m:sSubPr>
            <m:ctrlPr>
              <w:rPr>
                <w:rFonts w:ascii="Cambria Math" w:hAnsi="Cambria Math"/>
              </w:rPr>
            </m:ctrlPr>
          </m:sSubPr>
          <m:e>
            <m:r>
              <w:rPr>
                <w:rFonts w:ascii="Cambria Math" w:hAnsi="Cambria Math"/>
              </w:rPr>
              <m:t>D</m:t>
            </m:r>
          </m:e>
          <m:sub>
            <m:r>
              <w:rPr>
                <w:rFonts w:ascii="Cambria Math" w:hAnsi="Cambria Math"/>
              </w:rPr>
              <m:t>JS</m:t>
            </m:r>
          </m:sub>
        </m:sSub>
      </m:oMath>
      <w:r w:rsidRPr="00FF603B">
        <w:rPr>
          <w:sz w:val="20"/>
          <w:szCs w:val="20"/>
        </w:rPr>
        <w:t xml:space="preserve">) between the hydrophilicity ratio distributions of generated CDR regions across different sampling temperatures in relation to test set sequences or </w:t>
      </w:r>
      <w:proofErr w:type="spellStart"/>
      <w:r w:rsidRPr="00FF603B">
        <w:rPr>
          <w:sz w:val="20"/>
          <w:szCs w:val="20"/>
        </w:rPr>
        <w:t>modelfree</w:t>
      </w:r>
      <w:proofErr w:type="spellEnd"/>
      <w:r w:rsidRPr="00FF603B">
        <w:rPr>
          <w:sz w:val="20"/>
          <w:szCs w:val="20"/>
        </w:rPr>
        <w:t xml:space="preserve"> designs. </w:t>
      </w:r>
      <w:r w:rsidRPr="00FF603B">
        <w:rPr>
          <w:b/>
          <w:bCs/>
          <w:sz w:val="20"/>
          <w:szCs w:val="20"/>
        </w:rPr>
        <w:t>e</w:t>
      </w:r>
      <w:r w:rsidRPr="00FF603B">
        <w:rPr>
          <w:sz w:val="20"/>
          <w:szCs w:val="20"/>
        </w:rPr>
        <w:t>-</w:t>
      </w:r>
      <w:r w:rsidRPr="00FF603B">
        <w:rPr>
          <w:b/>
          <w:bCs/>
          <w:sz w:val="20"/>
          <w:szCs w:val="20"/>
        </w:rPr>
        <w:t>g</w:t>
      </w:r>
      <w:r w:rsidRPr="00FF603B">
        <w:rPr>
          <w:sz w:val="20"/>
          <w:szCs w:val="20"/>
        </w:rPr>
        <w:t xml:space="preserve">, Distributions of molecular weight. </w:t>
      </w:r>
      <w:r w:rsidRPr="00FF603B">
        <w:rPr>
          <w:b/>
          <w:bCs/>
          <w:sz w:val="20"/>
          <w:szCs w:val="20"/>
        </w:rPr>
        <w:t>h</w:t>
      </w:r>
      <w:r w:rsidRPr="00FF603B">
        <w:rPr>
          <w:sz w:val="20"/>
          <w:szCs w:val="20"/>
        </w:rPr>
        <w:t xml:space="preserve">, Jensen-Shannon divergence of molecular weight distributions. </w:t>
      </w:r>
      <w:proofErr w:type="spellStart"/>
      <w:r w:rsidRPr="00FF603B">
        <w:rPr>
          <w:b/>
          <w:bCs/>
          <w:sz w:val="20"/>
          <w:szCs w:val="20"/>
        </w:rPr>
        <w:t>i</w:t>
      </w:r>
      <w:proofErr w:type="spellEnd"/>
      <w:r w:rsidRPr="00FF603B">
        <w:rPr>
          <w:sz w:val="20"/>
          <w:szCs w:val="20"/>
        </w:rPr>
        <w:t>-</w:t>
      </w:r>
      <w:r w:rsidRPr="00FF603B">
        <w:rPr>
          <w:b/>
          <w:bCs/>
          <w:sz w:val="20"/>
          <w:szCs w:val="20"/>
        </w:rPr>
        <w:t>k</w:t>
      </w:r>
      <w:r w:rsidRPr="00FF603B">
        <w:rPr>
          <w:sz w:val="20"/>
          <w:szCs w:val="20"/>
        </w:rPr>
        <w:t>,</w:t>
      </w:r>
      <w:r w:rsidRPr="00FF603B">
        <w:rPr>
          <w:b/>
          <w:bCs/>
          <w:sz w:val="20"/>
          <w:szCs w:val="20"/>
        </w:rPr>
        <w:t xml:space="preserve"> </w:t>
      </w:r>
      <w:r w:rsidRPr="00FF603B">
        <w:rPr>
          <w:sz w:val="20"/>
          <w:szCs w:val="20"/>
        </w:rPr>
        <w:t xml:space="preserve">Distributions of CDR regions hydrophilicity. </w:t>
      </w:r>
      <w:r w:rsidRPr="00FF603B">
        <w:rPr>
          <w:b/>
          <w:bCs/>
          <w:sz w:val="20"/>
          <w:szCs w:val="20"/>
        </w:rPr>
        <w:t>l</w:t>
      </w:r>
      <w:r w:rsidRPr="00FF603B">
        <w:rPr>
          <w:sz w:val="20"/>
          <w:szCs w:val="20"/>
        </w:rPr>
        <w:t xml:space="preserve">, Jensen-Shannon divergence of hydrophilicity distributions. </w:t>
      </w:r>
      <w:r w:rsidRPr="00FF603B">
        <w:rPr>
          <w:b/>
          <w:bCs/>
          <w:sz w:val="20"/>
          <w:szCs w:val="20"/>
        </w:rPr>
        <w:t>m</w:t>
      </w:r>
      <w:r w:rsidRPr="00FF603B">
        <w:rPr>
          <w:sz w:val="20"/>
          <w:szCs w:val="20"/>
        </w:rPr>
        <w:t>-</w:t>
      </w:r>
      <w:r w:rsidRPr="00FF603B">
        <w:rPr>
          <w:b/>
          <w:bCs/>
          <w:sz w:val="20"/>
          <w:szCs w:val="20"/>
        </w:rPr>
        <w:t>o</w:t>
      </w:r>
      <w:r w:rsidRPr="00FF603B">
        <w:rPr>
          <w:sz w:val="20"/>
          <w:szCs w:val="20"/>
        </w:rPr>
        <w:t>, Distributions of the isoelectric point (</w:t>
      </w:r>
      <w:proofErr w:type="spellStart"/>
      <w:r w:rsidRPr="00FF603B">
        <w:rPr>
          <w:sz w:val="20"/>
          <w:szCs w:val="20"/>
        </w:rPr>
        <w:t>pI</w:t>
      </w:r>
      <w:proofErr w:type="spellEnd"/>
      <w:r w:rsidRPr="00FF603B">
        <w:rPr>
          <w:sz w:val="20"/>
          <w:szCs w:val="20"/>
        </w:rPr>
        <w:t xml:space="preserve">) of CDR regions. </w:t>
      </w:r>
      <w:r w:rsidRPr="00FF603B">
        <w:rPr>
          <w:b/>
          <w:bCs/>
          <w:sz w:val="20"/>
          <w:szCs w:val="20"/>
        </w:rPr>
        <w:t>p</w:t>
      </w:r>
      <w:r w:rsidRPr="00FF603B">
        <w:rPr>
          <w:sz w:val="20"/>
          <w:szCs w:val="20"/>
        </w:rPr>
        <w:t>, Jensen-Shannon divergence of isoelectric point distributions.</w:t>
      </w:r>
    </w:p>
    <w:p w14:paraId="06E15217" w14:textId="77777777" w:rsidR="00FF603B" w:rsidRPr="00FF603B" w:rsidRDefault="00FF603B" w:rsidP="00FF603B">
      <w:pPr>
        <w:rPr>
          <w:b/>
          <w:bCs/>
          <w:sz w:val="20"/>
          <w:szCs w:val="20"/>
        </w:rPr>
      </w:pPr>
    </w:p>
    <w:p w14:paraId="0D16EB1D" w14:textId="77777777" w:rsidR="00FF603B" w:rsidRPr="00FF603B" w:rsidRDefault="00FF603B" w:rsidP="00FF603B">
      <w:pPr>
        <w:rPr>
          <w:sz w:val="20"/>
          <w:szCs w:val="20"/>
        </w:rPr>
      </w:pPr>
    </w:p>
    <w:p w14:paraId="3ACAE096" w14:textId="79D736B6" w:rsidR="00FF603B" w:rsidRPr="00FF603B" w:rsidRDefault="00FF603B" w:rsidP="00FF603B">
      <w:pPr>
        <w:pStyle w:val="Heading3"/>
        <w:rPr>
          <w:lang w:val="en-US"/>
        </w:rPr>
      </w:pPr>
      <w:r w:rsidRPr="00FF603B">
        <w:rPr>
          <w:lang w:val="en-US"/>
        </w:rPr>
        <w:t>Pretraining</w:t>
      </w:r>
      <w:r w:rsidRPr="00FF603B">
        <w:rPr>
          <w:lang w:val="en-US"/>
        </w:rPr>
        <w:t xml:space="preserve"> Finetuning on binders</w:t>
      </w:r>
    </w:p>
    <w:p w14:paraId="017E0D01" w14:textId="77777777" w:rsidR="00FF603B" w:rsidRPr="00FF603B" w:rsidRDefault="00FF603B" w:rsidP="00FF603B">
      <w:r w:rsidRPr="00FF603B">
        <w:lastRenderedPageBreak/>
        <w:t xml:space="preserve">A set of 8,816 nanobody binders was used to finetune the pretrained model (Fig. 3a, b). Using the finetuned model, 100,000 nanobody sequences were generated. From these generations, 99.8% was valid, 62.9% was unique, and 71.7% and 100% was novel in relation to the finetuning or pretraining data respectively (Table 1). Ideally, these sequences are </w:t>
      </w:r>
      <w:proofErr w:type="gramStart"/>
      <w:r w:rsidRPr="00FF603B">
        <w:t>similar to</w:t>
      </w:r>
      <w:proofErr w:type="gramEnd"/>
      <w:r w:rsidRPr="00FF603B">
        <w:t xml:space="preserve"> the finetuning data of nanobody binders and have moved away from the pretraining data that did not contain specific binding information. Comparing model negative log likelihoods (NLL, eq. 1) of the generated sequences and sequences in the finetuning and pretraining data (Fig. 3c), we see that generated sequences achieve similar NLL values as sequences in the finetune data. Sequences in the pretrain data or control sequences, on the other hand, yield high (worse) NLL values. Looking at physicochemical properties, computed hydrophilicity of CDR regions of generated sequences </w:t>
      </w:r>
      <w:proofErr w:type="gramStart"/>
      <w:r w:rsidRPr="00FF603B">
        <w:t>have</w:t>
      </w:r>
      <w:proofErr w:type="gramEnd"/>
      <w:r w:rsidRPr="00FF603B">
        <w:t xml:space="preserve"> shifted towards the properties of the finetune data (Fig. 3d-f). Finally, global CDR1, 2, and 3 sequence motifs of the generated sequences are highly </w:t>
      </w:r>
      <w:proofErr w:type="gramStart"/>
      <w:r w:rsidRPr="00FF603B">
        <w:t>similar to</w:t>
      </w:r>
      <w:proofErr w:type="gramEnd"/>
      <w:r w:rsidRPr="00FF603B">
        <w:t xml:space="preserve"> the finetuning data and dissimilar to the </w:t>
      </w:r>
      <w:proofErr w:type="spellStart"/>
      <w:r w:rsidRPr="00FF603B">
        <w:t>pretrianing</w:t>
      </w:r>
      <w:proofErr w:type="spellEnd"/>
      <w:r w:rsidRPr="00FF603B">
        <w:t xml:space="preserve"> data (Fig. 4). At the same time, motifs of the generated sequences are not identical to the finetuning data, both </w:t>
      </w:r>
      <w:proofErr w:type="spellStart"/>
      <w:r w:rsidRPr="00FF603B">
        <w:t>globablly</w:t>
      </w:r>
      <w:proofErr w:type="spellEnd"/>
      <w:r w:rsidRPr="00FF603B">
        <w:t xml:space="preserve"> (Fig. 4) and in enriched k-</w:t>
      </w:r>
      <w:proofErr w:type="spellStart"/>
      <w:r w:rsidRPr="00FF603B">
        <w:t>mers</w:t>
      </w:r>
      <w:proofErr w:type="spellEnd"/>
      <w:r w:rsidRPr="00FF603B">
        <w:t xml:space="preserve"> (</w:t>
      </w:r>
      <w:proofErr w:type="gramStart"/>
      <w:r w:rsidRPr="00FF603B">
        <w:t>Fig. ?</w:t>
      </w:r>
      <w:proofErr w:type="gramEnd"/>
      <w:r w:rsidRPr="00FF603B">
        <w:t>). This shows that the finetuned model has learned the global properties of binders according to the finetuning data, while still having the ability to generate novel sequences.</w:t>
      </w:r>
    </w:p>
    <w:p w14:paraId="5BC595FC" w14:textId="77777777" w:rsidR="00FF603B" w:rsidRPr="00FF603B" w:rsidRDefault="00FF603B" w:rsidP="00FF603B"/>
    <w:p w14:paraId="505AEFB5" w14:textId="73BB771F" w:rsidR="00FF603B" w:rsidRPr="00FF603B" w:rsidRDefault="00FF603B" w:rsidP="00FF603B">
      <w:pPr>
        <w:pStyle w:val="Heading3"/>
        <w:rPr>
          <w:lang w:val="en-US"/>
        </w:rPr>
      </w:pPr>
      <w:r w:rsidRPr="00FF603B">
        <w:rPr>
          <w:lang w:val="en-US"/>
        </w:rPr>
        <w:t>Design acquisition</w:t>
      </w:r>
    </w:p>
    <w:p w14:paraId="1A53FD8F" w14:textId="79D5C2A4" w:rsidR="00FF603B" w:rsidRPr="00FF603B" w:rsidRDefault="00FF603B" w:rsidP="00FF603B">
      <w:r w:rsidRPr="00FF603B">
        <w:t xml:space="preserve">From the generated sequences, the 900 best scoring valid, unique, and novel designs were selected for follow-up. Generated sequences were selected by their corrected negative log likelihood value (eq. 7, Fig. 3g) using greedy acquisition (eq. 8). The top ranked designs proved to contain particularly similar sequence compositions to the finetune data, while still being novel in structure (Fig. 4), which is desirable. Alongside the top ranked designs, the 100 best scoring (eq. 7) sequences from the finetuning data were selected. </w:t>
      </w:r>
    </w:p>
    <w:p w14:paraId="23330688" w14:textId="77777777" w:rsidR="00FF603B" w:rsidRPr="00FF603B" w:rsidRDefault="00FF603B" w:rsidP="00FF603B"/>
    <w:p w14:paraId="778E4FFE" w14:textId="77777777" w:rsidR="00FF603B" w:rsidRPr="00FF603B" w:rsidRDefault="00FF603B" w:rsidP="00FF603B">
      <w:pPr>
        <w:jc w:val="center"/>
      </w:pPr>
      <w:r w:rsidRPr="00FF603B">
        <w:rPr>
          <w:b/>
          <w:bCs/>
          <w:sz w:val="20"/>
          <w:szCs w:val="20"/>
        </w:rPr>
        <w:t xml:space="preserve">Table 1 | Generative performance metrics of the finetuned model. </w:t>
      </w:r>
      <w:r w:rsidRPr="00FF603B">
        <w:rPr>
          <w:sz w:val="20"/>
          <w:szCs w:val="20"/>
        </w:rPr>
        <w:t>A total of</w:t>
      </w:r>
      <w:r w:rsidRPr="00FF603B">
        <w:rPr>
          <w:b/>
          <w:bCs/>
          <w:sz w:val="20"/>
          <w:szCs w:val="20"/>
        </w:rPr>
        <w:t xml:space="preserve"> </w:t>
      </w:r>
      <w:r w:rsidRPr="00FF603B">
        <w:rPr>
          <w:sz w:val="20"/>
          <w:szCs w:val="20"/>
        </w:rPr>
        <w:t>100,000 sequences were generated.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50"/>
        <w:gridCol w:w="709"/>
        <w:gridCol w:w="652"/>
        <w:gridCol w:w="652"/>
      </w:tblGrid>
      <w:tr w:rsidR="00FF603B" w:rsidRPr="00FF603B" w14:paraId="704962B6" w14:textId="77777777" w:rsidTr="00FB3754">
        <w:trPr>
          <w:jc w:val="center"/>
        </w:trPr>
        <w:tc>
          <w:tcPr>
            <w:tcW w:w="1555" w:type="dxa"/>
            <w:shd w:val="clear" w:color="auto" w:fill="FFFFFF" w:themeFill="background1"/>
          </w:tcPr>
          <w:p w14:paraId="299FB325" w14:textId="77777777" w:rsidR="00FF603B" w:rsidRPr="00FF603B" w:rsidRDefault="00FF603B" w:rsidP="00FB3754">
            <w:pPr>
              <w:rPr>
                <w:sz w:val="16"/>
                <w:szCs w:val="16"/>
              </w:rPr>
            </w:pPr>
          </w:p>
        </w:tc>
        <w:tc>
          <w:tcPr>
            <w:tcW w:w="850" w:type="dxa"/>
            <w:tcBorders>
              <w:bottom w:val="single" w:sz="4" w:space="0" w:color="auto"/>
            </w:tcBorders>
            <w:shd w:val="clear" w:color="auto" w:fill="FFFFFF" w:themeFill="background1"/>
          </w:tcPr>
          <w:p w14:paraId="6EA84D42" w14:textId="77777777" w:rsidR="00FF603B" w:rsidRPr="00FF603B" w:rsidRDefault="00FF603B" w:rsidP="00FB3754">
            <w:pPr>
              <w:rPr>
                <w:b/>
                <w:bCs/>
                <w:sz w:val="16"/>
                <w:szCs w:val="16"/>
              </w:rPr>
            </w:pPr>
            <w:r w:rsidRPr="00FF603B">
              <w:rPr>
                <w:b/>
                <w:bCs/>
                <w:sz w:val="16"/>
                <w:szCs w:val="16"/>
              </w:rPr>
              <w:t>CDR1-3</w:t>
            </w:r>
          </w:p>
        </w:tc>
        <w:tc>
          <w:tcPr>
            <w:tcW w:w="709" w:type="dxa"/>
            <w:tcBorders>
              <w:bottom w:val="single" w:sz="4" w:space="0" w:color="auto"/>
            </w:tcBorders>
            <w:shd w:val="clear" w:color="auto" w:fill="FFFFFF" w:themeFill="background1"/>
          </w:tcPr>
          <w:p w14:paraId="49A8CD5E" w14:textId="77777777" w:rsidR="00FF603B" w:rsidRPr="00FF603B" w:rsidRDefault="00FF603B" w:rsidP="00FB3754">
            <w:pPr>
              <w:rPr>
                <w:b/>
                <w:bCs/>
                <w:sz w:val="16"/>
                <w:szCs w:val="16"/>
              </w:rPr>
            </w:pPr>
            <w:r w:rsidRPr="00FF603B">
              <w:rPr>
                <w:b/>
                <w:bCs/>
                <w:sz w:val="16"/>
                <w:szCs w:val="16"/>
              </w:rPr>
              <w:t>CDR1</w:t>
            </w:r>
          </w:p>
        </w:tc>
        <w:tc>
          <w:tcPr>
            <w:tcW w:w="652" w:type="dxa"/>
            <w:tcBorders>
              <w:bottom w:val="single" w:sz="4" w:space="0" w:color="auto"/>
            </w:tcBorders>
            <w:shd w:val="clear" w:color="auto" w:fill="FFFFFF" w:themeFill="background1"/>
          </w:tcPr>
          <w:p w14:paraId="6BDB7AAB" w14:textId="77777777" w:rsidR="00FF603B" w:rsidRPr="00FF603B" w:rsidRDefault="00FF603B" w:rsidP="00FB3754">
            <w:pPr>
              <w:rPr>
                <w:b/>
                <w:bCs/>
                <w:sz w:val="16"/>
                <w:szCs w:val="16"/>
              </w:rPr>
            </w:pPr>
            <w:r w:rsidRPr="00FF603B">
              <w:rPr>
                <w:b/>
                <w:bCs/>
                <w:sz w:val="16"/>
                <w:szCs w:val="16"/>
              </w:rPr>
              <w:t>CDR2</w:t>
            </w:r>
          </w:p>
        </w:tc>
        <w:tc>
          <w:tcPr>
            <w:tcW w:w="650" w:type="dxa"/>
            <w:tcBorders>
              <w:bottom w:val="single" w:sz="4" w:space="0" w:color="auto"/>
            </w:tcBorders>
            <w:shd w:val="clear" w:color="auto" w:fill="FFFFFF" w:themeFill="background1"/>
          </w:tcPr>
          <w:p w14:paraId="5DFDE50F" w14:textId="77777777" w:rsidR="00FF603B" w:rsidRPr="00FF603B" w:rsidRDefault="00FF603B" w:rsidP="00FB3754">
            <w:pPr>
              <w:rPr>
                <w:b/>
                <w:bCs/>
                <w:sz w:val="16"/>
                <w:szCs w:val="16"/>
              </w:rPr>
            </w:pPr>
            <w:r w:rsidRPr="00FF603B">
              <w:rPr>
                <w:b/>
                <w:bCs/>
                <w:sz w:val="16"/>
                <w:szCs w:val="16"/>
              </w:rPr>
              <w:t>CDR3</w:t>
            </w:r>
          </w:p>
        </w:tc>
      </w:tr>
      <w:tr w:rsidR="00FF603B" w:rsidRPr="00FF603B" w14:paraId="7C361BD2" w14:textId="77777777" w:rsidTr="00FB3754">
        <w:trPr>
          <w:jc w:val="center"/>
        </w:trPr>
        <w:tc>
          <w:tcPr>
            <w:tcW w:w="1555" w:type="dxa"/>
            <w:tcBorders>
              <w:right w:val="single" w:sz="4" w:space="0" w:color="auto"/>
            </w:tcBorders>
            <w:shd w:val="clear" w:color="auto" w:fill="FFFFFF" w:themeFill="background1"/>
          </w:tcPr>
          <w:p w14:paraId="4A5CE065" w14:textId="77777777" w:rsidR="00FF603B" w:rsidRPr="00FF603B" w:rsidRDefault="00FF603B" w:rsidP="00FB3754">
            <w:pPr>
              <w:jc w:val="right"/>
              <w:rPr>
                <w:sz w:val="16"/>
                <w:szCs w:val="16"/>
              </w:rPr>
            </w:pPr>
            <w:r w:rsidRPr="00FF603B">
              <w:rPr>
                <w:sz w:val="16"/>
                <w:szCs w:val="16"/>
              </w:rPr>
              <w:t>Validity</w:t>
            </w:r>
          </w:p>
        </w:tc>
        <w:tc>
          <w:tcPr>
            <w:tcW w:w="850" w:type="dxa"/>
            <w:tcBorders>
              <w:top w:val="single" w:sz="4" w:space="0" w:color="auto"/>
              <w:left w:val="single" w:sz="4" w:space="0" w:color="auto"/>
            </w:tcBorders>
            <w:shd w:val="clear" w:color="auto" w:fill="FFFFFF" w:themeFill="background1"/>
          </w:tcPr>
          <w:p w14:paraId="68195B54" w14:textId="77777777" w:rsidR="00FF603B" w:rsidRPr="00FF603B" w:rsidRDefault="00FF603B" w:rsidP="00FB3754">
            <w:pPr>
              <w:jc w:val="center"/>
              <w:rPr>
                <w:sz w:val="16"/>
                <w:szCs w:val="16"/>
              </w:rPr>
            </w:pPr>
            <w:r w:rsidRPr="00FF603B">
              <w:rPr>
                <w:sz w:val="16"/>
                <w:szCs w:val="16"/>
              </w:rPr>
              <w:t>0.998</w:t>
            </w:r>
          </w:p>
        </w:tc>
        <w:tc>
          <w:tcPr>
            <w:tcW w:w="709" w:type="dxa"/>
            <w:tcBorders>
              <w:top w:val="single" w:sz="4" w:space="0" w:color="auto"/>
            </w:tcBorders>
            <w:shd w:val="clear" w:color="auto" w:fill="FFFFFF" w:themeFill="background1"/>
          </w:tcPr>
          <w:p w14:paraId="2FD1A126" w14:textId="77777777" w:rsidR="00FF603B" w:rsidRPr="00FF603B" w:rsidRDefault="00FF603B" w:rsidP="00FB3754">
            <w:pPr>
              <w:jc w:val="center"/>
              <w:rPr>
                <w:sz w:val="16"/>
                <w:szCs w:val="16"/>
              </w:rPr>
            </w:pPr>
            <w:r w:rsidRPr="00FF603B">
              <w:rPr>
                <w:sz w:val="16"/>
                <w:szCs w:val="16"/>
              </w:rPr>
              <w:t>1</w:t>
            </w:r>
          </w:p>
        </w:tc>
        <w:tc>
          <w:tcPr>
            <w:tcW w:w="652" w:type="dxa"/>
            <w:tcBorders>
              <w:top w:val="single" w:sz="4" w:space="0" w:color="auto"/>
            </w:tcBorders>
            <w:shd w:val="clear" w:color="auto" w:fill="FFFFFF" w:themeFill="background1"/>
          </w:tcPr>
          <w:p w14:paraId="181FFD68" w14:textId="77777777" w:rsidR="00FF603B" w:rsidRPr="00FF603B" w:rsidRDefault="00FF603B" w:rsidP="00FB3754">
            <w:pPr>
              <w:jc w:val="center"/>
              <w:rPr>
                <w:sz w:val="16"/>
                <w:szCs w:val="16"/>
              </w:rPr>
            </w:pPr>
            <w:r w:rsidRPr="00FF603B">
              <w:rPr>
                <w:sz w:val="16"/>
                <w:szCs w:val="16"/>
              </w:rPr>
              <w:t>1</w:t>
            </w:r>
          </w:p>
        </w:tc>
        <w:tc>
          <w:tcPr>
            <w:tcW w:w="650" w:type="dxa"/>
            <w:tcBorders>
              <w:top w:val="single" w:sz="4" w:space="0" w:color="auto"/>
            </w:tcBorders>
            <w:shd w:val="clear" w:color="auto" w:fill="FFFFFF" w:themeFill="background1"/>
          </w:tcPr>
          <w:p w14:paraId="1E494704" w14:textId="77777777" w:rsidR="00FF603B" w:rsidRPr="00FF603B" w:rsidRDefault="00FF603B" w:rsidP="00FB3754">
            <w:pPr>
              <w:jc w:val="center"/>
              <w:rPr>
                <w:sz w:val="16"/>
                <w:szCs w:val="16"/>
              </w:rPr>
            </w:pPr>
            <w:r w:rsidRPr="00FF603B">
              <w:rPr>
                <w:sz w:val="16"/>
                <w:szCs w:val="16"/>
              </w:rPr>
              <w:t>1</w:t>
            </w:r>
          </w:p>
        </w:tc>
      </w:tr>
      <w:tr w:rsidR="00FF603B" w:rsidRPr="00FF603B" w14:paraId="5769C685" w14:textId="77777777" w:rsidTr="00FB3754">
        <w:trPr>
          <w:jc w:val="center"/>
        </w:trPr>
        <w:tc>
          <w:tcPr>
            <w:tcW w:w="1555" w:type="dxa"/>
            <w:tcBorders>
              <w:right w:val="single" w:sz="4" w:space="0" w:color="auto"/>
            </w:tcBorders>
            <w:shd w:val="clear" w:color="auto" w:fill="FFFFFF" w:themeFill="background1"/>
          </w:tcPr>
          <w:p w14:paraId="42D65068" w14:textId="77777777" w:rsidR="00FF603B" w:rsidRPr="00FF603B" w:rsidRDefault="00FF603B" w:rsidP="00FB3754">
            <w:pPr>
              <w:jc w:val="right"/>
              <w:rPr>
                <w:sz w:val="16"/>
                <w:szCs w:val="16"/>
              </w:rPr>
            </w:pPr>
            <w:r w:rsidRPr="00FF603B">
              <w:rPr>
                <w:sz w:val="16"/>
                <w:szCs w:val="16"/>
              </w:rPr>
              <w:t>Uniqueness</w:t>
            </w:r>
          </w:p>
        </w:tc>
        <w:tc>
          <w:tcPr>
            <w:tcW w:w="850" w:type="dxa"/>
            <w:tcBorders>
              <w:left w:val="single" w:sz="4" w:space="0" w:color="auto"/>
            </w:tcBorders>
            <w:shd w:val="clear" w:color="auto" w:fill="F2F2F2" w:themeFill="background1" w:themeFillShade="F2"/>
          </w:tcPr>
          <w:p w14:paraId="32D78F0E" w14:textId="77777777" w:rsidR="00FF603B" w:rsidRPr="00FF603B" w:rsidRDefault="00FF603B" w:rsidP="00FB3754">
            <w:pPr>
              <w:jc w:val="center"/>
              <w:rPr>
                <w:sz w:val="16"/>
                <w:szCs w:val="16"/>
              </w:rPr>
            </w:pPr>
            <w:r w:rsidRPr="00FF603B">
              <w:rPr>
                <w:sz w:val="16"/>
                <w:szCs w:val="16"/>
              </w:rPr>
              <w:t>0.629</w:t>
            </w:r>
          </w:p>
        </w:tc>
        <w:tc>
          <w:tcPr>
            <w:tcW w:w="709" w:type="dxa"/>
            <w:shd w:val="clear" w:color="auto" w:fill="F2F2F2" w:themeFill="background1" w:themeFillShade="F2"/>
          </w:tcPr>
          <w:p w14:paraId="1297EDCC" w14:textId="77777777" w:rsidR="00FF603B" w:rsidRPr="00FF603B" w:rsidRDefault="00FF603B" w:rsidP="00FB3754">
            <w:pPr>
              <w:jc w:val="center"/>
              <w:rPr>
                <w:sz w:val="16"/>
                <w:szCs w:val="16"/>
              </w:rPr>
            </w:pPr>
            <w:r w:rsidRPr="00FF603B">
              <w:rPr>
                <w:sz w:val="16"/>
                <w:szCs w:val="16"/>
              </w:rPr>
              <w:t>0.037</w:t>
            </w:r>
          </w:p>
        </w:tc>
        <w:tc>
          <w:tcPr>
            <w:tcW w:w="652" w:type="dxa"/>
            <w:shd w:val="clear" w:color="auto" w:fill="F2F2F2" w:themeFill="background1" w:themeFillShade="F2"/>
          </w:tcPr>
          <w:p w14:paraId="698A5930" w14:textId="77777777" w:rsidR="00FF603B" w:rsidRPr="00FF603B" w:rsidRDefault="00FF603B" w:rsidP="00FB3754">
            <w:pPr>
              <w:jc w:val="center"/>
              <w:rPr>
                <w:sz w:val="16"/>
                <w:szCs w:val="16"/>
              </w:rPr>
            </w:pPr>
            <w:r w:rsidRPr="00FF603B">
              <w:rPr>
                <w:sz w:val="16"/>
                <w:szCs w:val="16"/>
              </w:rPr>
              <w:t>0.079</w:t>
            </w:r>
          </w:p>
        </w:tc>
        <w:tc>
          <w:tcPr>
            <w:tcW w:w="650" w:type="dxa"/>
            <w:shd w:val="clear" w:color="auto" w:fill="F2F2F2" w:themeFill="background1" w:themeFillShade="F2"/>
          </w:tcPr>
          <w:p w14:paraId="7B8C7B79" w14:textId="77777777" w:rsidR="00FF603B" w:rsidRPr="00FF603B" w:rsidRDefault="00FF603B" w:rsidP="00FB3754">
            <w:pPr>
              <w:jc w:val="center"/>
              <w:rPr>
                <w:sz w:val="16"/>
                <w:szCs w:val="16"/>
              </w:rPr>
            </w:pPr>
            <w:r w:rsidRPr="00FF603B">
              <w:rPr>
                <w:sz w:val="16"/>
                <w:szCs w:val="16"/>
              </w:rPr>
              <w:t>0.115</w:t>
            </w:r>
          </w:p>
        </w:tc>
      </w:tr>
      <w:tr w:rsidR="00FF603B" w:rsidRPr="00FF603B" w14:paraId="084A724D" w14:textId="77777777" w:rsidTr="00FB3754">
        <w:trPr>
          <w:jc w:val="center"/>
        </w:trPr>
        <w:tc>
          <w:tcPr>
            <w:tcW w:w="1555" w:type="dxa"/>
            <w:tcBorders>
              <w:right w:val="single" w:sz="4" w:space="0" w:color="auto"/>
            </w:tcBorders>
            <w:shd w:val="clear" w:color="auto" w:fill="FFFFFF" w:themeFill="background1"/>
          </w:tcPr>
          <w:p w14:paraId="0FF1B602" w14:textId="77777777" w:rsidR="00FF603B" w:rsidRPr="00FF603B" w:rsidRDefault="00FF603B" w:rsidP="00FB3754">
            <w:pPr>
              <w:jc w:val="right"/>
              <w:rPr>
                <w:sz w:val="16"/>
                <w:szCs w:val="16"/>
              </w:rPr>
            </w:pPr>
            <w:r w:rsidRPr="00FF603B">
              <w:rPr>
                <w:sz w:val="16"/>
                <w:szCs w:val="16"/>
              </w:rPr>
              <w:t>Novelty (finetune)</w:t>
            </w:r>
          </w:p>
        </w:tc>
        <w:tc>
          <w:tcPr>
            <w:tcW w:w="850" w:type="dxa"/>
            <w:tcBorders>
              <w:left w:val="single" w:sz="4" w:space="0" w:color="auto"/>
            </w:tcBorders>
            <w:shd w:val="clear" w:color="auto" w:fill="FFFFFF" w:themeFill="background1"/>
          </w:tcPr>
          <w:p w14:paraId="46E02E76" w14:textId="77777777" w:rsidR="00FF603B" w:rsidRPr="00FF603B" w:rsidRDefault="00FF603B" w:rsidP="00FB3754">
            <w:pPr>
              <w:jc w:val="center"/>
              <w:rPr>
                <w:sz w:val="16"/>
                <w:szCs w:val="16"/>
              </w:rPr>
            </w:pPr>
            <w:r w:rsidRPr="00FF603B">
              <w:rPr>
                <w:sz w:val="16"/>
                <w:szCs w:val="16"/>
              </w:rPr>
              <w:t>0.717</w:t>
            </w:r>
          </w:p>
        </w:tc>
        <w:tc>
          <w:tcPr>
            <w:tcW w:w="709" w:type="dxa"/>
            <w:shd w:val="clear" w:color="auto" w:fill="FFFFFF" w:themeFill="background1"/>
          </w:tcPr>
          <w:p w14:paraId="21634680" w14:textId="77777777" w:rsidR="00FF603B" w:rsidRPr="00FF603B" w:rsidRDefault="00FF603B" w:rsidP="00FB3754">
            <w:pPr>
              <w:jc w:val="center"/>
              <w:rPr>
                <w:sz w:val="16"/>
                <w:szCs w:val="16"/>
              </w:rPr>
            </w:pPr>
            <w:r w:rsidRPr="00FF603B">
              <w:rPr>
                <w:sz w:val="16"/>
                <w:szCs w:val="16"/>
              </w:rPr>
              <w:t>0.063</w:t>
            </w:r>
          </w:p>
        </w:tc>
        <w:tc>
          <w:tcPr>
            <w:tcW w:w="652" w:type="dxa"/>
            <w:shd w:val="clear" w:color="auto" w:fill="FFFFFF" w:themeFill="background1"/>
          </w:tcPr>
          <w:p w14:paraId="789469F9" w14:textId="77777777" w:rsidR="00FF603B" w:rsidRPr="00FF603B" w:rsidRDefault="00FF603B" w:rsidP="00FB3754">
            <w:pPr>
              <w:jc w:val="center"/>
              <w:rPr>
                <w:sz w:val="16"/>
                <w:szCs w:val="16"/>
              </w:rPr>
            </w:pPr>
            <w:r w:rsidRPr="00FF603B">
              <w:rPr>
                <w:sz w:val="16"/>
                <w:szCs w:val="16"/>
              </w:rPr>
              <w:t>0.129</w:t>
            </w:r>
          </w:p>
        </w:tc>
        <w:tc>
          <w:tcPr>
            <w:tcW w:w="650" w:type="dxa"/>
            <w:shd w:val="clear" w:color="auto" w:fill="FFFFFF" w:themeFill="background1"/>
          </w:tcPr>
          <w:p w14:paraId="70B26E9D" w14:textId="77777777" w:rsidR="00FF603B" w:rsidRPr="00FF603B" w:rsidRDefault="00FF603B" w:rsidP="00FB3754">
            <w:pPr>
              <w:jc w:val="center"/>
              <w:rPr>
                <w:sz w:val="16"/>
                <w:szCs w:val="16"/>
              </w:rPr>
            </w:pPr>
            <w:r w:rsidRPr="00FF603B">
              <w:rPr>
                <w:sz w:val="16"/>
                <w:szCs w:val="16"/>
              </w:rPr>
              <w:t>0.140</w:t>
            </w:r>
          </w:p>
        </w:tc>
      </w:tr>
      <w:tr w:rsidR="00FF603B" w:rsidRPr="00FF603B" w14:paraId="441C7F8F" w14:textId="77777777" w:rsidTr="00FB3754">
        <w:trPr>
          <w:jc w:val="center"/>
        </w:trPr>
        <w:tc>
          <w:tcPr>
            <w:tcW w:w="1555" w:type="dxa"/>
            <w:tcBorders>
              <w:right w:val="single" w:sz="4" w:space="0" w:color="auto"/>
            </w:tcBorders>
            <w:shd w:val="clear" w:color="auto" w:fill="FFFFFF" w:themeFill="background1"/>
          </w:tcPr>
          <w:p w14:paraId="2B0FB1CA" w14:textId="77777777" w:rsidR="00FF603B" w:rsidRPr="00FF603B" w:rsidRDefault="00FF603B" w:rsidP="00FB3754">
            <w:pPr>
              <w:jc w:val="right"/>
              <w:rPr>
                <w:sz w:val="16"/>
                <w:szCs w:val="16"/>
              </w:rPr>
            </w:pPr>
            <w:r w:rsidRPr="00FF603B">
              <w:rPr>
                <w:sz w:val="16"/>
                <w:szCs w:val="16"/>
              </w:rPr>
              <w:t>Novelty (pretrain)</w:t>
            </w:r>
          </w:p>
        </w:tc>
        <w:tc>
          <w:tcPr>
            <w:tcW w:w="850" w:type="dxa"/>
            <w:tcBorders>
              <w:left w:val="single" w:sz="4" w:space="0" w:color="auto"/>
            </w:tcBorders>
            <w:shd w:val="clear" w:color="auto" w:fill="F2F2F2" w:themeFill="background1" w:themeFillShade="F2"/>
          </w:tcPr>
          <w:p w14:paraId="1424669B" w14:textId="77777777" w:rsidR="00FF603B" w:rsidRPr="00FF603B" w:rsidRDefault="00FF603B" w:rsidP="00FB3754">
            <w:pPr>
              <w:jc w:val="center"/>
              <w:rPr>
                <w:sz w:val="16"/>
                <w:szCs w:val="16"/>
              </w:rPr>
            </w:pPr>
            <w:r w:rsidRPr="00FF603B">
              <w:rPr>
                <w:sz w:val="16"/>
                <w:szCs w:val="16"/>
              </w:rPr>
              <w:t>1.000</w:t>
            </w:r>
          </w:p>
        </w:tc>
        <w:tc>
          <w:tcPr>
            <w:tcW w:w="709" w:type="dxa"/>
            <w:shd w:val="clear" w:color="auto" w:fill="F2F2F2" w:themeFill="background1" w:themeFillShade="F2"/>
          </w:tcPr>
          <w:p w14:paraId="53810214" w14:textId="77777777" w:rsidR="00FF603B" w:rsidRPr="00FF603B" w:rsidRDefault="00FF603B" w:rsidP="00FB3754">
            <w:pPr>
              <w:jc w:val="center"/>
              <w:rPr>
                <w:sz w:val="16"/>
                <w:szCs w:val="16"/>
              </w:rPr>
            </w:pPr>
            <w:r w:rsidRPr="00FF603B">
              <w:rPr>
                <w:sz w:val="16"/>
                <w:szCs w:val="16"/>
              </w:rPr>
              <w:t>0.991</w:t>
            </w:r>
          </w:p>
        </w:tc>
        <w:tc>
          <w:tcPr>
            <w:tcW w:w="652" w:type="dxa"/>
            <w:shd w:val="clear" w:color="auto" w:fill="F2F2F2" w:themeFill="background1" w:themeFillShade="F2"/>
          </w:tcPr>
          <w:p w14:paraId="173994D5" w14:textId="77777777" w:rsidR="00FF603B" w:rsidRPr="00FF603B" w:rsidRDefault="00FF603B" w:rsidP="00FB3754">
            <w:pPr>
              <w:jc w:val="center"/>
              <w:rPr>
                <w:sz w:val="16"/>
                <w:szCs w:val="16"/>
              </w:rPr>
            </w:pPr>
            <w:r w:rsidRPr="00FF603B">
              <w:rPr>
                <w:sz w:val="16"/>
                <w:szCs w:val="16"/>
              </w:rPr>
              <w:t>0.908</w:t>
            </w:r>
          </w:p>
        </w:tc>
        <w:tc>
          <w:tcPr>
            <w:tcW w:w="650" w:type="dxa"/>
            <w:shd w:val="clear" w:color="auto" w:fill="F2F2F2" w:themeFill="background1" w:themeFillShade="F2"/>
          </w:tcPr>
          <w:p w14:paraId="170F6182" w14:textId="77777777" w:rsidR="00FF603B" w:rsidRPr="00FF603B" w:rsidRDefault="00FF603B" w:rsidP="00FB3754">
            <w:pPr>
              <w:jc w:val="center"/>
              <w:rPr>
                <w:sz w:val="16"/>
                <w:szCs w:val="16"/>
              </w:rPr>
            </w:pPr>
            <w:r w:rsidRPr="00FF603B">
              <w:rPr>
                <w:sz w:val="16"/>
                <w:szCs w:val="16"/>
              </w:rPr>
              <w:t>0.999</w:t>
            </w:r>
          </w:p>
        </w:tc>
      </w:tr>
    </w:tbl>
    <w:p w14:paraId="145667CB" w14:textId="77777777" w:rsidR="00FF603B" w:rsidRPr="00FF603B" w:rsidRDefault="00FF603B" w:rsidP="00FF603B"/>
    <w:p w14:paraId="51D89E3A" w14:textId="77777777" w:rsidR="00FF603B" w:rsidRPr="00FF603B" w:rsidRDefault="00FF603B" w:rsidP="00FF603B">
      <w:pPr>
        <w:jc w:val="center"/>
      </w:pPr>
      <w:r w:rsidRPr="00FF603B">
        <w:rPr>
          <w:noProof/>
        </w:rPr>
        <w:drawing>
          <wp:inline distT="0" distB="0" distL="0" distR="0" wp14:anchorId="3488410E" wp14:editId="695C4999">
            <wp:extent cx="4681728" cy="2075688"/>
            <wp:effectExtent l="0" t="0" r="0" b="0"/>
            <wp:docPr id="1162300580" name="Picture 3"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00580" name="Picture 3" descr="A screenshot of a graph&#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728" cy="2075688"/>
                    </a:xfrm>
                    <a:prstGeom prst="rect">
                      <a:avLst/>
                    </a:prstGeom>
                  </pic:spPr>
                </pic:pic>
              </a:graphicData>
            </a:graphic>
          </wp:inline>
        </w:drawing>
      </w:r>
    </w:p>
    <w:p w14:paraId="7E3AFBD8" w14:textId="77777777" w:rsidR="00FF603B" w:rsidRPr="00FF603B" w:rsidRDefault="00FF603B" w:rsidP="00FF603B">
      <w:r w:rsidRPr="00FF603B">
        <w:rPr>
          <w:b/>
          <w:bCs/>
          <w:sz w:val="20"/>
          <w:szCs w:val="20"/>
        </w:rPr>
        <w:t xml:space="preserve">Fig 3 | Finetuning of the pretrained model. </w:t>
      </w:r>
      <w:proofErr w:type="gramStart"/>
      <w:r w:rsidRPr="00FF603B">
        <w:rPr>
          <w:b/>
          <w:bCs/>
          <w:sz w:val="20"/>
          <w:szCs w:val="20"/>
        </w:rPr>
        <w:t>a</w:t>
      </w:r>
      <w:r w:rsidRPr="00FF603B">
        <w:rPr>
          <w:sz w:val="20"/>
          <w:szCs w:val="20"/>
        </w:rPr>
        <w:t>,</w:t>
      </w:r>
      <w:proofErr w:type="gramEnd"/>
      <w:r w:rsidRPr="00FF603B">
        <w:rPr>
          <w:sz w:val="20"/>
          <w:szCs w:val="20"/>
        </w:rPr>
        <w:t xml:space="preserve"> Negative log likelihood loss on the pretraining and finetuning set during finetuning. </w:t>
      </w:r>
      <w:r w:rsidRPr="00FF603B">
        <w:rPr>
          <w:b/>
          <w:bCs/>
          <w:sz w:val="20"/>
          <w:szCs w:val="20"/>
        </w:rPr>
        <w:t>b</w:t>
      </w:r>
      <w:r w:rsidRPr="00FF603B">
        <w:rPr>
          <w:sz w:val="20"/>
          <w:szCs w:val="20"/>
        </w:rPr>
        <w:t xml:space="preserve">, Jensen-Shannon divergence between generated sequences and the pretrain or finetuning set during finetuning. </w:t>
      </w:r>
      <w:r w:rsidRPr="00FF603B">
        <w:rPr>
          <w:b/>
          <w:bCs/>
          <w:sz w:val="20"/>
          <w:szCs w:val="20"/>
        </w:rPr>
        <w:t>c</w:t>
      </w:r>
      <w:r w:rsidRPr="00FF603B">
        <w:rPr>
          <w:sz w:val="20"/>
          <w:szCs w:val="20"/>
        </w:rPr>
        <w:t xml:space="preserve">, Loss landscape of the finetuned model between data sets. </w:t>
      </w:r>
      <w:r w:rsidRPr="00FF603B">
        <w:rPr>
          <w:b/>
          <w:bCs/>
          <w:sz w:val="20"/>
          <w:szCs w:val="20"/>
        </w:rPr>
        <w:t>d</w:t>
      </w:r>
      <w:r w:rsidRPr="00FF603B">
        <w:rPr>
          <w:sz w:val="20"/>
          <w:szCs w:val="20"/>
        </w:rPr>
        <w:t>-</w:t>
      </w:r>
      <w:r w:rsidRPr="00FF603B">
        <w:rPr>
          <w:b/>
          <w:bCs/>
          <w:sz w:val="20"/>
          <w:szCs w:val="20"/>
        </w:rPr>
        <w:t>f</w:t>
      </w:r>
      <w:r w:rsidRPr="00FF603B">
        <w:rPr>
          <w:sz w:val="20"/>
          <w:szCs w:val="20"/>
        </w:rPr>
        <w:t xml:space="preserve">, Sequence hydrophilicity between datasets and the finetuned model for CDR1-3. All datasets in </w:t>
      </w:r>
      <w:r w:rsidRPr="00FF603B">
        <w:rPr>
          <w:b/>
          <w:bCs/>
          <w:sz w:val="20"/>
          <w:szCs w:val="20"/>
        </w:rPr>
        <w:t>c</w:t>
      </w:r>
      <w:r w:rsidRPr="00FF603B">
        <w:rPr>
          <w:sz w:val="20"/>
          <w:szCs w:val="20"/>
        </w:rPr>
        <w:t>-</w:t>
      </w:r>
      <w:r w:rsidRPr="00FF603B">
        <w:rPr>
          <w:b/>
          <w:bCs/>
          <w:sz w:val="20"/>
          <w:szCs w:val="20"/>
        </w:rPr>
        <w:t>f</w:t>
      </w:r>
      <w:r w:rsidRPr="00FF603B">
        <w:rPr>
          <w:sz w:val="20"/>
          <w:szCs w:val="20"/>
        </w:rPr>
        <w:t xml:space="preserve"> are randomly subsampled to </w:t>
      </w:r>
      <w:r w:rsidRPr="00FF603B">
        <w:rPr>
          <w:i/>
          <w:iCs/>
          <w:sz w:val="20"/>
          <w:szCs w:val="20"/>
        </w:rPr>
        <w:t>n=8,816</w:t>
      </w:r>
      <w:r w:rsidRPr="00FF603B">
        <w:rPr>
          <w:sz w:val="20"/>
          <w:szCs w:val="20"/>
        </w:rPr>
        <w:t xml:space="preserve"> to match the size of the finetuning set. </w:t>
      </w:r>
      <w:r w:rsidRPr="00FF603B">
        <w:rPr>
          <w:b/>
          <w:bCs/>
          <w:sz w:val="20"/>
          <w:szCs w:val="20"/>
        </w:rPr>
        <w:t>g</w:t>
      </w:r>
      <w:r w:rsidRPr="00FF603B">
        <w:rPr>
          <w:sz w:val="20"/>
          <w:szCs w:val="20"/>
        </w:rPr>
        <w:t xml:space="preserve">, Losses of unique generated sequences compared to their corrected acquisition score (eq. 7). </w:t>
      </w:r>
    </w:p>
    <w:p w14:paraId="37DC9970" w14:textId="77777777" w:rsidR="00FF603B" w:rsidRPr="00FF603B" w:rsidRDefault="00FF603B" w:rsidP="00FF603B">
      <w:r w:rsidRPr="00FF603B">
        <w:rPr>
          <w:noProof/>
        </w:rPr>
        <w:lastRenderedPageBreak/>
        <w:drawing>
          <wp:inline distT="0" distB="0" distL="0" distR="0" wp14:anchorId="798E764A" wp14:editId="3F959AB1">
            <wp:extent cx="4681728" cy="3419856"/>
            <wp:effectExtent l="0" t="0" r="5080" b="0"/>
            <wp:docPr id="154284695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46956" name="Picture 5" descr="A screenshot of a graph&#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1728" cy="3419856"/>
                    </a:xfrm>
                    <a:prstGeom prst="rect">
                      <a:avLst/>
                    </a:prstGeom>
                  </pic:spPr>
                </pic:pic>
              </a:graphicData>
            </a:graphic>
          </wp:inline>
        </w:drawing>
      </w:r>
    </w:p>
    <w:p w14:paraId="24F71CDB" w14:textId="77777777" w:rsidR="00FF603B" w:rsidRPr="00FF603B" w:rsidRDefault="00FF603B" w:rsidP="00FF603B">
      <w:pPr>
        <w:rPr>
          <w:sz w:val="28"/>
          <w:szCs w:val="28"/>
        </w:rPr>
      </w:pPr>
      <w:r w:rsidRPr="00FF603B">
        <w:rPr>
          <w:b/>
          <w:bCs/>
          <w:sz w:val="20"/>
          <w:szCs w:val="20"/>
        </w:rPr>
        <w:t xml:space="preserve">Fig 4 | Sequence logos. </w:t>
      </w:r>
      <w:r w:rsidRPr="00FF603B">
        <w:rPr>
          <w:sz w:val="20"/>
          <w:szCs w:val="20"/>
        </w:rPr>
        <w:t xml:space="preserve">Columns correspond to aligned sequences from CDR1, CDR2, and CDR3 regions from left to right. Rows correspond to the top 900 generations selected for follow-up, all generated sequences, all sequences in the finetuning set, and all sequences in the pretraining set, from top to bottom. </w:t>
      </w:r>
    </w:p>
    <w:p w14:paraId="6669BB5A" w14:textId="77777777" w:rsidR="00FF603B" w:rsidRPr="00FF603B" w:rsidRDefault="00FF603B" w:rsidP="00BE76FF">
      <w:pPr>
        <w:rPr>
          <w:sz w:val="21"/>
          <w:szCs w:val="21"/>
          <w:lang w:val="en-US"/>
        </w:rPr>
      </w:pPr>
    </w:p>
    <w:p w14:paraId="4E136411" w14:textId="3CFEEDFC" w:rsidR="00BE76FF" w:rsidRPr="00FF603B" w:rsidRDefault="00FF603B" w:rsidP="00BE76FF">
      <w:pPr>
        <w:pStyle w:val="Heading2"/>
      </w:pPr>
      <w:r w:rsidRPr="00FF603B">
        <w:t>7</w:t>
      </w:r>
      <w:r w:rsidR="007816CC" w:rsidRPr="00FF603B">
        <w:t xml:space="preserve">.4 </w:t>
      </w:r>
      <w:r w:rsidR="00BE76FF" w:rsidRPr="00FF603B">
        <w:t>Discussion</w:t>
      </w:r>
    </w:p>
    <w:p w14:paraId="0E4B30E1" w14:textId="34EF2D65" w:rsidR="00BE76FF" w:rsidRPr="00FF603B" w:rsidRDefault="00BE76FF" w:rsidP="00FF603B">
      <w:pPr>
        <w:spacing w:before="240" w:line="240" w:lineRule="auto"/>
        <w:rPr>
          <w:lang w:val="en-US"/>
        </w:rPr>
      </w:pPr>
      <w:r w:rsidRPr="00FF603B">
        <w:rPr>
          <w:lang w:val="en-US"/>
        </w:rPr>
        <w:t xml:space="preserve">This study </w:t>
      </w:r>
      <w:r w:rsidR="00FF603B" w:rsidRPr="00FF603B">
        <w:rPr>
          <w:lang w:val="en-US"/>
        </w:rPr>
        <w:t>..</w:t>
      </w:r>
      <w:r w:rsidRPr="00FF603B">
        <w:rPr>
          <w:lang w:val="en-US"/>
        </w:rPr>
        <w:t>.</w:t>
      </w:r>
    </w:p>
    <w:p w14:paraId="759EE0D5" w14:textId="77777777" w:rsidR="00BE76FF" w:rsidRPr="00FF603B" w:rsidRDefault="00BE76FF" w:rsidP="00BE76FF">
      <w:pPr>
        <w:spacing w:line="240" w:lineRule="auto"/>
        <w:rPr>
          <w:bCs/>
          <w:sz w:val="21"/>
          <w:szCs w:val="21"/>
          <w:lang w:val="en-US"/>
        </w:rPr>
      </w:pPr>
    </w:p>
    <w:p w14:paraId="4238E5F6" w14:textId="7DFF633F" w:rsidR="00BE76FF" w:rsidRPr="00FF603B" w:rsidRDefault="00FF603B" w:rsidP="00BE76FF">
      <w:pPr>
        <w:pStyle w:val="Heading2"/>
      </w:pPr>
      <w:r w:rsidRPr="00FF603B">
        <w:t>7</w:t>
      </w:r>
      <w:r w:rsidR="007816CC" w:rsidRPr="00FF603B">
        <w:t xml:space="preserve">.5 </w:t>
      </w:r>
      <w:r w:rsidR="00BE76FF" w:rsidRPr="00FF603B">
        <w:t>Methods</w:t>
      </w:r>
    </w:p>
    <w:p w14:paraId="67104BEE" w14:textId="77777777" w:rsidR="00BE76FF" w:rsidRPr="00FF603B" w:rsidRDefault="00BE76FF" w:rsidP="00BE76FF">
      <w:pPr>
        <w:spacing w:line="240" w:lineRule="auto"/>
        <w:textAlignment w:val="baseline"/>
        <w:rPr>
          <w:rFonts w:eastAsia="Times New Roman"/>
          <w:b/>
          <w:bCs/>
          <w:lang w:val="en-US"/>
        </w:rPr>
      </w:pPr>
    </w:p>
    <w:p w14:paraId="06551387" w14:textId="77777777" w:rsidR="00FF603B" w:rsidRPr="00FF603B" w:rsidRDefault="00FF603B" w:rsidP="00FF603B">
      <w:pPr>
        <w:rPr>
          <w:b/>
          <w:bCs/>
        </w:rPr>
      </w:pPr>
      <w:r w:rsidRPr="00FF603B">
        <w:rPr>
          <w:b/>
          <w:bCs/>
        </w:rPr>
        <w:t>Data processing.</w:t>
      </w:r>
    </w:p>
    <w:p w14:paraId="08DACCD5" w14:textId="77777777" w:rsidR="00FF603B" w:rsidRPr="00FF603B" w:rsidRDefault="00FF603B" w:rsidP="00FF603B">
      <w:r w:rsidRPr="00FF603B">
        <w:rPr>
          <w:b/>
          <w:bCs/>
        </w:rPr>
        <w:t xml:space="preserve">Defining CDR regions. </w:t>
      </w:r>
      <w:r w:rsidRPr="00FF603B">
        <w:t xml:space="preserve">CDR regions were defined according the </w:t>
      </w:r>
      <w:proofErr w:type="spellStart"/>
      <w:r w:rsidRPr="00FF603B">
        <w:t>the</w:t>
      </w:r>
      <w:proofErr w:type="spellEnd"/>
      <w:r w:rsidRPr="00FF603B">
        <w:t xml:space="preserve"> IMGT definition</w:t>
      </w:r>
      <w:r w:rsidRPr="00FF603B">
        <w:fldChar w:fldCharType="begin"/>
      </w:r>
      <w:r w:rsidRPr="00FF603B">
        <w:instrText xml:space="preserve"> ADDIN ZOTERO_ITEM CSL_CITATION {"citationID":"pW4NStB9","properties":{"formattedCitation":"\\super 2\\nosupersub{}","plainCitation":"2","noteIndex":0},"citationItems":[{"id":1405,"uris":["http://zotero.org/users/6870879/items/PYJQN9BT"],"itemData":{"id":1405,"type":"article-journal","container-title":"Developmental &amp; Comparative Immunology","DOI":"10.1016/S0145-305X(02)00039-3","ISSN":"0145305X","issue":"1","journalAbbreviation":"Developmental &amp; Comparative Immunology","language":"en","license":"https://www.elsevier.com/tdm/userlicense/1.0/","page":"55-77","source":"DOI.org (Crossref)","title":"IMGT unique numbering for immunoglobulin and T cell receptor variable domains and Ig superfamily V-like domains","volume":"27","author":[{"family":"Lefranc","given":"Marie-Paule"},{"family":"Pommié","given":"Christelle"},{"family":"Ruiz","given":"Manuel"},{"family":"Giudicelli","given":"Véronique"},{"family":"Foulquier","given":"Elodie"},{"family":"Truong","given":"Lisa"},{"family":"Thouvenin-Contet","given":"Valérie"},{"family":"Lefranc","given":"Gérard"}],"issued":{"date-parts":[["2003",1]]}}}],"schema":"https://github.com/citation-style-language/schema/raw/master/csl-citation.json"} </w:instrText>
      </w:r>
      <w:r w:rsidRPr="00FF603B">
        <w:fldChar w:fldCharType="separate"/>
      </w:r>
      <w:r w:rsidRPr="00FF603B">
        <w:rPr>
          <w:kern w:val="0"/>
          <w:vertAlign w:val="superscript"/>
        </w:rPr>
        <w:t>2</w:t>
      </w:r>
      <w:r w:rsidRPr="00FF603B">
        <w:fldChar w:fldCharType="end"/>
      </w:r>
      <w:r w:rsidRPr="00FF603B">
        <w:t xml:space="preserve"> with a numbering shift according to McMahon et al.</w:t>
      </w:r>
      <w:r w:rsidRPr="00FF603B">
        <w:fldChar w:fldCharType="begin"/>
      </w:r>
      <w:r w:rsidRPr="00FF603B">
        <w:instrText xml:space="preserve"> ADDIN ZOTERO_ITEM CSL_CITATION {"citationID":"1i2ocDfV","properties":{"formattedCitation":"\\super 3\\nosupersub{}","plainCitation":"3","noteIndex":0},"citationItems":[{"id":1412,"uris":["http://zotero.org/users/6870879/items/KV3EH8RI"],"itemData":{"id":1412,"type":"article-journal","container-title":"Nature Structural &amp; Molecular Biology","DOI":"10.1038/s41594-018-0028-6","ISSN":"1545-9993, 1545-9985","issue":"3","journalAbbreviation":"Nat Struct Mol Biol","language":"en","page":"289-296","source":"DOI.org (Crossref)","title":"Yeast surface display platform for rapid discovery of conformationally selective nanobodies","volume":"25","author":[{"family":"McMahon","given":"Conor"},{"family":"Baier","given":"Alexander S."},{"family":"Pascolutti","given":"Roberta"},{"family":"Wegrecki","given":"Marcin"},{"family":"Zheng","given":"Sanduo"},{"family":"Ong","given":"Janice X."},{"family":"Erlandson","given":"Sarah C."},{"family":"Hilger","given":"Daniel"},{"family":"Rasmussen","given":"Søren G. F."},{"family":"Ring","given":"Aaron M."},{"family":"Manglik","given":"Aashish"},{"family":"Kruse","given":"Andrew C."}],"issued":{"date-parts":[["2018",3]]}}}],"schema":"https://github.com/citation-style-language/schema/raw/master/csl-citation.json"} </w:instrText>
      </w:r>
      <w:r w:rsidRPr="00FF603B">
        <w:fldChar w:fldCharType="separate"/>
      </w:r>
      <w:r w:rsidRPr="00FF603B">
        <w:rPr>
          <w:kern w:val="0"/>
          <w:vertAlign w:val="superscript"/>
        </w:rPr>
        <w:t>3</w:t>
      </w:r>
      <w:r w:rsidRPr="00FF603B">
        <w:fldChar w:fldCharType="end"/>
      </w:r>
      <w:r w:rsidRPr="00FF603B">
        <w:t xml:space="preserve"> to </w:t>
      </w:r>
      <w:proofErr w:type="spellStart"/>
      <w:r w:rsidRPr="00FF603B">
        <w:t>incoreperate</w:t>
      </w:r>
      <w:proofErr w:type="spellEnd"/>
      <w:r w:rsidRPr="00FF603B">
        <w:t xml:space="preserve"> variability of several amino acids in the framework regions. CDR1 IMGT positions were shifted from 27-38 to 28-38, CDR2 positions from 56-65 to 52-66, and CDR3 positions from 105-117 to 106-116.</w:t>
      </w:r>
    </w:p>
    <w:p w14:paraId="4CF0AFFD" w14:textId="77777777" w:rsidR="00FF603B" w:rsidRPr="00FF603B" w:rsidRDefault="00FF603B" w:rsidP="00FF603B">
      <w:pPr>
        <w:rPr>
          <w:b/>
          <w:bCs/>
        </w:rPr>
      </w:pPr>
    </w:p>
    <w:p w14:paraId="489C67FC" w14:textId="77777777" w:rsidR="00FF603B" w:rsidRPr="00FF603B" w:rsidRDefault="00FF603B" w:rsidP="00FF603B">
      <w:r w:rsidRPr="00FF603B">
        <w:rPr>
          <w:b/>
          <w:bCs/>
        </w:rPr>
        <w:lastRenderedPageBreak/>
        <w:t>Pretraining data</w:t>
      </w:r>
      <w:r w:rsidRPr="00FF603B">
        <w:t xml:space="preserve">. Nanobody sequences from the Integrated Nanobody Database for </w:t>
      </w:r>
      <w:proofErr w:type="spellStart"/>
      <w:r w:rsidRPr="00FF603B">
        <w:t>Immunoinformatics</w:t>
      </w:r>
      <w:proofErr w:type="spellEnd"/>
      <w:r w:rsidRPr="00FF603B">
        <w:t xml:space="preserve"> (INDI)</w:t>
      </w:r>
      <w:r w:rsidRPr="00FF603B">
        <w:fldChar w:fldCharType="begin"/>
      </w:r>
      <w:r w:rsidRPr="00FF603B">
        <w:instrText xml:space="preserve"> ADDIN ZOTERO_ITEM CSL_CITATION {"citationID":"1uZmzEFC","properties":{"formattedCitation":"\\super 4\\nosupersub{}","plainCitation":"4","noteIndex":0},"citationItems":[{"id":1401,"uris":["http://zotero.org/users/6870879/items/EQ9RGTEK"],"itemData":{"id":1401,"type":"article-journal","abstract":"Abstract\n            Nanobodies, a subclass of antibodies found in camelids, are versatile molecular binding scaffolds composed of a single polypeptide chain. The small size of nanobodies bestows multiple therapeutic advantages (stability, tumor penetration) with the first therapeutic approval in 2018 cementing the clinical viability of this format. Structured data and sequence information of nanobodies will enable the accelerated clinical development of nanobody-based therapeutics. Though the nanobody sequence and structure data are deposited in the public domain at an accelerating pace, the heterogeneity of sources and lack of standardization hampers reliable harvesting of nanobody information. We address this issue by creating the Integrated Database of Nanobodies for Immunoinformatics (INDI, http://naturalantibody.com/nanobodies). INDI collates nanobodies from all the major public outlets of biological sequences: patents, GenBank, next-generation sequencing repositories, structures and scientific publications. We equip INDI with powerful nanobody-specific sequence and text search facilitating access to &amp;gt;11 million nanobody sequences. INDI should facilitate development of novel nanobody-specific computational protocols helping to deliver on the therapeutic promise of this drug format.","container-title":"Nucleic Acids Research","DOI":"10.1093/nar/gkab1021","ISSN":"0305-1048, 1362-4962","issue":"D1","language":"en","license":"https://creativecommons.org/licenses/by/4.0/","page":"D1273-D1281","source":"DOI.org (Crossref)","title":"INDI—integrated nanobody database for immunoinformatics","volume":"50","author":[{"family":"Deszyński","given":"Piotr"},{"family":"Młokosiewicz","given":"Jakub"},{"family":"Volanakis","given":"Adam"},{"family":"Jaszczyszyn","given":"Igor"},{"family":"Castellana","given":"Natalie"},{"family":"Bonissone","given":"Stefano"},{"family":"Ganesan","given":"Rajkumar"},{"family":"Krawczyk","given":"Konrad"}],"issued":{"date-parts":[["2022",1,7]]}}}],"schema":"https://github.com/citation-style-language/schema/raw/master/csl-citation.json"} </w:instrText>
      </w:r>
      <w:r w:rsidRPr="00FF603B">
        <w:fldChar w:fldCharType="separate"/>
      </w:r>
      <w:r w:rsidRPr="00FF603B">
        <w:rPr>
          <w:kern w:val="0"/>
          <w:vertAlign w:val="superscript"/>
        </w:rPr>
        <w:t>4</w:t>
      </w:r>
      <w:r w:rsidRPr="00FF603B">
        <w:fldChar w:fldCharType="end"/>
      </w:r>
      <w:r w:rsidRPr="00FF603B">
        <w:t xml:space="preserve"> were used. Sequences from INDI sourced from patents, GenBank, the Protein Data Bank (PDB), Next-Generation Sequencing, and manual curation were aggregated into one corpus of 11,246,884 sequences. For all sequences, INDI reports framework regions and CDR loops according to the IMGT</w:t>
      </w:r>
      <w:r w:rsidRPr="00FF603B">
        <w:fldChar w:fldCharType="begin"/>
      </w:r>
      <w:r w:rsidRPr="00FF603B">
        <w:instrText xml:space="preserve"> ADDIN ZOTERO_ITEM CSL_CITATION {"citationID":"cEy3uCBW","properties":{"formattedCitation":"\\super 2\\nosupersub{}","plainCitation":"2","noteIndex":0},"citationItems":[{"id":1405,"uris":["http://zotero.org/users/6870879/items/PYJQN9BT"],"itemData":{"id":1405,"type":"article-journal","container-title":"Developmental &amp; Comparative Immunology","DOI":"10.1016/S0145-305X(02)00039-3","ISSN":"0145305X","issue":"1","journalAbbreviation":"Developmental &amp; Comparative Immunology","language":"en","license":"https://www.elsevier.com/tdm/userlicense/1.0/","page":"55-77","source":"DOI.org (Crossref)","title":"IMGT unique numbering for immunoglobulin and T cell receptor variable domains and Ig superfamily V-like domains","volume":"27","author":[{"family":"Lefranc","given":"Marie-Paule"},{"family":"Pommié","given":"Christelle"},{"family":"Ruiz","given":"Manuel"},{"family":"Giudicelli","given":"Véronique"},{"family":"Foulquier","given":"Elodie"},{"family":"Truong","given":"Lisa"},{"family":"Thouvenin-Contet","given":"Valérie"},{"family":"Lefranc","given":"Gérard"}],"issued":{"date-parts":[["2003",1]]}}}],"schema":"https://github.com/citation-style-language/schema/raw/master/csl-citation.json"} </w:instrText>
      </w:r>
      <w:r w:rsidRPr="00FF603B">
        <w:fldChar w:fldCharType="separate"/>
      </w:r>
      <w:r w:rsidRPr="00FF603B">
        <w:rPr>
          <w:kern w:val="0"/>
          <w:vertAlign w:val="superscript"/>
        </w:rPr>
        <w:t>2</w:t>
      </w:r>
      <w:r w:rsidRPr="00FF603B">
        <w:fldChar w:fldCharType="end"/>
      </w:r>
      <w:r w:rsidRPr="00FF603B">
        <w:t xml:space="preserve"> numbering scheme</w:t>
      </w:r>
      <w:r w:rsidRPr="00FF603B">
        <w:fldChar w:fldCharType="begin"/>
      </w:r>
      <w:r w:rsidRPr="00FF603B">
        <w:instrText xml:space="preserve"> ADDIN ZOTERO_ITEM CSL_CITATION {"citationID":"PhOfEVHW","properties":{"formattedCitation":"\\super 4,5\\nosupersub{}","plainCitation":"4,5","noteIndex":0},"citationItems":[{"id":1401,"uris":["http://zotero.org/users/6870879/items/EQ9RGTEK"],"itemData":{"id":1401,"type":"article-journal","abstract":"Abstract\n            Nanobodies, a subclass of antibodies found in camelids, are versatile molecular binding scaffolds composed of a single polypeptide chain. The small size of nanobodies bestows multiple therapeutic advantages (stability, tumor penetration) with the first therapeutic approval in 2018 cementing the clinical viability of this format. Structured data and sequence information of nanobodies will enable the accelerated clinical development of nanobody-based therapeutics. Though the nanobody sequence and structure data are deposited in the public domain at an accelerating pace, the heterogeneity of sources and lack of standardization hampers reliable harvesting of nanobody information. We address this issue by creating the Integrated Database of Nanobodies for Immunoinformatics (INDI, http://naturalantibody.com/nanobodies). INDI collates nanobodies from all the major public outlets of biological sequences: patents, GenBank, next-generation sequencing repositories, structures and scientific publications. We equip INDI with powerful nanobody-specific sequence and text search facilitating access to &amp;gt;11 million nanobody sequences. INDI should facilitate development of novel nanobody-specific computational protocols helping to deliver on the therapeutic promise of this drug format.","container-title":"Nucleic Acids Research","DOI":"10.1093/nar/gkab1021","ISSN":"0305-1048, 1362-4962","issue":"D1","language":"en","license":"https://creativecommons.org/licenses/by/4.0/","page":"D1273-D1281","source":"DOI.org (Crossref)","title":"INDI—integrated nanobody database for immunoinformatics","volume":"50","author":[{"family":"Deszyński","given":"Piotr"},{"family":"Młokosiewicz","given":"Jakub"},{"family":"Volanakis","given":"Adam"},{"family":"Jaszczyszyn","given":"Igor"},{"family":"Castellana","given":"Natalie"},{"family":"Bonissone","given":"Stefano"},{"family":"Ganesan","given":"Rajkumar"},{"family":"Krawczyk","given":"Konrad"}],"issued":{"date-parts":[["2022",1,7]]}}},{"id":1403,"uris":["http://zotero.org/users/6870879/items/MYPNL5X3"],"itemData":{"id":1403,"type":"article-journal","container-title":"Nucleic Acids Research","DOI":"10.1093/nar/gkw361","ISSN":"0305-1048, 1362-4962","issue":"W1","journalAbbreviation":"Nucleic Acids Res","language":"en","license":"http://creativecommons.org/licenses/by/4.0/","page":"W474-W478","source":"DOI.org (Crossref)","title":"SAbPred: a structure-based antibody prediction server","title-short":"SAbPred","volume":"44","author":[{"family":"Dunbar","given":"James"},{"family":"Krawczyk","given":"Konrad"},{"family":"Leem","given":"Jinwoo"},{"family":"Marks","given":"Claire"},{"family":"Nowak","given":"Jaroslaw"},{"family":"Regep","given":"Cristian"},{"family":"Georges","given":"Guy"},{"family":"Kelm","given":"Sebastian"},{"family":"Popovic","given":"Bojana"},{"family":"Deane","given":"Charlotte M."}],"issued":{"date-parts":[["2016",7,8]]}}}],"schema":"https://github.com/citation-style-language/schema/raw/master/csl-citation.json"} </w:instrText>
      </w:r>
      <w:r w:rsidRPr="00FF603B">
        <w:fldChar w:fldCharType="separate"/>
      </w:r>
      <w:r w:rsidRPr="00FF603B">
        <w:rPr>
          <w:kern w:val="0"/>
          <w:vertAlign w:val="superscript"/>
        </w:rPr>
        <w:t>4,5</w:t>
      </w:r>
      <w:r w:rsidRPr="00FF603B">
        <w:fldChar w:fldCharType="end"/>
      </w:r>
      <w:r w:rsidRPr="00FF603B">
        <w:t>. We corrected reported CDR regions according to McMahon et al.</w:t>
      </w:r>
      <w:r w:rsidRPr="00FF603B">
        <w:fldChar w:fldCharType="begin"/>
      </w:r>
      <w:r w:rsidRPr="00FF603B">
        <w:instrText xml:space="preserve"> ADDIN ZOTERO_ITEM CSL_CITATION {"citationID":"yBKovmXZ","properties":{"formattedCitation":"\\super 3\\nosupersub{}","plainCitation":"3","noteIndex":0},"citationItems":[{"id":1412,"uris":["http://zotero.org/users/6870879/items/KV3EH8RI"],"itemData":{"id":1412,"type":"article-journal","container-title":"Nature Structural &amp; Molecular Biology","DOI":"10.1038/s41594-018-0028-6","ISSN":"1545-9993, 1545-9985","issue":"3","journalAbbreviation":"Nat Struct Mol Biol","language":"en","page":"289-296","source":"DOI.org (Crossref)","title":"Yeast surface display platform for rapid discovery of conformationally selective nanobodies","volume":"25","author":[{"family":"McMahon","given":"Conor"},{"family":"Baier","given":"Alexander S."},{"family":"Pascolutti","given":"Roberta"},{"family":"Wegrecki","given":"Marcin"},{"family":"Zheng","given":"Sanduo"},{"family":"Ong","given":"Janice X."},{"family":"Erlandson","given":"Sarah C."},{"family":"Hilger","given":"Daniel"},{"family":"Rasmussen","given":"Søren G. F."},{"family":"Ring","given":"Aaron M."},{"family":"Manglik","given":"Aashish"},{"family":"Kruse","given":"Andrew C."}],"issued":{"date-parts":[["2018",3]]}}}],"schema":"https://github.com/citation-style-language/schema/raw/master/csl-citation.json"} </w:instrText>
      </w:r>
      <w:r w:rsidRPr="00FF603B">
        <w:fldChar w:fldCharType="separate"/>
      </w:r>
      <w:r w:rsidRPr="00FF603B">
        <w:rPr>
          <w:kern w:val="0"/>
          <w:vertAlign w:val="superscript"/>
        </w:rPr>
        <w:t>3</w:t>
      </w:r>
      <w:r w:rsidRPr="00FF603B">
        <w:fldChar w:fldCharType="end"/>
      </w:r>
      <w:r w:rsidRPr="00FF603B">
        <w:t xml:space="preserve"> as described above. Since framework regions are constant in our experimental setup, sequences were curated by their CDR regions only. Sequence </w:t>
      </w:r>
      <w:proofErr w:type="gramStart"/>
      <w:r w:rsidRPr="00FF603B">
        <w:t>were</w:t>
      </w:r>
      <w:proofErr w:type="gramEnd"/>
      <w:r w:rsidRPr="00FF603B">
        <w:t xml:space="preserve"> omitted if they contained non-canonical amino acids, had a CDR loop smaller than 3 or larger than 30 amino acids, or when the CDR1, CDR2, and CDR3 loops combined exceeded 70 amino acids. This excluded 157,650 nanobodies. Next, 3,482,873 non-unique sequences (CDR1, CDR2, and CDR3 combined) were removed. From the remaining data, a validation set (</w:t>
      </w:r>
      <w:r w:rsidRPr="00FF603B">
        <w:rPr>
          <w:i/>
          <w:iCs/>
        </w:rPr>
        <w:t>n=100,000</w:t>
      </w:r>
      <w:r w:rsidRPr="00FF603B">
        <w:t>) and test set (</w:t>
      </w:r>
      <w:r w:rsidRPr="00FF603B">
        <w:rPr>
          <w:i/>
          <w:iCs/>
        </w:rPr>
        <w:t>n=100,000</w:t>
      </w:r>
      <w:r w:rsidRPr="00FF603B">
        <w:t xml:space="preserve">) was sampled using uniform sampling, leaving </w:t>
      </w:r>
      <w:r w:rsidRPr="00FF603B">
        <w:rPr>
          <w:i/>
          <w:iCs/>
        </w:rPr>
        <w:t>n=7,406,361</w:t>
      </w:r>
      <w:r w:rsidRPr="00FF603B">
        <w:t xml:space="preserve"> nanobody sequences in the training set.</w:t>
      </w:r>
    </w:p>
    <w:p w14:paraId="334DF7AE" w14:textId="77777777" w:rsidR="00FF603B" w:rsidRPr="00FF603B" w:rsidRDefault="00FF603B" w:rsidP="00FF603B"/>
    <w:p w14:paraId="51238C7A" w14:textId="77777777" w:rsidR="00FF603B" w:rsidRPr="00FF603B" w:rsidRDefault="00FF603B" w:rsidP="00FF603B">
      <w:r w:rsidRPr="00FF603B">
        <w:rPr>
          <w:b/>
          <w:bCs/>
        </w:rPr>
        <w:t xml:space="preserve">Finetuning data. </w:t>
      </w:r>
      <w:r w:rsidRPr="00FF603B">
        <w:t>Nanobody binders were processed identically to the pretraining data. For the first finetuning round, 8,816 sequences remained after cleaning.</w:t>
      </w:r>
    </w:p>
    <w:p w14:paraId="5BD0FBFC" w14:textId="77777777" w:rsidR="00FF603B" w:rsidRPr="00FF603B" w:rsidRDefault="00FF603B" w:rsidP="00FF603B"/>
    <w:p w14:paraId="7B5FE050" w14:textId="77777777" w:rsidR="00FF603B" w:rsidRPr="00FF603B" w:rsidRDefault="00FF603B" w:rsidP="00FF603B">
      <w:r w:rsidRPr="00FF603B">
        <w:rPr>
          <w:b/>
          <w:bCs/>
        </w:rPr>
        <w:t xml:space="preserve">Sequence encoding. </w:t>
      </w:r>
      <w:r w:rsidRPr="00FF603B">
        <w:t xml:space="preserve">All sequences were encoded by omitting all framework regions and concatenating the CDR loops, isolated by a separator token. </w:t>
      </w:r>
      <w:proofErr w:type="gramStart"/>
      <w:r w:rsidRPr="00FF603B">
        <w:t>A</w:t>
      </w:r>
      <w:proofErr w:type="gramEnd"/>
      <w:r w:rsidRPr="00FF603B">
        <w:t xml:space="preserve"> encoding length of 70 tokens was used with an encoding vocabulary (</w:t>
      </w:r>
      <w:r w:rsidRPr="00FF603B">
        <w:rPr>
          <w:i/>
          <w:iCs/>
        </w:rPr>
        <w:t>n=24</w:t>
      </w:r>
      <w:r w:rsidRPr="00FF603B">
        <w:t xml:space="preserve">) containing all twenty canonical amino acids, a start token, </w:t>
      </w:r>
      <w:proofErr w:type="spellStart"/>
      <w:r w:rsidRPr="00FF603B">
        <w:t>seperator</w:t>
      </w:r>
      <w:proofErr w:type="spellEnd"/>
      <w:r w:rsidRPr="00FF603B">
        <w:t xml:space="preserve"> token, end token, and a padding token (to pad sequences shorter than the encoding length), </w:t>
      </w:r>
      <w:r w:rsidRPr="00FF603B">
        <w:rPr>
          <w:i/>
          <w:iCs/>
        </w:rPr>
        <w:t>e.g.</w:t>
      </w:r>
      <w:r w:rsidRPr="00FF603B">
        <w:t xml:space="preserve">, </w:t>
      </w:r>
      <w:proofErr w:type="gramStart"/>
      <w:r w:rsidRPr="00FF603B">
        <w:t>“:NISSGRN</w:t>
      </w:r>
      <w:proofErr w:type="gramEnd"/>
      <w:r w:rsidRPr="00FF603B">
        <w:t>|FVATIDSGSSTY|</w:t>
      </w:r>
      <w:proofErr w:type="gramStart"/>
      <w:r w:rsidRPr="00FF603B">
        <w:t>AVYVYGYTHY;_</w:t>
      </w:r>
      <w:proofErr w:type="gramEnd"/>
      <w:r w:rsidRPr="00FF603B">
        <w:t>_______________</w:t>
      </w:r>
    </w:p>
    <w:p w14:paraId="282D613D" w14:textId="77777777" w:rsidR="00FF603B" w:rsidRPr="00FF603B" w:rsidRDefault="00FF603B" w:rsidP="00FF603B">
      <w:r w:rsidRPr="00FF603B">
        <w:t xml:space="preserve">_____________________”. Since our vocabulary is small and CDR loops are </w:t>
      </w:r>
      <w:proofErr w:type="gramStart"/>
      <w:r w:rsidRPr="00FF603B">
        <w:t>hypervariable by definition, we</w:t>
      </w:r>
      <w:proofErr w:type="gramEnd"/>
      <w:r w:rsidRPr="00FF603B">
        <w:t xml:space="preserve"> did not implement byte-pair encoding.</w:t>
      </w:r>
    </w:p>
    <w:p w14:paraId="6FF82485" w14:textId="77777777" w:rsidR="00FF603B" w:rsidRPr="00FF603B" w:rsidRDefault="00FF603B" w:rsidP="00FF603B"/>
    <w:p w14:paraId="1D9DE779" w14:textId="77777777" w:rsidR="00FF603B" w:rsidRPr="00FF603B" w:rsidRDefault="00FF603B" w:rsidP="00FF603B">
      <w:pPr>
        <w:rPr>
          <w:b/>
          <w:bCs/>
        </w:rPr>
      </w:pPr>
      <w:r w:rsidRPr="00FF603B">
        <w:rPr>
          <w:b/>
          <w:bCs/>
        </w:rPr>
        <w:t>Machine learning.</w:t>
      </w:r>
    </w:p>
    <w:p w14:paraId="4DC5C8AD" w14:textId="77777777" w:rsidR="00FF603B" w:rsidRPr="00FF603B" w:rsidRDefault="00FF603B" w:rsidP="00FF603B">
      <w:r w:rsidRPr="00FF603B">
        <w:rPr>
          <w:b/>
          <w:bCs/>
        </w:rPr>
        <w:t>Pretraining.</w:t>
      </w:r>
      <w:r w:rsidRPr="00FF603B">
        <w:t xml:space="preserve"> A decoder only autoregressive Transformer</w:t>
      </w:r>
      <w:r w:rsidRPr="00FF603B">
        <w:fldChar w:fldCharType="begin"/>
      </w:r>
      <w:r w:rsidRPr="00FF603B">
        <w:instrText xml:space="preserve"> ADDIN ZOTERO_ITEM CSL_CITATION {"citationID":"AofiUrmE","properties":{"formattedCitation":"\\super 6\\nosupersub{}","plainCitation":"6","noteIndex":0},"citationItems":[{"id":101,"uris":["http://zotero.org/users/6870879/items/8Q83S9UY"],"itemData":{"id":101,"type":"article-journal","abstract":"The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data.","container-title":"arXiv:1706.03762 [cs]","note":"arXiv: 1706.03762","source":"arXiv.org","title":"Attention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N."},{"family":"Kaiser","given":"Lukasz"},{"family":"Polosukhin","given":"Illia"}],"accessed":{"date-parts":[["2021",7,8]]},"issued":{"date-parts":[["2017",12,5]]}}}],"schema":"https://github.com/citation-style-language/schema/raw/master/csl-citation.json"} </w:instrText>
      </w:r>
      <w:r w:rsidRPr="00FF603B">
        <w:fldChar w:fldCharType="separate"/>
      </w:r>
      <w:r w:rsidRPr="00FF603B">
        <w:rPr>
          <w:kern w:val="0"/>
          <w:vertAlign w:val="superscript"/>
        </w:rPr>
        <w:t>6</w:t>
      </w:r>
      <w:r w:rsidRPr="00FF603B">
        <w:fldChar w:fldCharType="end"/>
      </w:r>
      <w:r w:rsidRPr="00FF603B">
        <w:t xml:space="preserve"> was implemented according to the GTP2 architecture</w:t>
      </w:r>
      <w:r w:rsidRPr="00FF603B">
        <w:fldChar w:fldCharType="begin"/>
      </w:r>
      <w:r w:rsidRPr="00FF603B">
        <w:instrText xml:space="preserve"> ADDIN ZOTERO_ITEM CSL_CITATION {"citationID":"9Sprcb12","properties":{"formattedCitation":"\\super 7\\nosupersub{}","plainCitation":"7","noteIndex":0},"citationItems":[{"id":1406,"uris":["http://zotero.org/users/6870879/items/P6VNEIT3"],"itemData":{"id":1406,"type":"article-journal","container-title":"OpenAI blog","title":"Language models are unsupervised multitask learners","author":[{"family":"Radford","given":"A"},{"family":"Wu","given":"J"},{"family":"Child","given":"R"},{"family":"Luan","given":"D"},{"family":"Amodei","given":"D"},{"family":"Sutskever","given":"I"}],"issued":{"date-parts":[["2019"]]}}}],"schema":"https://github.com/citation-style-language/schema/raw/master/csl-citation.json"} </w:instrText>
      </w:r>
      <w:r w:rsidRPr="00FF603B">
        <w:fldChar w:fldCharType="separate"/>
      </w:r>
      <w:r w:rsidRPr="00FF603B">
        <w:rPr>
          <w:kern w:val="0"/>
          <w:vertAlign w:val="superscript"/>
        </w:rPr>
        <w:t>7</w:t>
      </w:r>
      <w:r w:rsidRPr="00FF603B">
        <w:fldChar w:fldCharType="end"/>
      </w:r>
      <w:r w:rsidRPr="00FF603B">
        <w:t>. Using next-token prediction, the model was trained with a length-normalized negative log-likelihood loss</w:t>
      </w:r>
    </w:p>
    <w:p w14:paraId="37B065C5"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42"/>
        <w:gridCol w:w="610"/>
      </w:tblGrid>
      <w:tr w:rsidR="00FF603B" w:rsidRPr="00FF603B" w14:paraId="35AF9CE9" w14:textId="77777777" w:rsidTr="00FB3754">
        <w:tc>
          <w:tcPr>
            <w:tcW w:w="8359" w:type="dxa"/>
            <w:vAlign w:val="center"/>
          </w:tcPr>
          <w:p w14:paraId="053D1701" w14:textId="77777777" w:rsidR="00FF603B" w:rsidRPr="00FF603B" w:rsidRDefault="00FF603B" w:rsidP="00FB3754">
            <w:pPr>
              <w:jc w:val="center"/>
            </w:pPr>
            <m:oMathPara>
              <m:oMath>
                <m:r>
                  <m:rPr>
                    <m:scr m:val="script"/>
                  </m:rPr>
                  <w:rPr>
                    <w:rFonts w:ascii="Cambria Math" w:hAnsi="Cambria Math"/>
                  </w:rPr>
                  <w:lastRenderedPageBreak/>
                  <m:t>L=</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&lt;i</m:t>
                                </m:r>
                              </m:sub>
                            </m:sSub>
                          </m:e>
                        </m:d>
                      </m:e>
                    </m:func>
                  </m:e>
                </m:nary>
                <m:r>
                  <m:rPr>
                    <m:nor/>
                  </m:rPr>
                  <m:t>,</m:t>
                </m:r>
              </m:oMath>
            </m:oMathPara>
          </w:p>
        </w:tc>
        <w:tc>
          <w:tcPr>
            <w:tcW w:w="657" w:type="dxa"/>
            <w:vAlign w:val="center"/>
          </w:tcPr>
          <w:p w14:paraId="13A82C13" w14:textId="77777777" w:rsidR="00FF603B" w:rsidRPr="00FF603B" w:rsidRDefault="00FF603B" w:rsidP="00FB3754">
            <w:pPr>
              <w:jc w:val="center"/>
            </w:pPr>
            <w:r w:rsidRPr="00FF603B">
              <w:t>(1)</w:t>
            </w:r>
          </w:p>
        </w:tc>
      </w:tr>
    </w:tbl>
    <w:p w14:paraId="2D235F7A" w14:textId="77777777" w:rsidR="00FF603B" w:rsidRPr="00FF603B" w:rsidRDefault="00FF603B" w:rsidP="00FF603B">
      <w:r w:rsidRPr="00FF603B">
        <w:br/>
        <w:t xml:space="preserve">where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FF603B">
        <w:t xml:space="preserve"> is the </w:t>
      </w:r>
      <m:oMath>
        <m:r>
          <w:rPr>
            <w:rFonts w:ascii="Cambria Math" w:hAnsi="Cambria Math"/>
          </w:rPr>
          <m:t>i-</m:t>
        </m:r>
        <m:r>
          <m:rPr>
            <m:sty m:val="p"/>
          </m:rPr>
          <w:rPr>
            <w:rFonts w:ascii="Cambria Math" w:hAnsi="Cambria Math"/>
          </w:rPr>
          <m:t>th</m:t>
        </m:r>
      </m:oMath>
      <w:r w:rsidRPr="00FF603B">
        <w:t xml:space="preserve"> non-padding token and </w:t>
      </w:r>
      <m:oMath>
        <m:r>
          <w:rPr>
            <w:rFonts w:ascii="Cambria Math" w:hAnsi="Cambria Math"/>
          </w:rPr>
          <m:t>N</m:t>
        </m:r>
      </m:oMath>
      <w:r w:rsidRPr="00FF603B">
        <w:t xml:space="preserve"> are all non-padding tokens in a sequence. Since CDR loop </w:t>
      </w:r>
      <w:proofErr w:type="spellStart"/>
      <w:r w:rsidRPr="00FF603B">
        <w:t>seperator</w:t>
      </w:r>
      <w:proofErr w:type="spellEnd"/>
      <w:r w:rsidRPr="00FF603B">
        <w:t xml:space="preserve"> tokens and the end-of-sequence token carry semantic meaning, they were included in the loss calculation. The model was trained with mixed precision using the </w:t>
      </w:r>
      <w:proofErr w:type="spellStart"/>
      <w:r w:rsidRPr="00FF603B">
        <w:t>AdamW</w:t>
      </w:r>
      <w:proofErr w:type="spellEnd"/>
      <w:r w:rsidRPr="00FF603B">
        <w:t xml:space="preserve"> optimizer with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 xml:space="preserve"> = 0.9</m:t>
        </m:r>
      </m:oMath>
      <w:r w:rsidRPr="00FF603B">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 xml:space="preserve"> = 0.99</m:t>
        </m:r>
      </m:oMath>
      <w:r w:rsidRPr="00FF603B">
        <w:t xml:space="preserve">, and a weight decay of 0.1. Weight decay was not applied to biases, layer normalization, or embedding weights. A dropout of 0.4 was used on attention weights, residual connection weights, and embedding weights. Gradients with a L2 norm exceeding 1.0 were clipped. To train the model, </w:t>
      </w:r>
      <w:proofErr w:type="gramStart"/>
      <w:r w:rsidRPr="00FF603B">
        <w:t>mini-batches</w:t>
      </w:r>
      <w:proofErr w:type="gramEnd"/>
      <w:r w:rsidRPr="00FF603B">
        <w:t> of 256 nanobody sequences were sampled from the training data for up to 1,000,000 training steps using uniform sampling. Every 4,000 training steps (</w:t>
      </w:r>
      <w:r w:rsidRPr="00FF603B">
        <w:rPr>
          <w:i/>
          <w:iCs/>
        </w:rPr>
        <w:t>i.e.</w:t>
      </w:r>
      <w:r w:rsidRPr="00FF603B">
        <w:t>, every ~1M samples), models were validated on the full validation set. Early stopping was implemented using a patience of 10 validation steps by monitoring the loss (eq. 1) on the validation set. Using this training setup, grid-search was used to optimize the following hyperparameters: number of transformer layers = [4, 6, 8, 12], number of attention heads = [4, 6, 8, 12], embedding size = [192, 384], and learning rate = [</w:t>
      </w:r>
      <m:oMath>
        <m:sSup>
          <m:sSupPr>
            <m:ctrlPr>
              <w:rPr>
                <w:rFonts w:ascii="Cambria Math" w:hAnsi="Cambria Math"/>
              </w:rPr>
            </m:ctrlPr>
          </m:sSupPr>
          <m:e>
            <m:r>
              <w:rPr>
                <w:rFonts w:ascii="Cambria Math" w:hAnsi="Cambria Math"/>
              </w:rPr>
              <m:t>3 × 10</m:t>
            </m:r>
          </m:e>
          <m:sup>
            <m:r>
              <w:rPr>
                <w:rFonts w:ascii="Cambria Math" w:hAnsi="Cambria Math"/>
              </w:rPr>
              <m:t>-4</m:t>
            </m:r>
          </m:sup>
        </m:sSup>
      </m:oMath>
      <w:r w:rsidRPr="00FF603B">
        <w:t xml:space="preserve">, </w:t>
      </w:r>
      <m:oMath>
        <m:sSup>
          <m:sSupPr>
            <m:ctrlPr>
              <w:rPr>
                <w:rFonts w:ascii="Cambria Math" w:hAnsi="Cambria Math"/>
              </w:rPr>
            </m:ctrlPr>
          </m:sSupPr>
          <m:e>
            <m:r>
              <w:rPr>
                <w:rFonts w:ascii="Cambria Math" w:hAnsi="Cambria Math"/>
              </w:rPr>
              <m:t>3 × 10</m:t>
            </m:r>
          </m:e>
          <m:sup>
            <m:r>
              <w:rPr>
                <w:rFonts w:ascii="Cambria Math" w:hAnsi="Cambria Math"/>
              </w:rPr>
              <m:t>-5</m:t>
            </m:r>
          </m:sup>
        </m:sSup>
      </m:oMath>
      <w:r w:rsidRPr="00FF603B">
        <w:t xml:space="preserve">, </w:t>
      </w:r>
      <m:oMath>
        <m:sSup>
          <m:sSupPr>
            <m:ctrlPr>
              <w:rPr>
                <w:rFonts w:ascii="Cambria Math" w:hAnsi="Cambria Math"/>
              </w:rPr>
            </m:ctrlPr>
          </m:sSupPr>
          <m:e>
            <m:r>
              <w:rPr>
                <w:rFonts w:ascii="Cambria Math" w:hAnsi="Cambria Math"/>
              </w:rPr>
              <m:t>3 × 10</m:t>
            </m:r>
          </m:e>
          <m:sup>
            <m:r>
              <w:rPr>
                <w:rFonts w:ascii="Cambria Math" w:hAnsi="Cambria Math"/>
              </w:rPr>
              <m:t>-6</m:t>
            </m:r>
          </m:sup>
        </m:sSup>
      </m:oMath>
      <w:r w:rsidRPr="00FF603B">
        <w:t xml:space="preserve">]. The model with the best validation loss was used (12 layers, 12 attention head, and a learning rate of </w:t>
      </w:r>
      <m:oMath>
        <m:sSup>
          <m:sSupPr>
            <m:ctrlPr>
              <w:rPr>
                <w:rFonts w:ascii="Cambria Math" w:hAnsi="Cambria Math"/>
              </w:rPr>
            </m:ctrlPr>
          </m:sSupPr>
          <m:e>
            <m:r>
              <w:rPr>
                <w:rFonts w:ascii="Cambria Math" w:hAnsi="Cambria Math"/>
              </w:rPr>
              <m:t>3 × 10</m:t>
            </m:r>
          </m:e>
          <m:sup>
            <m:r>
              <w:rPr>
                <w:rFonts w:ascii="Cambria Math" w:hAnsi="Cambria Math"/>
              </w:rPr>
              <m:t>-4</m:t>
            </m:r>
          </m:sup>
        </m:sSup>
      </m:oMath>
      <w:r w:rsidRPr="00FF603B">
        <w:t>).</w:t>
      </w:r>
    </w:p>
    <w:p w14:paraId="41129413" w14:textId="77777777" w:rsidR="00FF603B" w:rsidRPr="00FF603B" w:rsidRDefault="00FF603B" w:rsidP="00FF603B"/>
    <w:p w14:paraId="00C7850F" w14:textId="57ADF194" w:rsidR="00FF603B" w:rsidRPr="00FF603B" w:rsidRDefault="00FF603B" w:rsidP="00FF603B">
      <w:r w:rsidRPr="00FF603B">
        <w:rPr>
          <w:b/>
          <w:bCs/>
        </w:rPr>
        <w:t xml:space="preserve">Nanobody generation. </w:t>
      </w:r>
      <w:r w:rsidRPr="00FF603B">
        <w:t xml:space="preserve">Nanobody sequences were </w:t>
      </w:r>
      <w:r w:rsidR="00581A75" w:rsidRPr="00FF603B">
        <w:t>generated</w:t>
      </w:r>
      <w:r w:rsidRPr="00FF603B">
        <w:t xml:space="preserve"> by using autoregressive temperature sampling: the next token is sampled from the model’s predicted probability distribution based on the previous tokens, starting with the start token. As during training, CDR1-3 sequences were generated together as one sequence (including the CDR </w:t>
      </w:r>
      <w:r w:rsidR="00581A75" w:rsidRPr="00FF603B">
        <w:t>separator</w:t>
      </w:r>
      <w:r w:rsidRPr="00FF603B">
        <w:t xml:space="preserve"> tokens). The sampling probability of each </w:t>
      </w:r>
      <m:oMath>
        <m:r>
          <w:rPr>
            <w:rFonts w:ascii="Cambria Math" w:hAnsi="Cambria Math"/>
          </w:rPr>
          <m:t>i</m:t>
        </m:r>
      </m:oMath>
      <w:r w:rsidRPr="00FF603B">
        <w:t xml:space="preserve">-th token </w:t>
      </w:r>
    </w:p>
    <w:p w14:paraId="01483000"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gridCol w:w="617"/>
      </w:tblGrid>
      <w:tr w:rsidR="00FF603B" w:rsidRPr="00FF603B" w14:paraId="7E6C8679" w14:textId="77777777" w:rsidTr="00FB3754">
        <w:tc>
          <w:tcPr>
            <w:tcW w:w="8359" w:type="dxa"/>
            <w:vAlign w:val="center"/>
          </w:tcPr>
          <w:p w14:paraId="49660F2C" w14:textId="77777777" w:rsidR="00FF603B" w:rsidRPr="00FF603B" w:rsidRDefault="00FF603B" w:rsidP="00FB3754">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/T</m:t>
                            </m:r>
                          </m:e>
                        </m:d>
                      </m:sup>
                    </m:sSup>
                  </m:num>
                  <m:den>
                    <m:nary>
                      <m:naryPr>
                        <m:chr m:val="∑"/>
                        <m:limLoc m:val="subSup"/>
                        <m:ctrlPr>
                          <w:rPr>
                            <w:rFonts w:ascii="Cambria Math" w:hAnsi="Cambria Math"/>
                            <w:i/>
                          </w:rPr>
                        </m:ctrlPr>
                      </m:naryPr>
                      <m:sub>
                        <m:r>
                          <w:rPr>
                            <w:rFonts w:ascii="Cambria Math" w:hAnsi="Cambria Math"/>
                          </w:rPr>
                          <m:t>j</m:t>
                        </m:r>
                      </m:sub>
                      <m:sup>
                        <m:r>
                          <w:rPr>
                            <w:rFonts w:ascii="Cambria Math" w:hAnsi="Cambria Math"/>
                          </w:rPr>
                          <m:t>n</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/T</m:t>
                                </m:r>
                              </m:e>
                            </m:d>
                          </m:sup>
                        </m:sSup>
                      </m:e>
                    </m:nary>
                  </m:den>
                </m:f>
                <m:r>
                  <m:rPr>
                    <m:nor/>
                  </m:rPr>
                  <m:t>,</m:t>
                </m:r>
              </m:oMath>
            </m:oMathPara>
          </w:p>
        </w:tc>
        <w:tc>
          <w:tcPr>
            <w:tcW w:w="657" w:type="dxa"/>
            <w:vAlign w:val="center"/>
          </w:tcPr>
          <w:p w14:paraId="6B60DF89" w14:textId="77777777" w:rsidR="00FF603B" w:rsidRPr="00FF603B" w:rsidRDefault="00FF603B" w:rsidP="00FB3754">
            <w:pPr>
              <w:jc w:val="center"/>
            </w:pPr>
            <w:r w:rsidRPr="00FF603B">
              <w:t>(2)</w:t>
            </w:r>
          </w:p>
        </w:tc>
      </w:tr>
    </w:tbl>
    <w:p w14:paraId="246FCBF7" w14:textId="77777777" w:rsidR="00FF603B" w:rsidRPr="00FF603B" w:rsidRDefault="00FF603B" w:rsidP="00FF603B"/>
    <w:p w14:paraId="6FF08DE2" w14:textId="77777777" w:rsidR="00FF603B" w:rsidRPr="00FF603B" w:rsidRDefault="00FF603B" w:rsidP="00FF603B">
      <w:r w:rsidRPr="00FF603B">
        <w:t xml:space="preserve">where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Pr="00FF603B">
        <w:t xml:space="preserve"> are the token logits sampled from the model, </w:t>
      </w:r>
      <m:oMath>
        <m:r>
          <w:rPr>
            <w:rFonts w:ascii="Cambria Math" w:hAnsi="Cambria Math"/>
          </w:rPr>
          <m:t>T</m:t>
        </m:r>
      </m:oMath>
      <w:r w:rsidRPr="00FF603B">
        <w:t xml:space="preserve"> is the temperature, and </w:t>
      </w:r>
      <m:oMath>
        <m:sSub>
          <m:sSubPr>
            <m:ctrlPr>
              <w:rPr>
                <w:rFonts w:ascii="Cambria Math" w:hAnsi="Cambria Math"/>
                <w:i/>
              </w:rPr>
            </m:ctrlPr>
          </m:sSubPr>
          <m:e>
            <m:r>
              <w:rPr>
                <w:rFonts w:ascii="Cambria Math" w:hAnsi="Cambria Math"/>
              </w:rPr>
              <m:t>Z</m:t>
            </m:r>
          </m:e>
          <m:sub>
            <m:r>
              <w:rPr>
                <w:rFonts w:ascii="Cambria Math" w:hAnsi="Cambria Math"/>
              </w:rPr>
              <m:t>j</m:t>
            </m:r>
          </m:sub>
        </m:sSub>
      </m:oMath>
      <w:r w:rsidRPr="00FF603B">
        <w:t xml:space="preserve"> is the </w:t>
      </w:r>
      <m:oMath>
        <m:r>
          <w:rPr>
            <w:rFonts w:ascii="Cambria Math" w:hAnsi="Cambria Math"/>
          </w:rPr>
          <m:t>j-</m:t>
        </m:r>
        <m:r>
          <m:rPr>
            <m:sty m:val="p"/>
          </m:rPr>
          <w:rPr>
            <w:rFonts w:ascii="Cambria Math" w:hAnsi="Cambria Math"/>
          </w:rPr>
          <m:t>th</m:t>
        </m:r>
      </m:oMath>
      <w:r w:rsidRPr="00FF603B">
        <w:t xml:space="preserve"> token in the vocabulary. </w:t>
      </w:r>
    </w:p>
    <w:p w14:paraId="7A7FF80E" w14:textId="77777777" w:rsidR="00FF603B" w:rsidRPr="00FF603B" w:rsidRDefault="00FF603B" w:rsidP="00FF603B"/>
    <w:p w14:paraId="1A5C32F0" w14:textId="77777777" w:rsidR="00FF603B" w:rsidRPr="00FF603B" w:rsidRDefault="00FF603B" w:rsidP="00FF603B">
      <w:r w:rsidRPr="00FF603B">
        <w:rPr>
          <w:b/>
          <w:bCs/>
        </w:rPr>
        <w:lastRenderedPageBreak/>
        <w:t xml:space="preserve">Finetuning. </w:t>
      </w:r>
      <w:r w:rsidRPr="00FF603B">
        <w:t xml:space="preserve">Sequenced binders were used to finetune the pretrained model using the same training strategy described earlier. However, a learning rate of </w:t>
      </w:r>
      <m:oMath>
        <m:sSup>
          <m:sSupPr>
            <m:ctrlPr>
              <w:rPr>
                <w:rFonts w:ascii="Cambria Math" w:hAnsi="Cambria Math"/>
              </w:rPr>
            </m:ctrlPr>
          </m:sSupPr>
          <m:e>
            <m:r>
              <w:rPr>
                <w:rFonts w:ascii="Cambria Math" w:hAnsi="Cambria Math"/>
              </w:rPr>
              <m:t>3 × 10</m:t>
            </m:r>
          </m:e>
          <m:sup>
            <m:r>
              <w:rPr>
                <w:rFonts w:ascii="Cambria Math" w:hAnsi="Cambria Math"/>
              </w:rPr>
              <m:t>-5</m:t>
            </m:r>
          </m:sup>
        </m:sSup>
      </m:oMath>
      <w:r w:rsidRPr="00FF603B">
        <w:t xml:space="preserve"> was used, together with a batch size of 32, and a weight decay of 0.01. </w:t>
      </w:r>
    </w:p>
    <w:p w14:paraId="5E1AF2C8" w14:textId="77777777" w:rsidR="00FF603B" w:rsidRPr="00FF603B" w:rsidRDefault="00FF603B" w:rsidP="00FF603B"/>
    <w:p w14:paraId="4AE0DB71" w14:textId="0A19E4EA" w:rsidR="00FF603B" w:rsidRPr="00FF603B" w:rsidRDefault="00FF603B" w:rsidP="00FF603B">
      <w:r w:rsidRPr="00FF603B">
        <w:t>During fine-tuning, the loss (eq. 1) on the pretraining validation set and finetuning set was monitored every 50 batches. Alongside, the differences in amino acid prevalence between generated sequences (</w:t>
      </w:r>
      <w:r w:rsidRPr="00FF603B">
        <w:rPr>
          <w:i/>
          <w:iCs/>
        </w:rPr>
        <w:t>n=10,000</w:t>
      </w:r>
      <w:r w:rsidRPr="00FF603B">
        <w:t>) and reference sets (</w:t>
      </w:r>
      <w:r w:rsidRPr="00FF603B">
        <w:rPr>
          <w:i/>
          <w:iCs/>
        </w:rPr>
        <w:t>n=10,000</w:t>
      </w:r>
      <w:r w:rsidRPr="00FF603B">
        <w:t xml:space="preserve">, </w:t>
      </w:r>
      <w:r w:rsidR="00581A75" w:rsidRPr="00FF603B">
        <w:t>uniformly</w:t>
      </w:r>
      <w:r w:rsidRPr="00FF603B">
        <w:t xml:space="preserve"> sampled) were monitored. Given the set of all twenty </w:t>
      </w:r>
      <w:r w:rsidR="00581A75" w:rsidRPr="00FF603B">
        <w:t>canonical</w:t>
      </w:r>
      <w:r w:rsidRPr="00FF603B">
        <w:t xml:space="preserve"> amino acids </w:t>
      </w:r>
      <w:r w:rsidRPr="00FF603B">
        <w:rPr>
          <w:rFonts w:ascii="Cambria Math" w:hAnsi="Cambria Math" w:cs="Cambria Math"/>
        </w:rPr>
        <w:t>𝒜</w:t>
      </w:r>
      <w:r w:rsidRPr="00FF603B">
        <w:t xml:space="preserve"> in all generated sequences </w:t>
      </w:r>
      <m:oMath>
        <m:sSub>
          <m:sSubPr>
            <m:ctrlPr>
              <w:rPr>
                <w:rFonts w:ascii="Cambria Math" w:hAnsi="Cambria Math"/>
                <w:i/>
              </w:rPr>
            </m:ctrlPr>
          </m:sSubPr>
          <m:e>
            <m:r>
              <m:rPr>
                <m:scr m:val="script"/>
              </m:rPr>
              <w:rPr>
                <w:rFonts w:ascii="Cambria Math" w:hAnsi="Cambria Math"/>
              </w:rPr>
              <m:t>S</m:t>
            </m:r>
          </m:e>
          <m:sub>
            <m:r>
              <w:rPr>
                <w:rFonts w:ascii="Cambria Math" w:hAnsi="Cambria Math"/>
              </w:rPr>
              <m:t>gen</m:t>
            </m:r>
          </m:sub>
        </m:sSub>
      </m:oMath>
      <w:r w:rsidRPr="00FF603B">
        <w:t xml:space="preserve"> and a reference set </w:t>
      </w:r>
      <m:oMath>
        <m:sSub>
          <m:sSubPr>
            <m:ctrlPr>
              <w:rPr>
                <w:rFonts w:ascii="Cambria Math" w:hAnsi="Cambria Math"/>
                <w:i/>
              </w:rPr>
            </m:ctrlPr>
          </m:sSubPr>
          <m:e>
            <m:r>
              <m:rPr>
                <m:scr m:val="script"/>
              </m:rPr>
              <w:rPr>
                <w:rFonts w:ascii="Cambria Math" w:hAnsi="Cambria Math"/>
              </w:rPr>
              <m:t>S</m:t>
            </m:r>
          </m:e>
          <m:sub>
            <m:r>
              <w:rPr>
                <w:rFonts w:ascii="Cambria Math" w:hAnsi="Cambria Math"/>
              </w:rPr>
              <m:t>ref</m:t>
            </m:r>
          </m:sub>
        </m:sSub>
      </m:oMath>
      <w:r w:rsidRPr="00FF603B">
        <w:t xml:space="preserve">, the probability distributions </w:t>
      </w:r>
      <m:oMath>
        <m:r>
          <w:rPr>
            <w:rFonts w:ascii="Cambria Math" w:hAnsi="Cambria Math"/>
          </w:rPr>
          <m:t>P</m:t>
        </m:r>
      </m:oMath>
      <w:r w:rsidRPr="00FF603B">
        <w:t xml:space="preserve"> and </w:t>
      </w:r>
      <m:oMath>
        <m:r>
          <w:rPr>
            <w:rFonts w:ascii="Cambria Math" w:hAnsi="Cambria Math"/>
          </w:rPr>
          <m:t>Q</m:t>
        </m:r>
      </m:oMath>
      <w:r w:rsidRPr="00FF603B">
        <w:t xml:space="preserve"> were calculated as</w:t>
      </w:r>
    </w:p>
    <w:p w14:paraId="2F4F5066"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42"/>
        <w:gridCol w:w="610"/>
      </w:tblGrid>
      <w:tr w:rsidR="00FF603B" w:rsidRPr="00FF603B" w14:paraId="1680BEC8" w14:textId="77777777" w:rsidTr="00FB3754">
        <w:tc>
          <w:tcPr>
            <w:tcW w:w="8359" w:type="dxa"/>
            <w:vAlign w:val="center"/>
          </w:tcPr>
          <w:p w14:paraId="10CC2470" w14:textId="77777777" w:rsidR="00FF603B" w:rsidRPr="00FF603B" w:rsidRDefault="00FF603B" w:rsidP="00FB3754">
            <w:pPr>
              <w:jc w:val="center"/>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nor/>
                      </m:rPr>
                      <m:t xml:space="preserve"> in </m:t>
                    </m:r>
                    <m:sSub>
                      <m:sSubPr>
                        <m:ctrlPr>
                          <w:rPr>
                            <w:rFonts w:ascii="Cambria Math" w:hAnsi="Cambria Math"/>
                            <w:i/>
                          </w:rPr>
                        </m:ctrlPr>
                      </m:sSubPr>
                      <m:e>
                        <m:r>
                          <m:rPr>
                            <m:scr m:val="script"/>
                          </m:rPr>
                          <w:rPr>
                            <w:rFonts w:ascii="Cambria Math" w:hAnsi="Cambria Math"/>
                          </w:rPr>
                          <m:t>S</m:t>
                        </m:r>
                      </m:e>
                      <m:sub>
                        <m:r>
                          <w:rPr>
                            <w:rFonts w:ascii="Cambria Math" w:hAnsi="Cambria Math"/>
                          </w:rPr>
                          <m:t>gen</m:t>
                        </m:r>
                      </m:sub>
                    </m:sSub>
                    <m:ctrlPr>
                      <w:rPr>
                        <w:rFonts w:ascii="Cambria Math" w:hAnsi="Cambria Math"/>
                        <w:i/>
                      </w:rPr>
                    </m:ctrlPr>
                  </m:num>
                  <m:den>
                    <m:sSub>
                      <m:sSubPr>
                        <m:ctrlPr>
                          <w:rPr>
                            <w:rFonts w:ascii="Cambria Math" w:hAnsi="Cambria Math"/>
                          </w:rPr>
                        </m:ctrlPr>
                      </m:sSubPr>
                      <m:e>
                        <m:r>
                          <m:rPr>
                            <m:sty m:val="p"/>
                          </m:rPr>
                          <w:rPr>
                            <w:rFonts w:ascii="Cambria Math" w:hAnsi="Cambria Math"/>
                          </w:rPr>
                          <m:t>N</m:t>
                        </m:r>
                      </m:e>
                      <m:sub>
                        <m:sSub>
                          <m:sSubPr>
                            <m:ctrlPr>
                              <w:rPr>
                                <w:rFonts w:ascii="Cambria Math" w:hAnsi="Cambria Math"/>
                                <w:i/>
                              </w:rPr>
                            </m:ctrlPr>
                          </m:sSubPr>
                          <m:e>
                            <m:r>
                              <m:rPr>
                                <m:scr m:val="script"/>
                              </m:rPr>
                              <w:rPr>
                                <w:rFonts w:ascii="Cambria Math" w:hAnsi="Cambria Math"/>
                              </w:rPr>
                              <m:t>S</m:t>
                            </m:r>
                          </m:e>
                          <m:sub>
                            <m:r>
                              <w:rPr>
                                <w:rFonts w:ascii="Cambria Math" w:hAnsi="Cambria Math"/>
                              </w:rPr>
                              <m:t>gen</m:t>
                            </m:r>
                          </m:sub>
                        </m:sSub>
                      </m:sub>
                    </m:sSub>
                    <m:ctrlPr>
                      <w:rPr>
                        <w:rFonts w:ascii="Cambria Math" w:hAnsi="Cambria Math"/>
                        <w:i/>
                      </w:rPr>
                    </m:ctrlPr>
                  </m:den>
                </m:f>
                <m:r>
                  <w:rPr>
                    <w:rFonts w:ascii="Cambria Math" w:hAnsi="Cambria Math"/>
                  </w:rPr>
                  <m:t xml:space="preserve"> </m:t>
                </m:r>
                <m:r>
                  <m:rPr>
                    <m:nor/>
                  </m:rPr>
                  <m:t xml:space="preserve"> and </m:t>
                </m:r>
                <m:r>
                  <w:rPr>
                    <w:rFonts w:ascii="Cambria Math" w:hAnsi="Cambria Math"/>
                  </w:rPr>
                  <m:t xml:space="preserve"> Q</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nor/>
                      </m:rPr>
                      <m:t xml:space="preserve"> in </m:t>
                    </m:r>
                    <m:sSub>
                      <m:sSubPr>
                        <m:ctrlPr>
                          <w:rPr>
                            <w:rFonts w:ascii="Cambria Math" w:hAnsi="Cambria Math"/>
                            <w:i/>
                          </w:rPr>
                        </m:ctrlPr>
                      </m:sSubPr>
                      <m:e>
                        <m:r>
                          <m:rPr>
                            <m:scr m:val="script"/>
                          </m:rPr>
                          <w:rPr>
                            <w:rFonts w:ascii="Cambria Math" w:hAnsi="Cambria Math"/>
                          </w:rPr>
                          <m:t>S</m:t>
                        </m:r>
                      </m:e>
                      <m:sub>
                        <m:r>
                          <w:rPr>
                            <w:rFonts w:ascii="Cambria Math" w:hAnsi="Cambria Math"/>
                          </w:rPr>
                          <m:t>ref</m:t>
                        </m:r>
                      </m:sub>
                    </m:sSub>
                    <m:ctrlPr>
                      <w:rPr>
                        <w:rFonts w:ascii="Cambria Math" w:hAnsi="Cambria Math"/>
                        <w:i/>
                      </w:rPr>
                    </m:ctrlPr>
                  </m:num>
                  <m:den>
                    <m:sSub>
                      <m:sSubPr>
                        <m:ctrlPr>
                          <w:rPr>
                            <w:rFonts w:ascii="Cambria Math" w:hAnsi="Cambria Math"/>
                          </w:rPr>
                        </m:ctrlPr>
                      </m:sSubPr>
                      <m:e>
                        <m:r>
                          <m:rPr>
                            <m:sty m:val="p"/>
                          </m:rPr>
                          <w:rPr>
                            <w:rFonts w:ascii="Cambria Math" w:hAnsi="Cambria Math"/>
                          </w:rPr>
                          <m:t>N</m:t>
                        </m:r>
                      </m:e>
                      <m:sub>
                        <m:sSub>
                          <m:sSubPr>
                            <m:ctrlPr>
                              <w:rPr>
                                <w:rFonts w:ascii="Cambria Math" w:hAnsi="Cambria Math"/>
                                <w:i/>
                              </w:rPr>
                            </m:ctrlPr>
                          </m:sSubPr>
                          <m:e>
                            <m:r>
                              <m:rPr>
                                <m:scr m:val="script"/>
                              </m:rPr>
                              <w:rPr>
                                <w:rFonts w:ascii="Cambria Math" w:hAnsi="Cambria Math"/>
                              </w:rPr>
                              <m:t>S</m:t>
                            </m:r>
                          </m:e>
                          <m:sub>
                            <m:r>
                              <w:rPr>
                                <w:rFonts w:ascii="Cambria Math" w:hAnsi="Cambria Math"/>
                              </w:rPr>
                              <m:t>ref</m:t>
                            </m:r>
                          </m:sub>
                        </m:sSub>
                      </m:sub>
                    </m:sSub>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a</m:t>
                </m:r>
                <m:r>
                  <m:rPr>
                    <m:sty m:val="p"/>
                  </m:rPr>
                  <w:rPr>
                    <w:rFonts w:ascii="Cambria Math" w:hAnsi="Cambria Math"/>
                  </w:rPr>
                  <m:t>∈</m:t>
                </m:r>
                <m:r>
                  <m:rPr>
                    <m:scr m:val="script"/>
                  </m:rPr>
                  <w:rPr>
                    <w:rFonts w:ascii="Cambria Math" w:hAnsi="Cambria Math"/>
                  </w:rPr>
                  <m:t>A</m:t>
                </m:r>
                <m:r>
                  <m:rPr>
                    <m:nor/>
                  </m:rPr>
                  <m:t>,</m:t>
                </m:r>
              </m:oMath>
            </m:oMathPara>
          </w:p>
        </w:tc>
        <w:tc>
          <w:tcPr>
            <w:tcW w:w="657" w:type="dxa"/>
            <w:vAlign w:val="center"/>
          </w:tcPr>
          <w:p w14:paraId="029E85D4" w14:textId="77777777" w:rsidR="00FF603B" w:rsidRPr="00FF603B" w:rsidRDefault="00FF603B" w:rsidP="00FB3754">
            <w:pPr>
              <w:jc w:val="center"/>
            </w:pPr>
            <w:r w:rsidRPr="00FF603B">
              <w:t>(3)</w:t>
            </w:r>
          </w:p>
        </w:tc>
      </w:tr>
    </w:tbl>
    <w:p w14:paraId="6423AAF0" w14:textId="77777777" w:rsidR="00FF603B" w:rsidRPr="00FF603B" w:rsidRDefault="00FF603B" w:rsidP="00FF603B"/>
    <w:p w14:paraId="4761B771" w14:textId="77777777" w:rsidR="00FF603B" w:rsidRPr="00FF603B" w:rsidRDefault="00FF603B" w:rsidP="00FF603B">
      <w:r w:rsidRPr="00FF603B">
        <w:t xml:space="preserve">where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sidRPr="00FF603B">
        <w:t xml:space="preserve"> is the occurence of amino acid </w:t>
      </w:r>
      <m:oMath>
        <m:r>
          <w:rPr>
            <w:rFonts w:ascii="Cambria Math" w:hAnsi="Cambria Math"/>
          </w:rPr>
          <m:t>a</m:t>
        </m:r>
      </m:oMath>
      <w:r w:rsidRPr="00FF603B">
        <w:t xml:space="preserve"> in the set and </w:t>
      </w:r>
      <m:oMath>
        <m:r>
          <w:rPr>
            <w:rFonts w:ascii="Cambria Math" w:hAnsi="Cambria Math"/>
          </w:rPr>
          <m:t>N</m:t>
        </m:r>
      </m:oMath>
      <w:r w:rsidRPr="00FF603B">
        <w:t xml:space="preserve"> is the total number of amino acids in the set. Using the mixture distribution</w:t>
      </w:r>
    </w:p>
    <w:p w14:paraId="0AC7465E"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4"/>
        <w:gridCol w:w="618"/>
      </w:tblGrid>
      <w:tr w:rsidR="00FF603B" w:rsidRPr="00FF603B" w14:paraId="4ADE05BF" w14:textId="77777777" w:rsidTr="00FB3754">
        <w:tc>
          <w:tcPr>
            <w:tcW w:w="8359" w:type="dxa"/>
            <w:vAlign w:val="center"/>
          </w:tcPr>
          <w:p w14:paraId="19E32F3C" w14:textId="77777777" w:rsidR="00FF603B" w:rsidRPr="00FF603B" w:rsidRDefault="00FF603B" w:rsidP="00FB3754">
            <w:pPr>
              <w:jc w:val="center"/>
            </w:pPr>
            <m:oMathPara>
              <m:oMath>
                <m:r>
                  <w:rPr>
                    <w:rFonts w:ascii="Cambria Math" w:hAnsi="Cambria Math"/>
                  </w:rPr>
                  <m:t>M(a)=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(P(a)+Q(a))</m:t>
                </m:r>
                <m:r>
                  <m:rPr>
                    <m:nor/>
                  </m:rPr>
                  <m:t>,</m:t>
                </m:r>
              </m:oMath>
            </m:oMathPara>
          </w:p>
        </w:tc>
        <w:tc>
          <w:tcPr>
            <w:tcW w:w="657" w:type="dxa"/>
            <w:vAlign w:val="center"/>
          </w:tcPr>
          <w:p w14:paraId="3B97D548" w14:textId="77777777" w:rsidR="00FF603B" w:rsidRPr="00FF603B" w:rsidRDefault="00FF603B" w:rsidP="00FB3754">
            <w:pPr>
              <w:jc w:val="center"/>
            </w:pPr>
            <w:r w:rsidRPr="00FF603B">
              <w:t>(4)</w:t>
            </w:r>
          </w:p>
        </w:tc>
      </w:tr>
    </w:tbl>
    <w:p w14:paraId="428F3B04" w14:textId="77777777" w:rsidR="00FF603B" w:rsidRPr="00FF603B" w:rsidRDefault="00FF603B" w:rsidP="00FF603B"/>
    <w:p w14:paraId="0BD7DF00" w14:textId="77777777" w:rsidR="00FF603B" w:rsidRPr="00FF603B" w:rsidRDefault="00FF603B" w:rsidP="00FF603B">
      <w:r w:rsidRPr="00FF603B">
        <w:t>the Jensen-Shannon Divergence (</w:t>
      </w:r>
      <m:oMath>
        <m:sSub>
          <m:sSubPr>
            <m:ctrlPr>
              <w:rPr>
                <w:rFonts w:ascii="Cambria Math" w:hAnsi="Cambria Math"/>
              </w:rPr>
            </m:ctrlPr>
          </m:sSubPr>
          <m:e>
            <m:r>
              <w:rPr>
                <w:rFonts w:ascii="Cambria Math" w:hAnsi="Cambria Math"/>
              </w:rPr>
              <m:t>D</m:t>
            </m:r>
          </m:e>
          <m:sub>
            <m:r>
              <w:rPr>
                <w:rFonts w:ascii="Cambria Math" w:hAnsi="Cambria Math"/>
              </w:rPr>
              <m:t>JS</m:t>
            </m:r>
          </m:sub>
        </m:sSub>
      </m:oMath>
      <w:r w:rsidRPr="00FF603B">
        <w:t xml:space="preserve">) between </w:t>
      </w:r>
      <m:oMath>
        <m:r>
          <w:rPr>
            <w:rFonts w:ascii="Cambria Math" w:hAnsi="Cambria Math"/>
          </w:rPr>
          <m:t>P</m:t>
        </m:r>
      </m:oMath>
      <w:r w:rsidRPr="00FF603B">
        <w:t xml:space="preserve"> and </w:t>
      </w:r>
      <m:oMath>
        <m:r>
          <w:rPr>
            <w:rFonts w:ascii="Cambria Math" w:hAnsi="Cambria Math"/>
          </w:rPr>
          <m:t>Q</m:t>
        </m:r>
      </m:oMath>
      <w:r w:rsidRPr="00FF603B">
        <w:t xml:space="preserve"> can then be calculated as: </w:t>
      </w:r>
    </w:p>
    <w:p w14:paraId="7392AE9B"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4"/>
        <w:gridCol w:w="618"/>
      </w:tblGrid>
      <w:tr w:rsidR="00FF603B" w:rsidRPr="00FF603B" w14:paraId="35147272" w14:textId="77777777" w:rsidTr="00FB3754">
        <w:tc>
          <w:tcPr>
            <w:tcW w:w="8359" w:type="dxa"/>
            <w:vAlign w:val="center"/>
          </w:tcPr>
          <w:p w14:paraId="5D416592" w14:textId="77777777" w:rsidR="00FF603B" w:rsidRPr="00FF603B" w:rsidRDefault="00FF603B" w:rsidP="00FB3754">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JS</m:t>
                    </m:r>
                  </m:sub>
                </m:sSub>
                <m:r>
                  <w:rPr>
                    <w:rFonts w:ascii="Cambria Math" w:hAnsi="Cambria Math"/>
                  </w:rPr>
                  <m:t>(P∥Q)=</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D</m:t>
                    </m:r>
                  </m:e>
                  <m:sub>
                    <m:r>
                      <w:rPr>
                        <w:rFonts w:ascii="Cambria Math" w:hAnsi="Cambria Math"/>
                      </w:rPr>
                      <m:t>KL</m:t>
                    </m:r>
                  </m:sub>
                </m:sSub>
                <m:r>
                  <w:rPr>
                    <w:rFonts w:ascii="Cambria Math" w:hAnsi="Cambria Math"/>
                  </w:rPr>
                  <m:t xml:space="preserve">(P∥M) +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D</m:t>
                    </m:r>
                  </m:e>
                  <m:sub>
                    <m:r>
                      <w:rPr>
                        <w:rFonts w:ascii="Cambria Math" w:hAnsi="Cambria Math"/>
                      </w:rPr>
                      <m:t>KL</m:t>
                    </m:r>
                  </m:sub>
                </m:sSub>
                <m:r>
                  <w:rPr>
                    <w:rFonts w:ascii="Cambria Math" w:hAnsi="Cambria Math"/>
                  </w:rPr>
                  <m:t>(Q∥M)</m:t>
                </m:r>
                <m:r>
                  <m:rPr>
                    <m:nor/>
                  </m:rPr>
                  <m:t>,</m:t>
                </m:r>
              </m:oMath>
            </m:oMathPara>
          </w:p>
          <w:p w14:paraId="30E27638" w14:textId="77777777" w:rsidR="00FF603B" w:rsidRPr="00FF603B" w:rsidRDefault="00FF603B" w:rsidP="00FB3754">
            <w:pPr>
              <w:jc w:val="center"/>
            </w:pPr>
          </w:p>
        </w:tc>
        <w:tc>
          <w:tcPr>
            <w:tcW w:w="657" w:type="dxa"/>
            <w:vAlign w:val="center"/>
          </w:tcPr>
          <w:p w14:paraId="7ADE168F" w14:textId="77777777" w:rsidR="00FF603B" w:rsidRPr="00FF603B" w:rsidRDefault="00FF603B" w:rsidP="00FB3754">
            <w:pPr>
              <w:jc w:val="center"/>
            </w:pPr>
            <w:r w:rsidRPr="00FF603B">
              <w:t>(5)</w:t>
            </w:r>
          </w:p>
        </w:tc>
      </w:tr>
    </w:tbl>
    <w:p w14:paraId="6C775B0D" w14:textId="77777777" w:rsidR="00FF603B" w:rsidRPr="00FF603B" w:rsidRDefault="00FF603B" w:rsidP="00FF603B">
      <w:r w:rsidRPr="00FF603B">
        <w:t xml:space="preserve">where </w:t>
      </w:r>
      <m:oMath>
        <m:sSub>
          <m:sSubPr>
            <m:ctrlPr>
              <w:rPr>
                <w:rFonts w:ascii="Cambria Math" w:hAnsi="Cambria Math"/>
              </w:rPr>
            </m:ctrlPr>
          </m:sSubPr>
          <m:e>
            <m:r>
              <w:rPr>
                <w:rFonts w:ascii="Cambria Math" w:hAnsi="Cambria Math"/>
              </w:rPr>
              <m:t>D</m:t>
            </m:r>
          </m:e>
          <m:sub>
            <m:r>
              <w:rPr>
                <w:rFonts w:ascii="Cambria Math" w:hAnsi="Cambria Math"/>
              </w:rPr>
              <m:t>KL</m:t>
            </m:r>
          </m:sub>
        </m:sSub>
      </m:oMath>
      <w:r w:rsidRPr="00FF603B">
        <w:t xml:space="preserve"> is the Kullback-Leibler divergence, defined as </w:t>
      </w:r>
    </w:p>
    <w:p w14:paraId="39ECE12F"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43"/>
        <w:gridCol w:w="609"/>
      </w:tblGrid>
      <w:tr w:rsidR="00FF603B" w:rsidRPr="00FF603B" w14:paraId="622997EF" w14:textId="77777777" w:rsidTr="00FB3754">
        <w:trPr>
          <w:trHeight w:val="836"/>
        </w:trPr>
        <w:tc>
          <w:tcPr>
            <w:tcW w:w="8359" w:type="dxa"/>
            <w:vAlign w:val="center"/>
          </w:tcPr>
          <w:p w14:paraId="4F878B49" w14:textId="77777777" w:rsidR="00FF603B" w:rsidRPr="00FF603B" w:rsidRDefault="00FF603B" w:rsidP="00FB3754">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KL</m:t>
                    </m:r>
                  </m:sub>
                </m:sSub>
                <m:d>
                  <m:dPr>
                    <m:ctrlPr>
                      <w:rPr>
                        <w:rFonts w:ascii="Cambria Math" w:hAnsi="Cambria Math"/>
                        <w:i/>
                      </w:rPr>
                    </m:ctrlPr>
                  </m:dPr>
                  <m:e>
                    <m:r>
                      <w:rPr>
                        <w:rFonts w:ascii="Cambria Math" w:hAnsi="Cambria Math"/>
                      </w:rPr>
                      <m:t>P∥Q</m:t>
                    </m:r>
                  </m:e>
                </m:d>
                <m:r>
                  <w:rPr>
                    <w:rFonts w:ascii="Cambria Math" w:hAnsi="Cambria Math"/>
                  </w:rPr>
                  <m:t> = </m:t>
                </m:r>
                <m:nary>
                  <m:naryPr>
                    <m:chr m:val="∑"/>
                    <m:supHide m:val="1"/>
                    <m:ctrlPr>
                      <w:rPr>
                        <w:rFonts w:ascii="Cambria Math" w:hAnsi="Cambria Math"/>
                      </w:rPr>
                    </m:ctrlPr>
                  </m:naryPr>
                  <m:sub>
                    <m:r>
                      <w:rPr>
                        <w:rFonts w:ascii="Cambria Math" w:hAnsi="Cambria Math"/>
                      </w:rPr>
                      <m:t>a∈</m:t>
                    </m:r>
                    <m:r>
                      <m:rPr>
                        <m:scr m:val="script"/>
                      </m:rPr>
                      <w:rPr>
                        <w:rFonts w:ascii="Cambria Math" w:hAnsi="Cambria Math"/>
                      </w:rPr>
                      <m:t>A</m:t>
                    </m:r>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m:t>
                    </m:r>
                    <m:ctrlPr>
                      <w:rPr>
                        <w:rFonts w:ascii="Cambria Math" w:hAnsi="Cambria Math"/>
                        <w:i/>
                      </w:rPr>
                    </m:ctrlPr>
                  </m:e>
                </m:nary>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a</m:t>
                                </m:r>
                              </m:e>
                            </m:d>
                            <m:ctrlPr>
                              <w:rPr>
                                <w:rFonts w:ascii="Cambria Math" w:hAnsi="Cambria Math"/>
                                <w:i/>
                              </w:rPr>
                            </m:ctrlPr>
                          </m:num>
                          <m:den>
                            <m:r>
                              <w:rPr>
                                <w:rFonts w:ascii="Cambria Math" w:hAnsi="Cambria Math"/>
                              </w:rPr>
                              <m:t>Q</m:t>
                            </m:r>
                            <m:d>
                              <m:dPr>
                                <m:ctrlPr>
                                  <w:rPr>
                                    <w:rFonts w:ascii="Cambria Math" w:hAnsi="Cambria Math"/>
                                    <w:i/>
                                  </w:rPr>
                                </m:ctrlPr>
                              </m:dPr>
                              <m:e>
                                <m:r>
                                  <w:rPr>
                                    <w:rFonts w:ascii="Cambria Math" w:hAnsi="Cambria Math"/>
                                  </w:rPr>
                                  <m:t>a</m:t>
                                </m:r>
                              </m:e>
                            </m:d>
                            <m:ctrlPr>
                              <w:rPr>
                                <w:rFonts w:ascii="Cambria Math" w:hAnsi="Cambria Math"/>
                                <w:i/>
                              </w:rPr>
                            </m:ctrlPr>
                          </m:den>
                        </m:f>
                        <m:ctrlPr>
                          <w:rPr>
                            <w:rFonts w:ascii="Cambria Math" w:hAnsi="Cambria Math"/>
                            <w:i/>
                          </w:rPr>
                        </m:ctrlPr>
                      </m:e>
                    </m:d>
                  </m:e>
                </m:func>
                <m:r>
                  <w:rPr>
                    <w:rFonts w:ascii="Cambria Math" w:hAnsi="Cambria Math"/>
                  </w:rPr>
                  <m:t>.</m:t>
                </m:r>
              </m:oMath>
            </m:oMathPara>
          </w:p>
          <w:p w14:paraId="1DF746BD" w14:textId="77777777" w:rsidR="00FF603B" w:rsidRPr="00FF603B" w:rsidRDefault="00FF603B" w:rsidP="00FB3754">
            <w:pPr>
              <w:jc w:val="center"/>
            </w:pPr>
          </w:p>
        </w:tc>
        <w:tc>
          <w:tcPr>
            <w:tcW w:w="657" w:type="dxa"/>
            <w:vAlign w:val="center"/>
          </w:tcPr>
          <w:p w14:paraId="3261849F" w14:textId="77777777" w:rsidR="00FF603B" w:rsidRPr="00FF603B" w:rsidRDefault="00FF603B" w:rsidP="00FB3754">
            <w:pPr>
              <w:jc w:val="center"/>
            </w:pPr>
            <w:r w:rsidRPr="00FF603B">
              <w:t>(6)</w:t>
            </w:r>
          </w:p>
        </w:tc>
      </w:tr>
    </w:tbl>
    <w:p w14:paraId="70B6934C" w14:textId="77777777" w:rsidR="00FF603B" w:rsidRPr="00FF603B" w:rsidRDefault="00FF603B" w:rsidP="00FF603B">
      <w:r w:rsidRPr="00FF603B">
        <w:t xml:space="preserve">Finetuning was performed until the loss on the finetuning set stopped improving and </w:t>
      </w:r>
      <m:oMath>
        <m:sSub>
          <m:sSubPr>
            <m:ctrlPr>
              <w:rPr>
                <w:rFonts w:ascii="Cambria Math" w:hAnsi="Cambria Math"/>
              </w:rPr>
            </m:ctrlPr>
          </m:sSubPr>
          <m:e>
            <m:r>
              <w:rPr>
                <w:rFonts w:ascii="Cambria Math" w:hAnsi="Cambria Math"/>
              </w:rPr>
              <m:t>D</m:t>
            </m:r>
          </m:e>
          <m:sub>
            <m:r>
              <w:rPr>
                <w:rFonts w:ascii="Cambria Math" w:hAnsi="Cambria Math"/>
              </w:rPr>
              <m:t>JS</m:t>
            </m:r>
          </m:sub>
        </m:sSub>
      </m:oMath>
      <w:r w:rsidRPr="00FF603B">
        <w:t xml:space="preserve"> between the designs and the finetune set is lower than </w:t>
      </w:r>
      <m:oMath>
        <m:sSub>
          <m:sSubPr>
            <m:ctrlPr>
              <w:rPr>
                <w:rFonts w:ascii="Cambria Math" w:hAnsi="Cambria Math"/>
              </w:rPr>
            </m:ctrlPr>
          </m:sSubPr>
          <m:e>
            <m:r>
              <w:rPr>
                <w:rFonts w:ascii="Cambria Math" w:hAnsi="Cambria Math"/>
              </w:rPr>
              <m:t>D</m:t>
            </m:r>
          </m:e>
          <m:sub>
            <m:r>
              <w:rPr>
                <w:rFonts w:ascii="Cambria Math" w:hAnsi="Cambria Math"/>
              </w:rPr>
              <m:t>JS</m:t>
            </m:r>
          </m:sub>
        </m:sSub>
      </m:oMath>
      <w:r w:rsidRPr="00FF603B">
        <w:t xml:space="preserve"> between designs and the pretraining validation set. </w:t>
      </w:r>
    </w:p>
    <w:p w14:paraId="273DC4E5" w14:textId="77777777" w:rsidR="00FF603B" w:rsidRPr="00FF603B" w:rsidRDefault="00FF603B" w:rsidP="00FF603B"/>
    <w:p w14:paraId="07B74974" w14:textId="77777777" w:rsidR="00FF603B" w:rsidRPr="00FF603B" w:rsidRDefault="00FF603B" w:rsidP="00FF603B">
      <w:pPr>
        <w:rPr>
          <w:b/>
          <w:bCs/>
        </w:rPr>
      </w:pPr>
      <w:r w:rsidRPr="00FF603B">
        <w:rPr>
          <w:b/>
          <w:bCs/>
        </w:rPr>
        <w:t xml:space="preserve">Design acquisition. </w:t>
      </w:r>
    </w:p>
    <w:p w14:paraId="1D89ACD4" w14:textId="77777777" w:rsidR="00FF603B" w:rsidRPr="00FF603B" w:rsidRDefault="00FF603B" w:rsidP="00FF603B">
      <w:r w:rsidRPr="00FF603B">
        <w:lastRenderedPageBreak/>
        <w:t xml:space="preserve">Using temperature sampling with a temperature of 1, </w:t>
      </w:r>
      <w:r w:rsidRPr="00FF603B">
        <w:rPr>
          <w:i/>
          <w:iCs/>
        </w:rPr>
        <w:t xml:space="preserve">n=100,000 </w:t>
      </w:r>
      <w:r w:rsidRPr="00FF603B">
        <w:t>nanobody sequences were generated. For each design, the normalized log-likelihood</w:t>
      </w:r>
      <w:r w:rsidRPr="00FF603B">
        <w:fldChar w:fldCharType="begin"/>
      </w:r>
      <w:r w:rsidRPr="00FF603B">
        <w:instrText xml:space="preserve"> ADDIN ZOTERO_ITEM CSL_CITATION {"citationID":"H6X4Ztyj","properties":{"formattedCitation":"\\super 8\\nosupersub{}","plainCitation":"8","noteIndex":0},"citationItems":[{"id":1407,"uris":["http://zotero.org/users/6870879/items/9Z872DAH"],"itemData":{"id":1407,"type":"article-journal","abstract":"Abstract\n            Generative deep learning is reshaping drug design. Chemical language models (CLMs) – which generate molecules in the form of molecular strings – bear particular promise for this endeavor. Here, we introduce a recent deep learning architecture, termed Structured State Space Sequence (S4) model, into de novo drug design. In addition to its unprecedented performance in various fields, S4 has shown remarkable capabilities to learn the global properties of sequences. This aspect is intriguing in chemical language modeling, where complex molecular properties like bioactivity can ‘emerge’ from separated portions in the molecular string. This observation gives rise to the following question: Can S4 advance chemical language modeling for de novo design? To provide an answer, we systematically benchmark S4 with state-of-the-art CLMs on an array of drug discovery tasks, such as the identification of bioactive compounds, and the design of drug-like molecules and natural products. S4 shows a superior capacity to learn complex molecular properties, while at the same time exploring diverse scaffolds. Finally, when applied prospectively to kinase inhibition, S4 designs eight of out ten molecules that are predicted as highly active by molecular dynamics simulations. Taken together, these findings advocate for the introduction of S4 into chemical language modeling – uncovering its untapped potential in the molecular sciences.","container-title":"Nature Communications","DOI":"10.1038/s41467-024-50469-9","ISSN":"2041-1723","issue":"1","journalAbbreviation":"Nat Commun","language":"en","page":"6176","source":"DOI.org (Crossref)","title":"Chemical language modeling with structured state space sequence models","volume":"15","author":[{"family":"Özçelik","given":"Rıza"},{"family":"De Ruiter","given":"Sarah"},{"family":"Criscuolo","given":"Emanuele"},{"family":"Grisoni","given":"Francesca"}],"issued":{"date-parts":[["2024",7,22]]}}}],"schema":"https://github.com/citation-style-language/schema/raw/master/csl-citation.json"} </w:instrText>
      </w:r>
      <w:r w:rsidRPr="00FF603B">
        <w:fldChar w:fldCharType="separate"/>
      </w:r>
      <w:r w:rsidRPr="00FF603B">
        <w:rPr>
          <w:kern w:val="0"/>
          <w:vertAlign w:val="superscript"/>
        </w:rPr>
        <w:t>8</w:t>
      </w:r>
      <w:r w:rsidRPr="00FF603B">
        <w:fldChar w:fldCharType="end"/>
      </w:r>
      <w:r w:rsidRPr="00FF603B">
        <w:t xml:space="preserve"> was computed over each individual sequence (eq. 1). To correct for potential pretraining bias</w:t>
      </w:r>
      <w:r w:rsidRPr="00FF603B">
        <w:fldChar w:fldCharType="begin"/>
      </w:r>
      <w:r w:rsidRPr="00FF603B">
        <w:instrText xml:space="preserve"> ADDIN ZOTERO_ITEM CSL_CITATION {"citationID":"VjbakW14","properties":{"formattedCitation":"\\super 8\\nosupersub{}","plainCitation":"8","noteIndex":0},"citationItems":[{"id":1407,"uris":["http://zotero.org/users/6870879/items/9Z872DAH"],"itemData":{"id":1407,"type":"article-journal","abstract":"Abstract\n            Generative deep learning is reshaping drug design. Chemical language models (CLMs) – which generate molecules in the form of molecular strings – bear particular promise for this endeavor. Here, we introduce a recent deep learning architecture, termed Structured State Space Sequence (S4) model, into de novo drug design. In addition to its unprecedented performance in various fields, S4 has shown remarkable capabilities to learn the global properties of sequences. This aspect is intriguing in chemical language modeling, where complex molecular properties like bioactivity can ‘emerge’ from separated portions in the molecular string. This observation gives rise to the following question: Can S4 advance chemical language modeling for de novo design? To provide an answer, we systematically benchmark S4 with state-of-the-art CLMs on an array of drug discovery tasks, such as the identification of bioactive compounds, and the design of drug-like molecules and natural products. S4 shows a superior capacity to learn complex molecular properties, while at the same time exploring diverse scaffolds. Finally, when applied prospectively to kinase inhibition, S4 designs eight of out ten molecules that are predicted as highly active by molecular dynamics simulations. Taken together, these findings advocate for the introduction of S4 into chemical language modeling – uncovering its untapped potential in the molecular sciences.","container-title":"Nature Communications","DOI":"10.1038/s41467-024-50469-9","ISSN":"2041-1723","issue":"1","journalAbbreviation":"Nat Commun","language":"en","page":"6176","source":"DOI.org (Crossref)","title":"Chemical language modeling with structured state space sequence models","volume":"15","author":[{"family":"Özçelik","given":"Rıza"},{"family":"De Ruiter","given":"Sarah"},{"family":"Criscuolo","given":"Emanuele"},{"family":"Grisoni","given":"Francesca"}],"issued":{"date-parts":[["2024",7,22]]}}}],"schema":"https://github.com/citation-style-language/schema/raw/master/csl-citation.json"} </w:instrText>
      </w:r>
      <w:r w:rsidRPr="00FF603B">
        <w:fldChar w:fldCharType="separate"/>
      </w:r>
      <w:r w:rsidRPr="00FF603B">
        <w:rPr>
          <w:kern w:val="0"/>
          <w:vertAlign w:val="superscript"/>
        </w:rPr>
        <w:t>8</w:t>
      </w:r>
      <w:r w:rsidRPr="00FF603B">
        <w:fldChar w:fldCharType="end"/>
      </w:r>
      <w:r w:rsidRPr="00FF603B">
        <w:t xml:space="preserve">, a debiased acquisition score </w:t>
      </w:r>
      <m:oMath>
        <m:sSub>
          <m:sSubPr>
            <m:ctrlPr>
              <w:rPr>
                <w:rFonts w:ascii="Cambria Math" w:hAnsi="Cambria Math"/>
                <w:i/>
              </w:rPr>
            </m:ctrlPr>
          </m:sSubPr>
          <m:e>
            <m:r>
              <m:rPr>
                <m:scr m:val="script"/>
              </m:rPr>
              <w:rPr>
                <w:rFonts w:ascii="Cambria Math" w:hAnsi="Cambria Math"/>
              </w:rPr>
              <m:t>L</m:t>
            </m:r>
          </m:e>
          <m:sub>
            <m:r>
              <w:rPr>
                <w:rFonts w:ascii="Cambria Math" w:hAnsi="Cambria Math"/>
              </w:rPr>
              <m:t>score</m:t>
            </m:r>
          </m:sub>
        </m:sSub>
      </m:oMath>
      <w:r w:rsidRPr="00FF603B">
        <w:t xml:space="preserve"> was computed, considering both the pretrained model and the finetuned model:</w:t>
      </w:r>
    </w:p>
    <w:p w14:paraId="45B7F1A5"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gridCol w:w="617"/>
      </w:tblGrid>
      <w:tr w:rsidR="00FF603B" w:rsidRPr="00FF603B" w14:paraId="584D8A5B" w14:textId="77777777" w:rsidTr="00FB3754">
        <w:tc>
          <w:tcPr>
            <w:tcW w:w="8359" w:type="dxa"/>
            <w:vAlign w:val="center"/>
          </w:tcPr>
          <w:p w14:paraId="3CBE1C5C" w14:textId="77777777" w:rsidR="00FF603B" w:rsidRPr="00FF603B" w:rsidRDefault="00FF603B" w:rsidP="00FB3754">
            <w:pPr>
              <w:jc w:val="center"/>
            </w:pPr>
            <m:oMath>
              <m:sSub>
                <m:sSubPr>
                  <m:ctrlPr>
                    <w:rPr>
                      <w:rFonts w:ascii="Cambria Math" w:hAnsi="Cambria Math"/>
                      <w:i/>
                    </w:rPr>
                  </m:ctrlPr>
                </m:sSubPr>
                <m:e>
                  <m:r>
                    <m:rPr>
                      <m:scr m:val="script"/>
                    </m:rPr>
                    <w:rPr>
                      <w:rFonts w:ascii="Cambria Math" w:hAnsi="Cambria Math"/>
                    </w:rPr>
                    <m:t>L</m:t>
                  </m:r>
                </m:e>
                <m:sub>
                  <m:r>
                    <w:rPr>
                      <w:rFonts w:ascii="Cambria Math" w:hAnsi="Cambria Math"/>
                    </w:rPr>
                    <m:t>score</m:t>
                  </m:r>
                </m:sub>
              </m:sSub>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finetune</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pretrain</m:t>
                  </m:r>
                </m:sub>
              </m:sSub>
            </m:oMath>
            <w:r w:rsidRPr="00FF603B">
              <w:t>.</w:t>
            </w:r>
          </w:p>
        </w:tc>
        <w:tc>
          <w:tcPr>
            <w:tcW w:w="657" w:type="dxa"/>
            <w:vAlign w:val="center"/>
          </w:tcPr>
          <w:p w14:paraId="6452D1F5" w14:textId="77777777" w:rsidR="00FF603B" w:rsidRPr="00FF603B" w:rsidRDefault="00FF603B" w:rsidP="00FB3754">
            <w:pPr>
              <w:jc w:val="center"/>
            </w:pPr>
            <w:r w:rsidRPr="00FF603B">
              <w:t>(7)</w:t>
            </w:r>
          </w:p>
        </w:tc>
      </w:tr>
    </w:tbl>
    <w:p w14:paraId="31C1A38B" w14:textId="77777777" w:rsidR="00FF603B" w:rsidRPr="00FF603B" w:rsidRDefault="00FF603B" w:rsidP="00FF603B"/>
    <w:p w14:paraId="6CABE735" w14:textId="77777777" w:rsidR="00FF603B" w:rsidRPr="00FF603B" w:rsidRDefault="00FF603B" w:rsidP="00FF603B">
      <w:r w:rsidRPr="00FF603B">
        <w:t>Using the acquisition function</w:t>
      </w:r>
    </w:p>
    <w:p w14:paraId="19D1C2AF" w14:textId="77777777" w:rsidR="00FF603B" w:rsidRPr="00FF603B" w:rsidRDefault="00FF603B" w:rsidP="00FF60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9"/>
        <w:gridCol w:w="613"/>
      </w:tblGrid>
      <w:tr w:rsidR="00FF603B" w:rsidRPr="00FF603B" w14:paraId="7BAB9605" w14:textId="77777777" w:rsidTr="00FB3754">
        <w:trPr>
          <w:trHeight w:val="305"/>
        </w:trPr>
        <w:tc>
          <w:tcPr>
            <w:tcW w:w="8359" w:type="dxa"/>
            <w:vAlign w:val="center"/>
          </w:tcPr>
          <w:p w14:paraId="1F2672BE" w14:textId="77777777" w:rsidR="00FF603B" w:rsidRPr="00FF603B" w:rsidRDefault="00FF603B" w:rsidP="00FB3754">
            <w:pPr>
              <w:jc w:val="center"/>
            </w:pPr>
            <m:oMath>
              <m:sSub>
                <m:sSubPr>
                  <m:ctrlPr>
                    <w:rPr>
                      <w:rFonts w:ascii="Cambria Math" w:hAnsi="Cambria Math"/>
                      <w:i/>
                    </w:rPr>
                  </m:ctrlPr>
                </m:sSubPr>
                <m:e>
                  <m:r>
                    <w:rPr>
                      <w:rFonts w:ascii="Cambria Math" w:hAnsi="Cambria Math"/>
                    </w:rPr>
                    <m:t xml:space="preserve">acq = </m:t>
                  </m:r>
                  <m:sSub>
                    <m:sSubPr>
                      <m:ctrlPr>
                        <w:rPr>
                          <w:rFonts w:ascii="Cambria Math" w:hAnsi="Cambria Math"/>
                          <w:i/>
                        </w:rPr>
                      </m:ctrlPr>
                    </m:sSubPr>
                    <m:e>
                      <m:r>
                        <w:rPr>
                          <w:rFonts w:ascii="Cambria Math" w:hAnsi="Cambria Math"/>
                        </w:rPr>
                        <m:t>argmin</m:t>
                      </m:r>
                    </m:e>
                    <m:sub>
                      <m:r>
                        <w:rPr>
                          <w:rFonts w:ascii="Cambria Math" w:hAnsi="Cambria Math"/>
                        </w:rPr>
                        <m:t>n</m:t>
                      </m:r>
                    </m:sub>
                  </m:sSub>
                  <m:r>
                    <m:rPr>
                      <m:scr m:val="script"/>
                    </m:rPr>
                    <w:rPr>
                      <w:rFonts w:ascii="Cambria Math" w:hAnsi="Cambria Math"/>
                    </w:rPr>
                    <m:t>(L</m:t>
                  </m:r>
                </m:e>
                <m:sub>
                  <m:r>
                    <w:rPr>
                      <w:rFonts w:ascii="Cambria Math" w:hAnsi="Cambria Math"/>
                    </w:rPr>
                    <m:t>score</m:t>
                  </m:r>
                </m:sub>
              </m:sSub>
              <m:r>
                <w:rPr>
                  <w:rFonts w:ascii="Cambria Math" w:hAnsi="Cambria Math"/>
                </w:rPr>
                <m:t>)</m:t>
              </m:r>
            </m:oMath>
            <w:r w:rsidRPr="00FF603B">
              <w:t>,</w:t>
            </w:r>
          </w:p>
        </w:tc>
        <w:tc>
          <w:tcPr>
            <w:tcW w:w="657" w:type="dxa"/>
            <w:vAlign w:val="center"/>
          </w:tcPr>
          <w:p w14:paraId="210C9B39" w14:textId="77777777" w:rsidR="00FF603B" w:rsidRPr="00FF603B" w:rsidRDefault="00FF603B" w:rsidP="00FB3754">
            <w:pPr>
              <w:jc w:val="center"/>
            </w:pPr>
            <w:r w:rsidRPr="00FF603B">
              <w:t>(8)</w:t>
            </w:r>
          </w:p>
        </w:tc>
      </w:tr>
    </w:tbl>
    <w:p w14:paraId="00A7467D" w14:textId="77777777" w:rsidR="00FF603B" w:rsidRPr="00FF603B" w:rsidRDefault="00FF603B" w:rsidP="00FF603B"/>
    <w:p w14:paraId="2C47E8E0" w14:textId="77777777" w:rsidR="00FF603B" w:rsidRPr="00FF603B" w:rsidRDefault="00FF603B" w:rsidP="00FF603B">
      <w:r w:rsidRPr="00FF603B">
        <w:t xml:space="preserve">the </w:t>
      </w:r>
      <w:r w:rsidRPr="00FF603B">
        <w:rPr>
          <w:i/>
          <w:iCs/>
        </w:rPr>
        <w:t xml:space="preserve">n=100 </w:t>
      </w:r>
      <w:r w:rsidRPr="00FF603B">
        <w:t xml:space="preserve">best scoring nanobody sequences from the finetuning set and the best </w:t>
      </w:r>
      <w:r w:rsidRPr="00FF603B">
        <w:rPr>
          <w:i/>
          <w:iCs/>
        </w:rPr>
        <w:t xml:space="preserve">n=900 </w:t>
      </w:r>
      <w:r w:rsidRPr="00FF603B">
        <w:t xml:space="preserve">valid, unique, and novel generated nanobody sequences were selected for follow-up. </w:t>
      </w:r>
    </w:p>
    <w:p w14:paraId="5DBDAD72" w14:textId="77777777" w:rsidR="00FF603B" w:rsidRPr="00FF603B" w:rsidRDefault="00FF603B" w:rsidP="00FF603B"/>
    <w:p w14:paraId="50B3CC1C" w14:textId="77777777" w:rsidR="00FF603B" w:rsidRPr="00FF603B" w:rsidRDefault="00FF603B" w:rsidP="00FF603B">
      <w:pPr>
        <w:rPr>
          <w:b/>
          <w:bCs/>
        </w:rPr>
      </w:pPr>
      <w:r w:rsidRPr="00FF603B">
        <w:rPr>
          <w:b/>
          <w:bCs/>
        </w:rPr>
        <w:t xml:space="preserve">Design evaluation. </w:t>
      </w:r>
    </w:p>
    <w:p w14:paraId="1CAA40AA" w14:textId="77777777" w:rsidR="00FF603B" w:rsidRPr="00FF603B" w:rsidRDefault="00FF603B" w:rsidP="00FF603B">
      <w:r w:rsidRPr="00FF603B">
        <w:rPr>
          <w:b/>
          <w:bCs/>
        </w:rPr>
        <w:t xml:space="preserve">Evaluation metrics. </w:t>
      </w:r>
      <w:r w:rsidRPr="00FF603B">
        <w:t xml:space="preserve">Generated designs were evaluated by computing several statistics and properties. Validity was defined as the fraction of designs where the CDR loop </w:t>
      </w:r>
      <w:proofErr w:type="spellStart"/>
      <w:r w:rsidRPr="00FF603B">
        <w:t>seperator</w:t>
      </w:r>
      <w:proofErr w:type="spellEnd"/>
      <w:r w:rsidRPr="00FF603B">
        <w:t xml:space="preserve"> tokens and end-of-sequence token) were placed correctly. Uniqueness is defined as the fraction of unique valid sequences among the generated designs. Novelty is the fraction of valid sequences that are not present in the training set. Hydrophilicity profiles of sequences were determined using the Hopp-Woods scale. Isoelectric point was calculated using the </w:t>
      </w:r>
      <w:proofErr w:type="spellStart"/>
      <w:r w:rsidRPr="00FF603B">
        <w:t>Biopython</w:t>
      </w:r>
      <w:proofErr w:type="spellEnd"/>
      <w:r w:rsidRPr="00FF603B">
        <w:t xml:space="preserve"> package (1.84).</w:t>
      </w:r>
    </w:p>
    <w:p w14:paraId="4A7F8237" w14:textId="77777777" w:rsidR="00FF603B" w:rsidRPr="00FF603B" w:rsidRDefault="00FF603B" w:rsidP="00FF603B"/>
    <w:p w14:paraId="18B34443" w14:textId="77777777" w:rsidR="00FF603B" w:rsidRPr="00FF603B" w:rsidRDefault="00FF603B" w:rsidP="00FF603B">
      <w:r w:rsidRPr="00FF603B">
        <w:rPr>
          <w:b/>
          <w:bCs/>
        </w:rPr>
        <w:t xml:space="preserve">Nanobody sequence alignment. </w:t>
      </w:r>
      <w:r w:rsidRPr="00FF603B">
        <w:t>Nanobody sequences were aligned with ANARCI (1.3)</w:t>
      </w:r>
      <w:r w:rsidRPr="00FF603B">
        <w:fldChar w:fldCharType="begin"/>
      </w:r>
      <w:r w:rsidRPr="00FF603B">
        <w:instrText xml:space="preserve"> ADDIN ZOTERO_ITEM CSL_CITATION {"citationID":"jkBHWfIl","properties":{"formattedCitation":"\\super 9\\nosupersub{}","plainCitation":"9","noteIndex":0},"citationItems":[{"id":1414,"uris":["http://zotero.org/users/6870879/items/QACJTM35"],"itemData":{"id":1414,"type":"article-journal","abstract":"Abstract\n            Motivation: Antibody amino-acid sequences can be numbered to identify equivalent positions. Such annotations are valuable for antibody sequence comparison, protein structure modelling and engineering. Multiple different numbering schemes exist, they vary in the nomenclature they use to annotate residue positions, their definitions of position equivalence and their popularity within different scientific disciplines. However, currently no publicly available software exists that can apply all the most widely used schemes or for which an executable can be obtained under an open license.\n            Results: ANARCI is a tool to classify and number antibody and T-cell receptor amino-acid variable domain sequences. It can annotate sequences with the five most popular numbering schemes: Kabat, Chothia, Enhanced Chothia, IMGT and AHo.\n            Availability and implementation: ANARCI is available for download under GPLv3 license at opig.stats.ox.ac.uk/webapps/anarci. A web-interface to the program is available at the same address.\n            Contact:  deane@stats.ox.ac.uk","container-title":"Bioinformatics","DOI":"10.1093/bioinformatics/btv552","ISSN":"1367-4811, 1367-4803","issue":"2","language":"en","license":"http://creativecommons.org/licenses/by/4.0/","page":"298-300","source":"DOI.org (Crossref)","title":"ANARCI: antigen receptor numbering and receptor classification","title-short":"ANARCI","volume":"32","author":[{"family":"Dunbar","given":"James"},{"family":"Deane","given":"Charlotte M."}],"issued":{"date-parts":[["2016",1,15]]}}}],"schema":"https://github.com/citation-style-language/schema/raw/master/csl-citation.json"} </w:instrText>
      </w:r>
      <w:r w:rsidRPr="00FF603B">
        <w:fldChar w:fldCharType="separate"/>
      </w:r>
      <w:r w:rsidRPr="00FF603B">
        <w:rPr>
          <w:kern w:val="0"/>
          <w:vertAlign w:val="superscript"/>
        </w:rPr>
        <w:t>9</w:t>
      </w:r>
      <w:r w:rsidRPr="00FF603B">
        <w:fldChar w:fldCharType="end"/>
      </w:r>
      <w:r w:rsidRPr="00FF603B">
        <w:t xml:space="preserve"> according to the IMGT scheme for  </w:t>
      </w:r>
      <w:r w:rsidRPr="00FF603B">
        <w:rPr>
          <w:i/>
          <w:iCs/>
        </w:rPr>
        <w:t>Lama pacos</w:t>
      </w:r>
      <w:r w:rsidRPr="00FF603B">
        <w:t xml:space="preserve">. Alignment on generated CDR loops was done by creating a full nanobody sequence first by concatenating the CDR loops with the most common framework sequences for each respective framework region from our NGS data. </w:t>
      </w:r>
    </w:p>
    <w:p w14:paraId="304E6E5F" w14:textId="77777777" w:rsidR="00FF603B" w:rsidRPr="00FF603B" w:rsidRDefault="00FF603B" w:rsidP="00FF603B"/>
    <w:p w14:paraId="4BECF68C" w14:textId="77777777" w:rsidR="00FF603B" w:rsidRPr="00FF603B" w:rsidRDefault="00FF603B" w:rsidP="00FF603B">
      <w:r w:rsidRPr="00FF603B">
        <w:rPr>
          <w:b/>
          <w:bCs/>
        </w:rPr>
        <w:t xml:space="preserve">Motif enrichment analysis. </w:t>
      </w:r>
      <w:r w:rsidRPr="00FF603B">
        <w:t>A simple k-</w:t>
      </w:r>
      <w:proofErr w:type="spellStart"/>
      <w:r w:rsidRPr="00FF603B">
        <w:t>mer</w:t>
      </w:r>
      <w:proofErr w:type="spellEnd"/>
      <w:r w:rsidRPr="00FF603B">
        <w:t xml:space="preserve"> enrichment </w:t>
      </w:r>
      <w:proofErr w:type="spellStart"/>
      <w:r w:rsidRPr="00FF603B">
        <w:t>analyisis</w:t>
      </w:r>
      <w:proofErr w:type="spellEnd"/>
      <w:r w:rsidRPr="00FF603B">
        <w:t xml:space="preserve"> was performed, comparing k-</w:t>
      </w:r>
      <w:proofErr w:type="spellStart"/>
      <w:r w:rsidRPr="00FF603B">
        <w:t>mer</w:t>
      </w:r>
      <w:proofErr w:type="spellEnd"/>
      <w:r w:rsidRPr="00FF603B">
        <w:t xml:space="preserve"> enrichment between different sets of </w:t>
      </w:r>
      <w:proofErr w:type="spellStart"/>
      <w:r w:rsidRPr="00FF603B">
        <w:t>ungapped</w:t>
      </w:r>
      <w:proofErr w:type="spellEnd"/>
      <w:r w:rsidRPr="00FF603B">
        <w:t xml:space="preserve"> sequences. First, all </w:t>
      </w:r>
      <w:proofErr w:type="spellStart"/>
      <w:r w:rsidRPr="00FF603B">
        <w:t>occuring</w:t>
      </w:r>
      <w:proofErr w:type="spellEnd"/>
      <w:r w:rsidRPr="00FF603B">
        <w:t xml:space="preserve"> k-</w:t>
      </w:r>
      <w:proofErr w:type="spellStart"/>
      <w:r w:rsidRPr="00FF603B">
        <w:t>mers</w:t>
      </w:r>
      <w:proofErr w:type="spellEnd"/>
      <w:r w:rsidRPr="00FF603B">
        <w:t xml:space="preserve"> (k=3-20) were found, after which the presence of each k-</w:t>
      </w:r>
      <w:proofErr w:type="spellStart"/>
      <w:r w:rsidRPr="00FF603B">
        <w:t>mer</w:t>
      </w:r>
      <w:proofErr w:type="spellEnd"/>
      <w:r w:rsidRPr="00FF603B">
        <w:t xml:space="preserve"> in all sequences was counted. Enrichment was </w:t>
      </w:r>
      <w:r w:rsidRPr="00FF603B">
        <w:lastRenderedPageBreak/>
        <w:t xml:space="preserve">tested with a two-sided </w:t>
      </w:r>
      <w:proofErr w:type="spellStart"/>
      <w:r w:rsidRPr="00FF603B">
        <w:t>bionominal</w:t>
      </w:r>
      <w:proofErr w:type="spellEnd"/>
      <w:r w:rsidRPr="00FF603B">
        <w:t xml:space="preserve"> test a </w:t>
      </w:r>
      <w:proofErr w:type="spellStart"/>
      <w:r w:rsidRPr="00FF603B">
        <w:t>bonferroni</w:t>
      </w:r>
      <w:proofErr w:type="spellEnd"/>
      <w:r w:rsidRPr="00FF603B">
        <w:t xml:space="preserve"> correction (α=0.05) for multiple testing correction.</w:t>
      </w:r>
    </w:p>
    <w:p w14:paraId="5CBB3000" w14:textId="77777777" w:rsidR="00FF603B" w:rsidRPr="00FF603B" w:rsidRDefault="00FF603B" w:rsidP="00FF603B">
      <w:pPr>
        <w:rPr>
          <w:b/>
          <w:bCs/>
        </w:rPr>
      </w:pPr>
    </w:p>
    <w:p w14:paraId="142D535C" w14:textId="19A37432" w:rsidR="00FF603B" w:rsidRPr="00FF603B" w:rsidRDefault="00FF603B" w:rsidP="00FF603B">
      <w:r w:rsidRPr="00FF603B">
        <w:rPr>
          <w:b/>
          <w:bCs/>
        </w:rPr>
        <w:t>Random sequence control</w:t>
      </w:r>
      <w:r w:rsidRPr="00FF603B">
        <w:t>.</w:t>
      </w:r>
      <w:r w:rsidRPr="00FF603B">
        <w:rPr>
          <w:b/>
          <w:bCs/>
        </w:rPr>
        <w:t xml:space="preserve"> </w:t>
      </w:r>
      <w:r w:rsidRPr="00FF603B">
        <w:t xml:space="preserve">A model-free nanobody sequence generation method was implemented that samples amino acids according to their occurrence in the training data. For each set of CDR loop sequences </w:t>
      </w:r>
      <m:oMath>
        <m:sSub>
          <m:sSubPr>
            <m:ctrlPr>
              <w:rPr>
                <w:rFonts w:ascii="Cambria Math" w:hAnsi="Cambria Math"/>
                <w:i/>
              </w:rPr>
            </m:ctrlPr>
          </m:sSubPr>
          <m:e>
            <m:r>
              <m:rPr>
                <m:scr m:val="script"/>
              </m:rPr>
              <w:rPr>
                <w:rFonts w:ascii="Cambria Math" w:hAnsi="Cambria Math"/>
              </w:rPr>
              <m:t>S</m:t>
            </m:r>
          </m:e>
          <m:sub>
            <m:r>
              <w:rPr>
                <w:rFonts w:ascii="Cambria Math" w:hAnsi="Cambria Math"/>
              </w:rPr>
              <m:t>CDR</m:t>
            </m:r>
          </m:sub>
        </m:sSub>
      </m:oMath>
      <w:r w:rsidRPr="00FF603B">
        <w:t xml:space="preserve"> in the training data, a length distribution</w:t>
      </w:r>
      <m:oMath>
        <m:r>
          <w:rPr>
            <w:rFonts w:ascii="Cambria Math" w:hAnsi="Cambria Math"/>
          </w:rPr>
          <m:t xml:space="preserve"> P(l)</m:t>
        </m:r>
      </m:oMath>
      <w:r w:rsidRPr="00FF603B">
        <w:t xml:space="preserve"> and an amino acid distribution </w:t>
      </w:r>
      <m:oMath>
        <m:r>
          <w:rPr>
            <w:rFonts w:ascii="Cambria Math" w:hAnsi="Cambria Math"/>
          </w:rPr>
          <m:t>P(a),</m:t>
        </m:r>
        <m:r>
          <m:rPr>
            <m:sty m:val="p"/>
          </m:rPr>
          <w:rPr>
            <w:rFonts w:ascii="Cambria Math" w:hAnsi="Cambria Math"/>
          </w:rPr>
          <m:t xml:space="preserve">  ∀</m:t>
        </m:r>
        <m:r>
          <w:rPr>
            <w:rFonts w:ascii="Cambria Math" w:hAnsi="Cambria Math"/>
          </w:rPr>
          <m:t>a</m:t>
        </m:r>
        <m:r>
          <m:rPr>
            <m:sty m:val="p"/>
          </m:rPr>
          <w:rPr>
            <w:rFonts w:ascii="Cambria Math" w:hAnsi="Cambria Math"/>
          </w:rPr>
          <m:t>∈</m:t>
        </m:r>
        <m:r>
          <m:rPr>
            <m:scr m:val="script"/>
          </m:rPr>
          <w:rPr>
            <w:rFonts w:ascii="Cambria Math" w:hAnsi="Cambria Math"/>
          </w:rPr>
          <m:t>A</m:t>
        </m:r>
        <m:r>
          <m:rPr>
            <m:nor/>
          </m:rPr>
          <m:t>,</m:t>
        </m:r>
      </m:oMath>
      <w:r w:rsidRPr="00FF603B">
        <w:t xml:space="preserve"> was fitted (eq. 3). For each generated design, its length </w:t>
      </w:r>
      <m:oMath>
        <m:r>
          <w:rPr>
            <w:rFonts w:ascii="Cambria Math" w:hAnsi="Cambria Math"/>
          </w:rPr>
          <m:t>l</m:t>
        </m:r>
      </m:oMath>
      <w:r w:rsidRPr="00FF603B">
        <w:t xml:space="preserve"> was sampled from </w:t>
      </w:r>
      <m:oMath>
        <m:r>
          <w:rPr>
            <w:rFonts w:ascii="Cambria Math" w:hAnsi="Cambria Math"/>
          </w:rPr>
          <m:t>P(l)</m:t>
        </m:r>
      </m:oMath>
      <w:r w:rsidRPr="00FF603B">
        <w:t xml:space="preserve">, after which </w:t>
      </w:r>
      <m:oMath>
        <m:r>
          <w:rPr>
            <w:rFonts w:ascii="Cambria Math" w:hAnsi="Cambria Math"/>
          </w:rPr>
          <m:t>l</m:t>
        </m:r>
      </m:oMath>
      <w:r w:rsidRPr="00FF603B">
        <w:t xml:space="preserve"> amino acids were sampled from </w:t>
      </w:r>
      <m:oMath>
        <m:r>
          <w:rPr>
            <w:rFonts w:ascii="Cambria Math" w:hAnsi="Cambria Math"/>
          </w:rPr>
          <m:t>P(a)</m:t>
        </m:r>
      </m:oMath>
      <w:r w:rsidRPr="00FF603B">
        <w:t xml:space="preserve"> </w:t>
      </w:r>
      <w:r w:rsidR="00581A75" w:rsidRPr="00FF603B">
        <w:t>independent</w:t>
      </w:r>
      <w:r w:rsidRPr="00FF603B">
        <w:t xml:space="preserve"> of the position. </w:t>
      </w:r>
    </w:p>
    <w:p w14:paraId="563EDDB9" w14:textId="77777777" w:rsidR="00BE76FF" w:rsidRPr="00FF603B" w:rsidRDefault="00BE76FF" w:rsidP="00BE76FF">
      <w:pPr>
        <w:spacing w:line="240" w:lineRule="auto"/>
        <w:textAlignment w:val="baseline"/>
        <w:rPr>
          <w:rFonts w:eastAsia="Times New Roman"/>
          <w:b/>
          <w:bCs/>
        </w:rPr>
      </w:pPr>
    </w:p>
    <w:p w14:paraId="3A32F3C2" w14:textId="3BFC39B6" w:rsidR="00BE76FF" w:rsidRPr="00FF603B" w:rsidRDefault="00BE76FF" w:rsidP="00BE76FF">
      <w:pPr>
        <w:spacing w:line="240" w:lineRule="auto"/>
        <w:textAlignment w:val="baseline"/>
        <w:rPr>
          <w:rFonts w:eastAsia="Times New Roman"/>
          <w:bCs/>
          <w:sz w:val="21"/>
          <w:szCs w:val="21"/>
          <w:lang w:val="en-US"/>
        </w:rPr>
      </w:pPr>
      <w:r w:rsidRPr="00FF603B">
        <w:rPr>
          <w:rFonts w:eastAsia="Times New Roman"/>
          <w:b/>
          <w:bCs/>
          <w:lang w:val="en-US"/>
        </w:rPr>
        <w:t xml:space="preserve">Hardware and training setup </w:t>
      </w:r>
    </w:p>
    <w:p w14:paraId="4FBE22FB" w14:textId="02CEDEFB" w:rsidR="00BE76FF" w:rsidRPr="00FF603B" w:rsidRDefault="00BE76FF" w:rsidP="00BE76FF">
      <w:pPr>
        <w:spacing w:line="240" w:lineRule="auto"/>
        <w:textAlignment w:val="baseline"/>
        <w:rPr>
          <w:rFonts w:eastAsia="Times New Roman"/>
          <w:bCs/>
          <w:sz w:val="21"/>
          <w:szCs w:val="21"/>
          <w:lang w:val="en-US"/>
        </w:rPr>
      </w:pPr>
      <w:r w:rsidRPr="00FF603B">
        <w:rPr>
          <w:rFonts w:eastAsia="Times New Roman"/>
          <w:bCs/>
          <w:sz w:val="21"/>
          <w:szCs w:val="21"/>
          <w:lang w:val="en-US"/>
        </w:rPr>
        <w:t xml:space="preserve">All </w:t>
      </w:r>
      <w:r w:rsidR="00581A75">
        <w:rPr>
          <w:rFonts w:eastAsia="Times New Roman"/>
          <w:bCs/>
          <w:sz w:val="21"/>
          <w:szCs w:val="21"/>
          <w:lang w:val="en-US"/>
        </w:rPr>
        <w:t>computations</w:t>
      </w:r>
      <w:r w:rsidRPr="00FF603B">
        <w:rPr>
          <w:rFonts w:eastAsia="Times New Roman"/>
          <w:bCs/>
          <w:sz w:val="21"/>
          <w:szCs w:val="21"/>
          <w:lang w:val="en-US"/>
        </w:rPr>
        <w:t xml:space="preserve"> were performed on a Lenovo </w:t>
      </w:r>
      <w:proofErr w:type="spellStart"/>
      <w:r w:rsidRPr="00FF603B">
        <w:rPr>
          <w:rFonts w:eastAsia="Times New Roman"/>
          <w:bCs/>
          <w:sz w:val="21"/>
          <w:szCs w:val="21"/>
          <w:lang w:val="en-US"/>
        </w:rPr>
        <w:t>ThinkSystem</w:t>
      </w:r>
      <w:proofErr w:type="spellEnd"/>
      <w:r w:rsidRPr="00FF603B">
        <w:rPr>
          <w:rFonts w:eastAsia="Times New Roman"/>
          <w:bCs/>
          <w:sz w:val="21"/>
          <w:szCs w:val="21"/>
          <w:lang w:val="en-US"/>
        </w:rPr>
        <w:t xml:space="preserve"> SD650-N v2 server equipped with Intel Xeon Platinum 8360Y CPUs and NVIDIA A100 (40GB) GPUs. </w:t>
      </w:r>
    </w:p>
    <w:p w14:paraId="4C50D84A" w14:textId="77777777" w:rsidR="00BE76FF" w:rsidRPr="00FF603B" w:rsidRDefault="00BE76FF" w:rsidP="00BE76FF">
      <w:pPr>
        <w:spacing w:line="240" w:lineRule="auto"/>
        <w:textAlignment w:val="baseline"/>
        <w:rPr>
          <w:rFonts w:eastAsia="Times New Roman"/>
          <w:sz w:val="21"/>
          <w:szCs w:val="21"/>
          <w:lang w:val="en-US"/>
        </w:rPr>
      </w:pPr>
    </w:p>
    <w:p w14:paraId="64AAEE1A" w14:textId="19049360" w:rsidR="00BE76FF" w:rsidRPr="00FF603B" w:rsidRDefault="00BE76FF">
      <w:pPr>
        <w:spacing w:line="240" w:lineRule="auto"/>
        <w:jc w:val="left"/>
        <w:rPr>
          <w:lang w:val="en-US"/>
        </w:rPr>
      </w:pPr>
    </w:p>
    <w:p w14:paraId="368CD154" w14:textId="77777777" w:rsidR="00BF35FF" w:rsidRPr="00FF603B" w:rsidRDefault="00BF35FF">
      <w:pPr>
        <w:spacing w:line="240" w:lineRule="auto"/>
        <w:jc w:val="left"/>
        <w:rPr>
          <w:b/>
          <w:bCs/>
          <w:color w:val="000000" w:themeColor="text1"/>
          <w:sz w:val="32"/>
          <w:szCs w:val="32"/>
          <w:lang w:val="en-US"/>
        </w:rPr>
      </w:pPr>
      <w:r w:rsidRPr="00FF603B">
        <w:br w:type="page"/>
      </w:r>
    </w:p>
    <w:p w14:paraId="653C912F" w14:textId="47E6B0B5" w:rsidR="004C27D6" w:rsidRPr="00FF603B" w:rsidRDefault="00FF603B" w:rsidP="00A32451">
      <w:pPr>
        <w:pStyle w:val="Heading2"/>
      </w:pPr>
      <w:r w:rsidRPr="00FF603B">
        <w:lastRenderedPageBreak/>
        <w:t>7</w:t>
      </w:r>
      <w:r w:rsidR="007816CC" w:rsidRPr="00FF603B">
        <w:t xml:space="preserve">.6 </w:t>
      </w:r>
      <w:r w:rsidR="004C27D6" w:rsidRPr="00FF603B">
        <w:t>Appendix</w:t>
      </w:r>
    </w:p>
    <w:p w14:paraId="15BF5BAF" w14:textId="53474CF2" w:rsidR="00DB0AAD" w:rsidRPr="00FF603B" w:rsidRDefault="00DB0AAD">
      <w:pPr>
        <w:spacing w:line="240" w:lineRule="auto"/>
        <w:jc w:val="left"/>
        <w:rPr>
          <w:b/>
          <w:sz w:val="21"/>
          <w:szCs w:val="21"/>
          <w:lang w:val="en-US"/>
        </w:rPr>
      </w:pPr>
    </w:p>
    <w:p w14:paraId="5A01A896" w14:textId="77777777" w:rsidR="00E84715" w:rsidRPr="00FF603B" w:rsidRDefault="00E84715" w:rsidP="00A32451"/>
    <w:p w14:paraId="3FE9381C" w14:textId="77777777" w:rsidR="00BF35FF" w:rsidRPr="00FF603B" w:rsidRDefault="00BF35FF">
      <w:pPr>
        <w:spacing w:line="240" w:lineRule="auto"/>
        <w:jc w:val="left"/>
        <w:rPr>
          <w:b/>
          <w:bCs/>
          <w:color w:val="000000" w:themeColor="text1"/>
          <w:sz w:val="32"/>
          <w:szCs w:val="32"/>
          <w:lang w:val="en-US"/>
        </w:rPr>
      </w:pPr>
      <w:r w:rsidRPr="00FF603B">
        <w:br w:type="page"/>
      </w:r>
    </w:p>
    <w:p w14:paraId="0CAD5F2F" w14:textId="263C39F2" w:rsidR="00E84715" w:rsidRPr="00FF603B" w:rsidRDefault="00FF603B" w:rsidP="00BF35FF">
      <w:pPr>
        <w:pStyle w:val="Heading2"/>
      </w:pPr>
      <w:r w:rsidRPr="00FF603B">
        <w:lastRenderedPageBreak/>
        <w:t>7</w:t>
      </w:r>
      <w:r w:rsidR="007816CC" w:rsidRPr="00FF603B">
        <w:t xml:space="preserve">.7 </w:t>
      </w:r>
      <w:r w:rsidR="00BF35FF" w:rsidRPr="00FF603B">
        <w:t>References</w:t>
      </w:r>
    </w:p>
    <w:p w14:paraId="64474C5F" w14:textId="77777777" w:rsidR="00BF35FF" w:rsidRPr="00FF603B" w:rsidRDefault="00BF35FF" w:rsidP="00BF35FF">
      <w:pPr>
        <w:rPr>
          <w:lang w:val="en-US"/>
        </w:rPr>
      </w:pPr>
    </w:p>
    <w:p w14:paraId="78EC1ABC" w14:textId="77777777" w:rsidR="00BF35FF" w:rsidRPr="00FF603B" w:rsidRDefault="00BF35FF" w:rsidP="00BF35FF">
      <w:pPr>
        <w:pStyle w:val="Bibliography"/>
        <w:spacing w:line="276" w:lineRule="auto"/>
        <w:rPr>
          <w:sz w:val="20"/>
          <w:szCs w:val="20"/>
        </w:rPr>
      </w:pPr>
      <w:r w:rsidRPr="00FF603B">
        <w:rPr>
          <w:sz w:val="20"/>
          <w:szCs w:val="20"/>
        </w:rPr>
        <w:fldChar w:fldCharType="begin"/>
      </w:r>
      <w:r w:rsidRPr="00FF603B">
        <w:rPr>
          <w:sz w:val="20"/>
          <w:szCs w:val="20"/>
        </w:rPr>
        <w:instrText xml:space="preserve"> ADDIN ZOTERO_BIBL {"uncited":[],"omitted":[],"custom":[]} CSL_BIBLIOGRAPHY </w:instrText>
      </w:r>
      <w:r w:rsidRPr="00FF603B">
        <w:rPr>
          <w:sz w:val="20"/>
          <w:szCs w:val="20"/>
        </w:rPr>
        <w:fldChar w:fldCharType="separate"/>
      </w:r>
      <w:r w:rsidRPr="00FF603B">
        <w:rPr>
          <w:sz w:val="20"/>
          <w:szCs w:val="20"/>
        </w:rPr>
        <w:t>1.</w:t>
      </w:r>
      <w:r w:rsidRPr="00FF603B">
        <w:rPr>
          <w:sz w:val="20"/>
          <w:szCs w:val="20"/>
        </w:rPr>
        <w:tab/>
        <w:t xml:space="preserve">Gawehn, E., Hiss, J. A. &amp; Schneider, G. Deep Learning in Drug Discovery. </w:t>
      </w:r>
      <w:r w:rsidRPr="00FF603B">
        <w:rPr>
          <w:i/>
          <w:iCs/>
          <w:sz w:val="20"/>
          <w:szCs w:val="20"/>
        </w:rPr>
        <w:t>Molecular Informatics</w:t>
      </w:r>
      <w:r w:rsidRPr="00FF603B">
        <w:rPr>
          <w:sz w:val="20"/>
          <w:szCs w:val="20"/>
        </w:rPr>
        <w:t xml:space="preserve"> </w:t>
      </w:r>
      <w:r w:rsidRPr="00FF603B">
        <w:rPr>
          <w:b/>
          <w:bCs/>
          <w:sz w:val="20"/>
          <w:szCs w:val="20"/>
        </w:rPr>
        <w:t>35</w:t>
      </w:r>
      <w:r w:rsidRPr="00FF603B">
        <w:rPr>
          <w:sz w:val="20"/>
          <w:szCs w:val="20"/>
        </w:rPr>
        <w:t>, 3–14 (2016).</w:t>
      </w:r>
    </w:p>
    <w:p w14:paraId="14CA8FD1" w14:textId="77777777" w:rsidR="00BF35FF" w:rsidRPr="00FF603B" w:rsidRDefault="00BF35FF" w:rsidP="00BF35FF">
      <w:pPr>
        <w:pStyle w:val="Bibliography"/>
        <w:spacing w:line="276" w:lineRule="auto"/>
        <w:rPr>
          <w:sz w:val="20"/>
          <w:szCs w:val="20"/>
        </w:rPr>
      </w:pPr>
      <w:r w:rsidRPr="00FF603B">
        <w:rPr>
          <w:sz w:val="20"/>
          <w:szCs w:val="20"/>
        </w:rPr>
        <w:t>2.</w:t>
      </w:r>
      <w:r w:rsidRPr="00FF603B">
        <w:rPr>
          <w:sz w:val="20"/>
          <w:szCs w:val="20"/>
        </w:rPr>
        <w:tab/>
        <w:t xml:space="preserve">Jiménez-Luna, J., Grisoni, F., Weskamp, N. &amp; Schneider, G. Artificial intelligence in drug discovery: recent advances and future perspectives. </w:t>
      </w:r>
      <w:r w:rsidRPr="00FF603B">
        <w:rPr>
          <w:i/>
          <w:iCs/>
          <w:sz w:val="20"/>
          <w:szCs w:val="20"/>
        </w:rPr>
        <w:t>Expert Opinion on Drug Discovery</w:t>
      </w:r>
      <w:r w:rsidRPr="00FF603B">
        <w:rPr>
          <w:sz w:val="20"/>
          <w:szCs w:val="20"/>
        </w:rPr>
        <w:t xml:space="preserve"> </w:t>
      </w:r>
      <w:r w:rsidRPr="00FF603B">
        <w:rPr>
          <w:b/>
          <w:bCs/>
          <w:sz w:val="20"/>
          <w:szCs w:val="20"/>
        </w:rPr>
        <w:t>16</w:t>
      </w:r>
      <w:r w:rsidRPr="00FF603B">
        <w:rPr>
          <w:sz w:val="20"/>
          <w:szCs w:val="20"/>
        </w:rPr>
        <w:t>, 949–959 (2021).</w:t>
      </w:r>
    </w:p>
    <w:p w14:paraId="39FBFF98" w14:textId="77777777" w:rsidR="00BF35FF" w:rsidRPr="00FF603B" w:rsidRDefault="00BF35FF" w:rsidP="00BF35FF">
      <w:pPr>
        <w:pStyle w:val="Bibliography"/>
        <w:spacing w:line="276" w:lineRule="auto"/>
        <w:rPr>
          <w:sz w:val="20"/>
          <w:szCs w:val="20"/>
        </w:rPr>
      </w:pPr>
      <w:r w:rsidRPr="00FF603B">
        <w:rPr>
          <w:sz w:val="20"/>
          <w:szCs w:val="20"/>
        </w:rPr>
        <w:t>3.</w:t>
      </w:r>
      <w:r w:rsidRPr="00FF603B">
        <w:rPr>
          <w:sz w:val="20"/>
          <w:szCs w:val="20"/>
        </w:rPr>
        <w:tab/>
        <w:t xml:space="preserve">Vamathevan, J. </w:t>
      </w:r>
      <w:r w:rsidRPr="00FF603B">
        <w:rPr>
          <w:i/>
          <w:iCs/>
          <w:sz w:val="20"/>
          <w:szCs w:val="20"/>
        </w:rPr>
        <w:t>et al.</w:t>
      </w:r>
      <w:r w:rsidRPr="00FF603B">
        <w:rPr>
          <w:sz w:val="20"/>
          <w:szCs w:val="20"/>
        </w:rPr>
        <w:t xml:space="preserve"> Applications of machine learning in drug discovery and development. </w:t>
      </w:r>
      <w:r w:rsidRPr="00FF603B">
        <w:rPr>
          <w:i/>
          <w:iCs/>
          <w:sz w:val="20"/>
          <w:szCs w:val="20"/>
        </w:rPr>
        <w:t>Nat Rev Drug Discov</w:t>
      </w:r>
      <w:r w:rsidRPr="00FF603B">
        <w:rPr>
          <w:sz w:val="20"/>
          <w:szCs w:val="20"/>
        </w:rPr>
        <w:t xml:space="preserve"> </w:t>
      </w:r>
      <w:r w:rsidRPr="00FF603B">
        <w:rPr>
          <w:b/>
          <w:bCs/>
          <w:sz w:val="20"/>
          <w:szCs w:val="20"/>
        </w:rPr>
        <w:t>18</w:t>
      </w:r>
      <w:r w:rsidRPr="00FF603B">
        <w:rPr>
          <w:sz w:val="20"/>
          <w:szCs w:val="20"/>
        </w:rPr>
        <w:t>, 463–477 (2019).</w:t>
      </w:r>
    </w:p>
    <w:p w14:paraId="13894CAD" w14:textId="77777777" w:rsidR="00BF35FF" w:rsidRPr="00FF603B" w:rsidRDefault="00BF35FF" w:rsidP="00BF35FF">
      <w:pPr>
        <w:pStyle w:val="Bibliography"/>
        <w:spacing w:line="276" w:lineRule="auto"/>
        <w:rPr>
          <w:sz w:val="20"/>
          <w:szCs w:val="20"/>
        </w:rPr>
      </w:pPr>
      <w:r w:rsidRPr="00FF603B">
        <w:rPr>
          <w:sz w:val="20"/>
          <w:szCs w:val="20"/>
        </w:rPr>
        <w:t>4.</w:t>
      </w:r>
      <w:r w:rsidRPr="00FF603B">
        <w:rPr>
          <w:sz w:val="20"/>
          <w:szCs w:val="20"/>
        </w:rPr>
        <w:tab/>
        <w:t xml:space="preserve">Stokes, J. M. </w:t>
      </w:r>
      <w:r w:rsidRPr="00FF603B">
        <w:rPr>
          <w:i/>
          <w:iCs/>
          <w:sz w:val="20"/>
          <w:szCs w:val="20"/>
        </w:rPr>
        <w:t>et al.</w:t>
      </w:r>
      <w:r w:rsidRPr="00FF603B">
        <w:rPr>
          <w:sz w:val="20"/>
          <w:szCs w:val="20"/>
        </w:rPr>
        <w:t xml:space="preserve"> A Deep Learning Approach to Antibiotic Discovery. </w:t>
      </w:r>
      <w:r w:rsidRPr="00FF603B">
        <w:rPr>
          <w:i/>
          <w:iCs/>
          <w:sz w:val="20"/>
          <w:szCs w:val="20"/>
        </w:rPr>
        <w:t>Cell</w:t>
      </w:r>
      <w:r w:rsidRPr="00FF603B">
        <w:rPr>
          <w:sz w:val="20"/>
          <w:szCs w:val="20"/>
        </w:rPr>
        <w:t xml:space="preserve"> </w:t>
      </w:r>
      <w:r w:rsidRPr="00FF603B">
        <w:rPr>
          <w:b/>
          <w:bCs/>
          <w:sz w:val="20"/>
          <w:szCs w:val="20"/>
        </w:rPr>
        <w:t>180</w:t>
      </w:r>
      <w:r w:rsidRPr="00FF603B">
        <w:rPr>
          <w:sz w:val="20"/>
          <w:szCs w:val="20"/>
        </w:rPr>
        <w:t>, 688-702.e13 (2020).</w:t>
      </w:r>
    </w:p>
    <w:p w14:paraId="154F5640" w14:textId="77777777" w:rsidR="00BF35FF" w:rsidRPr="00FF603B" w:rsidRDefault="00BF35FF" w:rsidP="00BF35FF">
      <w:pPr>
        <w:pStyle w:val="Bibliography"/>
        <w:spacing w:line="276" w:lineRule="auto"/>
        <w:rPr>
          <w:sz w:val="20"/>
          <w:szCs w:val="20"/>
        </w:rPr>
      </w:pPr>
      <w:r w:rsidRPr="00FF603B">
        <w:rPr>
          <w:sz w:val="20"/>
          <w:szCs w:val="20"/>
        </w:rPr>
        <w:t>5.</w:t>
      </w:r>
      <w:r w:rsidRPr="00FF603B">
        <w:rPr>
          <w:sz w:val="20"/>
          <w:szCs w:val="20"/>
        </w:rPr>
        <w:tab/>
        <w:t xml:space="preserve">Liu, G. </w:t>
      </w:r>
      <w:r w:rsidRPr="00FF603B">
        <w:rPr>
          <w:i/>
          <w:iCs/>
          <w:sz w:val="20"/>
          <w:szCs w:val="20"/>
        </w:rPr>
        <w:t>et al.</w:t>
      </w:r>
      <w:r w:rsidRPr="00FF603B">
        <w:rPr>
          <w:sz w:val="20"/>
          <w:szCs w:val="20"/>
        </w:rPr>
        <w:t xml:space="preserve"> Deep learning-guided discovery of an antibiotic targeting Acinetobacter baumannii. </w:t>
      </w:r>
      <w:r w:rsidRPr="00FF603B">
        <w:rPr>
          <w:i/>
          <w:iCs/>
          <w:sz w:val="20"/>
          <w:szCs w:val="20"/>
        </w:rPr>
        <w:t>Nat Chem Biol</w:t>
      </w:r>
      <w:r w:rsidRPr="00FF603B">
        <w:rPr>
          <w:sz w:val="20"/>
          <w:szCs w:val="20"/>
        </w:rPr>
        <w:t xml:space="preserve"> (2023) doi:10.1038/s41589-023-01349-8.</w:t>
      </w:r>
    </w:p>
    <w:p w14:paraId="1FACA114" w14:textId="77777777" w:rsidR="00BF35FF" w:rsidRPr="00FF603B" w:rsidRDefault="00BF35FF" w:rsidP="00BF35FF">
      <w:pPr>
        <w:pStyle w:val="Bibliography"/>
        <w:spacing w:line="276" w:lineRule="auto"/>
        <w:rPr>
          <w:sz w:val="20"/>
          <w:szCs w:val="20"/>
        </w:rPr>
      </w:pPr>
      <w:r w:rsidRPr="00FF603B">
        <w:rPr>
          <w:sz w:val="20"/>
          <w:szCs w:val="20"/>
        </w:rPr>
        <w:t>6.</w:t>
      </w:r>
      <w:r w:rsidRPr="00FF603B">
        <w:rPr>
          <w:sz w:val="20"/>
          <w:szCs w:val="20"/>
        </w:rPr>
        <w:tab/>
        <w:t xml:space="preserve">Walters, W. P., Stahl, M. T. &amp; Murcko, M. A. Virtual screening—an overview. </w:t>
      </w:r>
      <w:r w:rsidRPr="00FF603B">
        <w:rPr>
          <w:i/>
          <w:iCs/>
          <w:sz w:val="20"/>
          <w:szCs w:val="20"/>
        </w:rPr>
        <w:t>Drug Discovery Today</w:t>
      </w:r>
      <w:r w:rsidRPr="00FF603B">
        <w:rPr>
          <w:sz w:val="20"/>
          <w:szCs w:val="20"/>
        </w:rPr>
        <w:t xml:space="preserve"> </w:t>
      </w:r>
      <w:r w:rsidRPr="00FF603B">
        <w:rPr>
          <w:b/>
          <w:bCs/>
          <w:sz w:val="20"/>
          <w:szCs w:val="20"/>
        </w:rPr>
        <w:t>3</w:t>
      </w:r>
      <w:r w:rsidRPr="00FF603B">
        <w:rPr>
          <w:sz w:val="20"/>
          <w:szCs w:val="20"/>
        </w:rPr>
        <w:t>, 160–178 (1998).</w:t>
      </w:r>
    </w:p>
    <w:p w14:paraId="3CAC4F36" w14:textId="77777777" w:rsidR="00BF35FF" w:rsidRPr="00FF603B" w:rsidRDefault="00BF35FF" w:rsidP="00BF35FF">
      <w:pPr>
        <w:pStyle w:val="Bibliography"/>
        <w:spacing w:line="276" w:lineRule="auto"/>
        <w:rPr>
          <w:sz w:val="20"/>
          <w:szCs w:val="20"/>
        </w:rPr>
      </w:pPr>
      <w:r w:rsidRPr="00FF603B">
        <w:rPr>
          <w:sz w:val="20"/>
          <w:szCs w:val="20"/>
        </w:rPr>
        <w:t>7.</w:t>
      </w:r>
      <w:r w:rsidRPr="00FF603B">
        <w:rPr>
          <w:sz w:val="20"/>
          <w:szCs w:val="20"/>
        </w:rPr>
        <w:tab/>
        <w:t xml:space="preserve">Yera, E. R., Cleves, A. E. &amp; Jain, A. N. Chemical Structural Novelty: On-Targets and Off-Targets. </w:t>
      </w:r>
      <w:r w:rsidRPr="00FF603B">
        <w:rPr>
          <w:i/>
          <w:iCs/>
          <w:sz w:val="20"/>
          <w:szCs w:val="20"/>
        </w:rPr>
        <w:t>J. Med. Chem.</w:t>
      </w:r>
      <w:r w:rsidRPr="00FF603B">
        <w:rPr>
          <w:sz w:val="20"/>
          <w:szCs w:val="20"/>
        </w:rPr>
        <w:t xml:space="preserve"> </w:t>
      </w:r>
      <w:r w:rsidRPr="00FF603B">
        <w:rPr>
          <w:b/>
          <w:bCs/>
          <w:sz w:val="20"/>
          <w:szCs w:val="20"/>
        </w:rPr>
        <w:t>54</w:t>
      </w:r>
      <w:r w:rsidRPr="00FF603B">
        <w:rPr>
          <w:sz w:val="20"/>
          <w:szCs w:val="20"/>
        </w:rPr>
        <w:t>, 6771–6785 (2011).</w:t>
      </w:r>
    </w:p>
    <w:p w14:paraId="3967A761" w14:textId="77777777" w:rsidR="00BF35FF" w:rsidRPr="00FF603B" w:rsidRDefault="00BF35FF" w:rsidP="00BF35FF">
      <w:pPr>
        <w:pStyle w:val="Bibliography"/>
        <w:spacing w:line="276" w:lineRule="auto"/>
        <w:rPr>
          <w:sz w:val="20"/>
          <w:szCs w:val="20"/>
        </w:rPr>
      </w:pPr>
      <w:r w:rsidRPr="00FF603B">
        <w:rPr>
          <w:sz w:val="20"/>
          <w:szCs w:val="20"/>
        </w:rPr>
        <w:t>8.</w:t>
      </w:r>
      <w:r w:rsidRPr="00FF603B">
        <w:rPr>
          <w:sz w:val="20"/>
          <w:szCs w:val="20"/>
        </w:rPr>
        <w:tab/>
        <w:t xml:space="preserve">Wills, T. J. &amp; Lipkus, A. H. Structural Approach to Assessing the Innovativeness of New Drugs Finds Accelerating Rate of Innovation. </w:t>
      </w:r>
      <w:r w:rsidRPr="00FF603B">
        <w:rPr>
          <w:i/>
          <w:iCs/>
          <w:sz w:val="20"/>
          <w:szCs w:val="20"/>
        </w:rPr>
        <w:t>ACS Med. Chem. Lett.</w:t>
      </w:r>
      <w:r w:rsidRPr="00FF603B">
        <w:rPr>
          <w:sz w:val="20"/>
          <w:szCs w:val="20"/>
        </w:rPr>
        <w:t xml:space="preserve"> </w:t>
      </w:r>
      <w:r w:rsidRPr="00FF603B">
        <w:rPr>
          <w:b/>
          <w:bCs/>
          <w:sz w:val="20"/>
          <w:szCs w:val="20"/>
        </w:rPr>
        <w:t>11</w:t>
      </w:r>
      <w:r w:rsidRPr="00FF603B">
        <w:rPr>
          <w:sz w:val="20"/>
          <w:szCs w:val="20"/>
        </w:rPr>
        <w:t>, 2114–2119 (2020).</w:t>
      </w:r>
    </w:p>
    <w:p w14:paraId="588D0922" w14:textId="77777777" w:rsidR="00BF35FF" w:rsidRPr="00FF603B" w:rsidRDefault="00BF35FF" w:rsidP="00BF35FF">
      <w:pPr>
        <w:pStyle w:val="Bibliography"/>
        <w:spacing w:line="276" w:lineRule="auto"/>
        <w:rPr>
          <w:sz w:val="20"/>
          <w:szCs w:val="20"/>
        </w:rPr>
      </w:pPr>
      <w:r w:rsidRPr="00FF603B">
        <w:rPr>
          <w:sz w:val="20"/>
          <w:szCs w:val="20"/>
        </w:rPr>
        <w:t>9.</w:t>
      </w:r>
      <w:r w:rsidRPr="00FF603B">
        <w:rPr>
          <w:sz w:val="20"/>
          <w:szCs w:val="20"/>
        </w:rPr>
        <w:tab/>
        <w:t xml:space="preserve">Shimizu, Y. </w:t>
      </w:r>
      <w:r w:rsidRPr="00FF603B">
        <w:rPr>
          <w:i/>
          <w:iCs/>
          <w:sz w:val="20"/>
          <w:szCs w:val="20"/>
        </w:rPr>
        <w:t>et al.</w:t>
      </w:r>
      <w:r w:rsidRPr="00FF603B">
        <w:rPr>
          <w:sz w:val="20"/>
          <w:szCs w:val="20"/>
        </w:rPr>
        <w:t xml:space="preserve"> AI-driven molecular generation of not-patented pharmaceutical compounds using world open patent data. </w:t>
      </w:r>
      <w:r w:rsidRPr="00FF603B">
        <w:rPr>
          <w:i/>
          <w:iCs/>
          <w:sz w:val="20"/>
          <w:szCs w:val="20"/>
        </w:rPr>
        <w:t>J Cheminform</w:t>
      </w:r>
      <w:r w:rsidRPr="00FF603B">
        <w:rPr>
          <w:sz w:val="20"/>
          <w:szCs w:val="20"/>
        </w:rPr>
        <w:t xml:space="preserve"> </w:t>
      </w:r>
      <w:r w:rsidRPr="00FF603B">
        <w:rPr>
          <w:b/>
          <w:bCs/>
          <w:sz w:val="20"/>
          <w:szCs w:val="20"/>
        </w:rPr>
        <w:t>15</w:t>
      </w:r>
      <w:r w:rsidRPr="00FF603B">
        <w:rPr>
          <w:sz w:val="20"/>
          <w:szCs w:val="20"/>
        </w:rPr>
        <w:t>, 120 (2023).</w:t>
      </w:r>
    </w:p>
    <w:p w14:paraId="35A42F79" w14:textId="77777777" w:rsidR="00BF35FF" w:rsidRPr="00FF603B" w:rsidRDefault="00BF35FF" w:rsidP="00BF35FF">
      <w:pPr>
        <w:pStyle w:val="Bibliography"/>
        <w:spacing w:line="276" w:lineRule="auto"/>
        <w:rPr>
          <w:sz w:val="20"/>
          <w:szCs w:val="20"/>
        </w:rPr>
      </w:pPr>
      <w:r w:rsidRPr="00FF603B">
        <w:rPr>
          <w:sz w:val="20"/>
          <w:szCs w:val="20"/>
        </w:rPr>
        <w:t>10.</w:t>
      </w:r>
      <w:r w:rsidRPr="00FF603B">
        <w:rPr>
          <w:sz w:val="20"/>
          <w:szCs w:val="20"/>
        </w:rPr>
        <w:tab/>
        <w:t xml:space="preserve">Atanasov, A. G. </w:t>
      </w:r>
      <w:r w:rsidRPr="00FF603B">
        <w:rPr>
          <w:i/>
          <w:iCs/>
          <w:sz w:val="20"/>
          <w:szCs w:val="20"/>
        </w:rPr>
        <w:t>et al.</w:t>
      </w:r>
      <w:r w:rsidRPr="00FF603B">
        <w:rPr>
          <w:sz w:val="20"/>
          <w:szCs w:val="20"/>
        </w:rPr>
        <w:t xml:space="preserve"> Natural products in drug discovery: advances and opportunities. </w:t>
      </w:r>
      <w:r w:rsidRPr="00FF603B">
        <w:rPr>
          <w:i/>
          <w:iCs/>
          <w:sz w:val="20"/>
          <w:szCs w:val="20"/>
        </w:rPr>
        <w:t>Nat Rev Drug Discov</w:t>
      </w:r>
      <w:r w:rsidRPr="00FF603B">
        <w:rPr>
          <w:sz w:val="20"/>
          <w:szCs w:val="20"/>
        </w:rPr>
        <w:t xml:space="preserve"> </w:t>
      </w:r>
      <w:r w:rsidRPr="00FF603B">
        <w:rPr>
          <w:b/>
          <w:bCs/>
          <w:sz w:val="20"/>
          <w:szCs w:val="20"/>
        </w:rPr>
        <w:t>20</w:t>
      </w:r>
      <w:r w:rsidRPr="00FF603B">
        <w:rPr>
          <w:sz w:val="20"/>
          <w:szCs w:val="20"/>
        </w:rPr>
        <w:t>, 200–216 (2021).</w:t>
      </w:r>
    </w:p>
    <w:p w14:paraId="76BE11CA" w14:textId="77777777" w:rsidR="00BF35FF" w:rsidRPr="00FF603B" w:rsidRDefault="00BF35FF" w:rsidP="00BF35FF">
      <w:pPr>
        <w:pStyle w:val="Bibliography"/>
        <w:spacing w:line="276" w:lineRule="auto"/>
        <w:rPr>
          <w:sz w:val="20"/>
          <w:szCs w:val="20"/>
        </w:rPr>
      </w:pPr>
      <w:r w:rsidRPr="00FF603B">
        <w:rPr>
          <w:sz w:val="20"/>
          <w:szCs w:val="20"/>
        </w:rPr>
        <w:t>11.</w:t>
      </w:r>
      <w:r w:rsidRPr="00FF603B">
        <w:rPr>
          <w:sz w:val="20"/>
          <w:szCs w:val="20"/>
        </w:rPr>
        <w:tab/>
        <w:t xml:space="preserve">Wright, G. D. The antibiotic resistome: the nexus of chemical and genetic diversity. </w:t>
      </w:r>
      <w:r w:rsidRPr="00FF603B">
        <w:rPr>
          <w:i/>
          <w:iCs/>
          <w:sz w:val="20"/>
          <w:szCs w:val="20"/>
        </w:rPr>
        <w:t>Nat Rev Microbiol</w:t>
      </w:r>
      <w:r w:rsidRPr="00FF603B">
        <w:rPr>
          <w:sz w:val="20"/>
          <w:szCs w:val="20"/>
        </w:rPr>
        <w:t xml:space="preserve"> </w:t>
      </w:r>
      <w:r w:rsidRPr="00FF603B">
        <w:rPr>
          <w:b/>
          <w:bCs/>
          <w:sz w:val="20"/>
          <w:szCs w:val="20"/>
        </w:rPr>
        <w:t>5</w:t>
      </w:r>
      <w:r w:rsidRPr="00FF603B">
        <w:rPr>
          <w:sz w:val="20"/>
          <w:szCs w:val="20"/>
        </w:rPr>
        <w:t>, 175–186 (2007).</w:t>
      </w:r>
    </w:p>
    <w:p w14:paraId="74BD749B" w14:textId="77777777" w:rsidR="00BF35FF" w:rsidRPr="00FF603B" w:rsidRDefault="00BF35FF" w:rsidP="00BF35FF">
      <w:pPr>
        <w:pStyle w:val="Bibliography"/>
        <w:spacing w:line="276" w:lineRule="auto"/>
        <w:rPr>
          <w:sz w:val="20"/>
          <w:szCs w:val="20"/>
        </w:rPr>
      </w:pPr>
      <w:r w:rsidRPr="00FF603B">
        <w:rPr>
          <w:sz w:val="20"/>
          <w:szCs w:val="20"/>
        </w:rPr>
        <w:t>12.</w:t>
      </w:r>
      <w:r w:rsidRPr="00FF603B">
        <w:rPr>
          <w:sz w:val="20"/>
          <w:szCs w:val="20"/>
        </w:rPr>
        <w:tab/>
        <w:t xml:space="preserve">Ji, Y. </w:t>
      </w:r>
      <w:r w:rsidRPr="00FF603B">
        <w:rPr>
          <w:i/>
          <w:iCs/>
          <w:sz w:val="20"/>
          <w:szCs w:val="20"/>
        </w:rPr>
        <w:t>et al.</w:t>
      </w:r>
      <w:r w:rsidRPr="00FF603B">
        <w:rPr>
          <w:sz w:val="20"/>
          <w:szCs w:val="20"/>
        </w:rPr>
        <w:t xml:space="preserve"> DrugOOD: Out-of-Distribution (OOD) Dataset Curator and Benchmark for AI-aided Drug Discovery -- A Focus on Affinity Prediction Problems with Noise Annotations. Preprint at https://doi.org/10.48550/ARXIV.2201.09637 (2022).</w:t>
      </w:r>
    </w:p>
    <w:p w14:paraId="232F52AD" w14:textId="77777777" w:rsidR="00BF35FF" w:rsidRPr="00FF603B" w:rsidRDefault="00BF35FF" w:rsidP="00BF35FF">
      <w:pPr>
        <w:pStyle w:val="Bibliography"/>
        <w:spacing w:line="276" w:lineRule="auto"/>
        <w:rPr>
          <w:sz w:val="20"/>
          <w:szCs w:val="20"/>
        </w:rPr>
      </w:pPr>
      <w:r w:rsidRPr="00FF603B">
        <w:rPr>
          <w:sz w:val="20"/>
          <w:szCs w:val="20"/>
        </w:rPr>
        <w:t>13.</w:t>
      </w:r>
      <w:r w:rsidRPr="00FF603B">
        <w:rPr>
          <w:sz w:val="20"/>
          <w:szCs w:val="20"/>
        </w:rPr>
        <w:tab/>
        <w:t xml:space="preserve">Dias, A. L., Bustillo, L. &amp; Rodrigues, T. Limitations of representation learning in small molecule property prediction. </w:t>
      </w:r>
      <w:r w:rsidRPr="00FF603B">
        <w:rPr>
          <w:i/>
          <w:iCs/>
          <w:sz w:val="20"/>
          <w:szCs w:val="20"/>
        </w:rPr>
        <w:t>Nat Commun</w:t>
      </w:r>
      <w:r w:rsidRPr="00FF603B">
        <w:rPr>
          <w:sz w:val="20"/>
          <w:szCs w:val="20"/>
        </w:rPr>
        <w:t xml:space="preserve"> </w:t>
      </w:r>
      <w:r w:rsidRPr="00FF603B">
        <w:rPr>
          <w:b/>
          <w:bCs/>
          <w:sz w:val="20"/>
          <w:szCs w:val="20"/>
        </w:rPr>
        <w:t>14</w:t>
      </w:r>
      <w:r w:rsidRPr="00FF603B">
        <w:rPr>
          <w:sz w:val="20"/>
          <w:szCs w:val="20"/>
        </w:rPr>
        <w:t>, 6394 (2023).</w:t>
      </w:r>
    </w:p>
    <w:p w14:paraId="69836DC5" w14:textId="77777777" w:rsidR="00BF35FF" w:rsidRPr="00FF603B" w:rsidRDefault="00BF35FF" w:rsidP="00BF35FF">
      <w:pPr>
        <w:pStyle w:val="Bibliography"/>
        <w:spacing w:line="276" w:lineRule="auto"/>
        <w:rPr>
          <w:sz w:val="20"/>
          <w:szCs w:val="20"/>
        </w:rPr>
      </w:pPr>
      <w:r w:rsidRPr="00FF603B">
        <w:rPr>
          <w:sz w:val="20"/>
          <w:szCs w:val="20"/>
        </w:rPr>
        <w:t>14.</w:t>
      </w:r>
      <w:r w:rsidRPr="00FF603B">
        <w:rPr>
          <w:sz w:val="20"/>
          <w:szCs w:val="20"/>
        </w:rPr>
        <w:tab/>
        <w:t xml:space="preserve">Tossou, P., Wognum, C., Craig, M., Mary, H. &amp; Noutahi, E. Real-World Molecular Out-Of-Distribution: Specification and Investigation. </w:t>
      </w:r>
      <w:r w:rsidRPr="00FF603B">
        <w:rPr>
          <w:i/>
          <w:iCs/>
          <w:sz w:val="20"/>
          <w:szCs w:val="20"/>
        </w:rPr>
        <w:t>J. Chem. Inf. Model.</w:t>
      </w:r>
      <w:r w:rsidRPr="00FF603B">
        <w:rPr>
          <w:sz w:val="20"/>
          <w:szCs w:val="20"/>
        </w:rPr>
        <w:t xml:space="preserve"> </w:t>
      </w:r>
      <w:r w:rsidRPr="00FF603B">
        <w:rPr>
          <w:b/>
          <w:bCs/>
          <w:sz w:val="20"/>
          <w:szCs w:val="20"/>
        </w:rPr>
        <w:t>64</w:t>
      </w:r>
      <w:r w:rsidRPr="00FF603B">
        <w:rPr>
          <w:sz w:val="20"/>
          <w:szCs w:val="20"/>
        </w:rPr>
        <w:t>, 697–711 (2024).</w:t>
      </w:r>
    </w:p>
    <w:p w14:paraId="7216FDDF" w14:textId="77777777" w:rsidR="00BF35FF" w:rsidRPr="00FF603B" w:rsidRDefault="00BF35FF" w:rsidP="00BF35FF">
      <w:pPr>
        <w:pStyle w:val="Bibliography"/>
        <w:spacing w:line="276" w:lineRule="auto"/>
        <w:rPr>
          <w:sz w:val="20"/>
          <w:szCs w:val="20"/>
        </w:rPr>
      </w:pPr>
      <w:r w:rsidRPr="00FF603B">
        <w:rPr>
          <w:sz w:val="20"/>
          <w:szCs w:val="20"/>
        </w:rPr>
        <w:t>15.</w:t>
      </w:r>
      <w:r w:rsidRPr="00FF603B">
        <w:rPr>
          <w:sz w:val="20"/>
          <w:szCs w:val="20"/>
        </w:rPr>
        <w:tab/>
        <w:t xml:space="preserve">Martinez-Mayorga, K. </w:t>
      </w:r>
      <w:r w:rsidRPr="00FF603B">
        <w:rPr>
          <w:i/>
          <w:iCs/>
          <w:sz w:val="20"/>
          <w:szCs w:val="20"/>
        </w:rPr>
        <w:t>et al.</w:t>
      </w:r>
      <w:r w:rsidRPr="00FF603B">
        <w:rPr>
          <w:sz w:val="20"/>
          <w:szCs w:val="20"/>
        </w:rPr>
        <w:t xml:space="preserve"> The pursuit of accurate predictive models of the bioactivity of small molecules. </w:t>
      </w:r>
      <w:r w:rsidRPr="00FF603B">
        <w:rPr>
          <w:i/>
          <w:iCs/>
          <w:sz w:val="20"/>
          <w:szCs w:val="20"/>
        </w:rPr>
        <w:t>Chem. Sci.</w:t>
      </w:r>
      <w:r w:rsidRPr="00FF603B">
        <w:rPr>
          <w:sz w:val="20"/>
          <w:szCs w:val="20"/>
        </w:rPr>
        <w:t xml:space="preserve"> </w:t>
      </w:r>
      <w:r w:rsidRPr="00FF603B">
        <w:rPr>
          <w:b/>
          <w:bCs/>
          <w:sz w:val="20"/>
          <w:szCs w:val="20"/>
        </w:rPr>
        <w:t>15</w:t>
      </w:r>
      <w:r w:rsidRPr="00FF603B">
        <w:rPr>
          <w:sz w:val="20"/>
          <w:szCs w:val="20"/>
        </w:rPr>
        <w:t>, 1938–1952 (2024).</w:t>
      </w:r>
    </w:p>
    <w:p w14:paraId="77165602" w14:textId="77777777" w:rsidR="00BF35FF" w:rsidRPr="00FF603B" w:rsidRDefault="00BF35FF" w:rsidP="00BF35FF">
      <w:pPr>
        <w:pStyle w:val="Bibliography"/>
        <w:spacing w:line="276" w:lineRule="auto"/>
        <w:rPr>
          <w:sz w:val="20"/>
          <w:szCs w:val="20"/>
        </w:rPr>
      </w:pPr>
      <w:r w:rsidRPr="00FF603B">
        <w:rPr>
          <w:sz w:val="20"/>
          <w:szCs w:val="20"/>
        </w:rPr>
        <w:t>16.</w:t>
      </w:r>
      <w:r w:rsidRPr="00FF603B">
        <w:rPr>
          <w:sz w:val="20"/>
          <w:szCs w:val="20"/>
        </w:rPr>
        <w:tab/>
        <w:t xml:space="preserve">Grygorenko, O. O. </w:t>
      </w:r>
      <w:r w:rsidRPr="00FF603B">
        <w:rPr>
          <w:i/>
          <w:iCs/>
          <w:sz w:val="20"/>
          <w:szCs w:val="20"/>
        </w:rPr>
        <w:t>et al.</w:t>
      </w:r>
      <w:r w:rsidRPr="00FF603B">
        <w:rPr>
          <w:sz w:val="20"/>
          <w:szCs w:val="20"/>
        </w:rPr>
        <w:t xml:space="preserve"> Generating Multibillion Chemical Space of Readily Accessible Screening Compounds. </w:t>
      </w:r>
      <w:r w:rsidRPr="00FF603B">
        <w:rPr>
          <w:i/>
          <w:iCs/>
          <w:sz w:val="20"/>
          <w:szCs w:val="20"/>
        </w:rPr>
        <w:t>iScience</w:t>
      </w:r>
      <w:r w:rsidRPr="00FF603B">
        <w:rPr>
          <w:sz w:val="20"/>
          <w:szCs w:val="20"/>
        </w:rPr>
        <w:t xml:space="preserve"> </w:t>
      </w:r>
      <w:r w:rsidRPr="00FF603B">
        <w:rPr>
          <w:b/>
          <w:bCs/>
          <w:sz w:val="20"/>
          <w:szCs w:val="20"/>
        </w:rPr>
        <w:t>23</w:t>
      </w:r>
      <w:r w:rsidRPr="00FF603B">
        <w:rPr>
          <w:sz w:val="20"/>
          <w:szCs w:val="20"/>
        </w:rPr>
        <w:t>, 101681 (2020).</w:t>
      </w:r>
    </w:p>
    <w:p w14:paraId="2EEE90A0" w14:textId="77777777" w:rsidR="00BF35FF" w:rsidRPr="00FF603B" w:rsidRDefault="00BF35FF" w:rsidP="00BF35FF">
      <w:pPr>
        <w:pStyle w:val="Bibliography"/>
        <w:spacing w:line="276" w:lineRule="auto"/>
        <w:rPr>
          <w:sz w:val="20"/>
          <w:szCs w:val="20"/>
        </w:rPr>
      </w:pPr>
      <w:r w:rsidRPr="00FF603B">
        <w:rPr>
          <w:sz w:val="20"/>
          <w:szCs w:val="20"/>
        </w:rPr>
        <w:lastRenderedPageBreak/>
        <w:t>17.</w:t>
      </w:r>
      <w:r w:rsidRPr="00FF603B">
        <w:rPr>
          <w:sz w:val="20"/>
          <w:szCs w:val="20"/>
        </w:rPr>
        <w:tab/>
        <w:t xml:space="preserve">Nigam, A. </w:t>
      </w:r>
      <w:r w:rsidRPr="00FF603B">
        <w:rPr>
          <w:i/>
          <w:iCs/>
          <w:sz w:val="20"/>
          <w:szCs w:val="20"/>
        </w:rPr>
        <w:t>et al.</w:t>
      </w:r>
      <w:r w:rsidRPr="00FF603B">
        <w:rPr>
          <w:sz w:val="20"/>
          <w:szCs w:val="20"/>
        </w:rPr>
        <w:t xml:space="preserve"> Assigning confidence to molecular property prediction. </w:t>
      </w:r>
      <w:r w:rsidRPr="00FF603B">
        <w:rPr>
          <w:i/>
          <w:iCs/>
          <w:sz w:val="20"/>
          <w:szCs w:val="20"/>
        </w:rPr>
        <w:t>Expert Opinion on Drug Discovery</w:t>
      </w:r>
      <w:r w:rsidRPr="00FF603B">
        <w:rPr>
          <w:sz w:val="20"/>
          <w:szCs w:val="20"/>
        </w:rPr>
        <w:t xml:space="preserve"> </w:t>
      </w:r>
      <w:r w:rsidRPr="00FF603B">
        <w:rPr>
          <w:b/>
          <w:bCs/>
          <w:sz w:val="20"/>
          <w:szCs w:val="20"/>
        </w:rPr>
        <w:t>16</w:t>
      </w:r>
      <w:r w:rsidRPr="00FF603B">
        <w:rPr>
          <w:sz w:val="20"/>
          <w:szCs w:val="20"/>
        </w:rPr>
        <w:t>, 1009–1023 (2021).</w:t>
      </w:r>
    </w:p>
    <w:p w14:paraId="112F1462" w14:textId="77777777" w:rsidR="00BF35FF" w:rsidRPr="00FF603B" w:rsidRDefault="00BF35FF" w:rsidP="00BF35FF">
      <w:pPr>
        <w:pStyle w:val="Bibliography"/>
        <w:spacing w:line="276" w:lineRule="auto"/>
        <w:rPr>
          <w:sz w:val="20"/>
          <w:szCs w:val="20"/>
        </w:rPr>
      </w:pPr>
      <w:r w:rsidRPr="00FF603B">
        <w:rPr>
          <w:sz w:val="20"/>
          <w:szCs w:val="20"/>
        </w:rPr>
        <w:t>18.</w:t>
      </w:r>
      <w:r w:rsidRPr="00FF603B">
        <w:rPr>
          <w:sz w:val="20"/>
          <w:szCs w:val="20"/>
        </w:rPr>
        <w:tab/>
        <w:t xml:space="preserve">Nada, H., Meanwell, N. A. &amp; Gabr, M. T. Virtual screening: hope, hype, and the fine line in between. </w:t>
      </w:r>
      <w:r w:rsidRPr="00FF603B">
        <w:rPr>
          <w:i/>
          <w:iCs/>
          <w:sz w:val="20"/>
          <w:szCs w:val="20"/>
        </w:rPr>
        <w:t>Expert Opinion on Drug Discovery</w:t>
      </w:r>
      <w:r w:rsidRPr="00FF603B">
        <w:rPr>
          <w:sz w:val="20"/>
          <w:szCs w:val="20"/>
        </w:rPr>
        <w:t xml:space="preserve"> 1–18 (2025) doi:10.1080/17460441.2025.2458666.</w:t>
      </w:r>
    </w:p>
    <w:p w14:paraId="562DA74D" w14:textId="77777777" w:rsidR="00BF35FF" w:rsidRPr="00FF603B" w:rsidRDefault="00BF35FF" w:rsidP="00BF35FF">
      <w:pPr>
        <w:pStyle w:val="Bibliography"/>
        <w:spacing w:line="276" w:lineRule="auto"/>
        <w:rPr>
          <w:sz w:val="20"/>
          <w:szCs w:val="20"/>
        </w:rPr>
      </w:pPr>
      <w:r w:rsidRPr="00FF603B">
        <w:rPr>
          <w:sz w:val="20"/>
          <w:szCs w:val="20"/>
        </w:rPr>
        <w:t>19.</w:t>
      </w:r>
      <w:r w:rsidRPr="00FF603B">
        <w:rPr>
          <w:sz w:val="20"/>
          <w:szCs w:val="20"/>
        </w:rPr>
        <w:tab/>
        <w:t xml:space="preserve">Hanser, T., Barber, C., Marchaland, J. F. &amp; Werner, S. Applicability domain: towards a more formal definition. </w:t>
      </w:r>
      <w:r w:rsidRPr="00FF603B">
        <w:rPr>
          <w:i/>
          <w:iCs/>
          <w:sz w:val="20"/>
          <w:szCs w:val="20"/>
        </w:rPr>
        <w:t>SAR and QSAR in Environmental Research</w:t>
      </w:r>
      <w:r w:rsidRPr="00FF603B">
        <w:rPr>
          <w:sz w:val="20"/>
          <w:szCs w:val="20"/>
        </w:rPr>
        <w:t xml:space="preserve"> </w:t>
      </w:r>
      <w:r w:rsidRPr="00FF603B">
        <w:rPr>
          <w:b/>
          <w:bCs/>
          <w:sz w:val="20"/>
          <w:szCs w:val="20"/>
        </w:rPr>
        <w:t>27</w:t>
      </w:r>
      <w:r w:rsidRPr="00FF603B">
        <w:rPr>
          <w:sz w:val="20"/>
          <w:szCs w:val="20"/>
        </w:rPr>
        <w:t>, 865–881 (2016).</w:t>
      </w:r>
    </w:p>
    <w:p w14:paraId="30781B8D" w14:textId="77777777" w:rsidR="00BF35FF" w:rsidRPr="00FF603B" w:rsidRDefault="00BF35FF" w:rsidP="00BF35FF">
      <w:pPr>
        <w:pStyle w:val="Bibliography"/>
        <w:spacing w:line="276" w:lineRule="auto"/>
        <w:rPr>
          <w:sz w:val="20"/>
          <w:szCs w:val="20"/>
        </w:rPr>
      </w:pPr>
      <w:r w:rsidRPr="00FF603B">
        <w:rPr>
          <w:sz w:val="20"/>
          <w:szCs w:val="20"/>
        </w:rPr>
        <w:t>20.</w:t>
      </w:r>
      <w:r w:rsidRPr="00FF603B">
        <w:rPr>
          <w:sz w:val="20"/>
          <w:szCs w:val="20"/>
        </w:rPr>
        <w:tab/>
        <w:t xml:space="preserve">Mathea, M., Klingspohn, W. &amp; Baumann, K. Chemoinformatic Classification Methods and their Applicability Domain. </w:t>
      </w:r>
      <w:r w:rsidRPr="00FF603B">
        <w:rPr>
          <w:i/>
          <w:iCs/>
          <w:sz w:val="20"/>
          <w:szCs w:val="20"/>
        </w:rPr>
        <w:t>Molecular Informatics</w:t>
      </w:r>
      <w:r w:rsidRPr="00FF603B">
        <w:rPr>
          <w:sz w:val="20"/>
          <w:szCs w:val="20"/>
        </w:rPr>
        <w:t xml:space="preserve"> </w:t>
      </w:r>
      <w:r w:rsidRPr="00FF603B">
        <w:rPr>
          <w:b/>
          <w:bCs/>
          <w:sz w:val="20"/>
          <w:szCs w:val="20"/>
        </w:rPr>
        <w:t>35</w:t>
      </w:r>
      <w:r w:rsidRPr="00FF603B">
        <w:rPr>
          <w:sz w:val="20"/>
          <w:szCs w:val="20"/>
        </w:rPr>
        <w:t>, 160–180 (2016).</w:t>
      </w:r>
    </w:p>
    <w:p w14:paraId="0AC5BD41" w14:textId="77777777" w:rsidR="00BF35FF" w:rsidRPr="00FF603B" w:rsidRDefault="00BF35FF" w:rsidP="00BF35FF">
      <w:pPr>
        <w:pStyle w:val="Bibliography"/>
        <w:spacing w:line="276" w:lineRule="auto"/>
        <w:rPr>
          <w:sz w:val="20"/>
          <w:szCs w:val="20"/>
        </w:rPr>
      </w:pPr>
      <w:r w:rsidRPr="00FF603B">
        <w:rPr>
          <w:sz w:val="20"/>
          <w:szCs w:val="20"/>
        </w:rPr>
        <w:t>21.</w:t>
      </w:r>
      <w:r w:rsidRPr="00FF603B">
        <w:rPr>
          <w:sz w:val="20"/>
          <w:szCs w:val="20"/>
        </w:rPr>
        <w:tab/>
        <w:t xml:space="preserve">Wang, Z. &amp; Chen, J. Applicability Domain Characterization for Machine Learning QSAR Models. in </w:t>
      </w:r>
      <w:r w:rsidRPr="00FF603B">
        <w:rPr>
          <w:i/>
          <w:iCs/>
          <w:sz w:val="20"/>
          <w:szCs w:val="20"/>
        </w:rPr>
        <w:t>Machine Learning and Deep Learning in Computational Toxicology</w:t>
      </w:r>
      <w:r w:rsidRPr="00FF603B">
        <w:rPr>
          <w:sz w:val="20"/>
          <w:szCs w:val="20"/>
        </w:rPr>
        <w:t xml:space="preserve"> (ed. Hong, H.) 323–353 (Springer International Publishing, Cham, 2023). doi:10.1007/978-3-031-20730-3_13.</w:t>
      </w:r>
    </w:p>
    <w:p w14:paraId="5EFA0F99" w14:textId="77777777" w:rsidR="00BF35FF" w:rsidRPr="00FF603B" w:rsidRDefault="00BF35FF" w:rsidP="00BF35FF">
      <w:pPr>
        <w:pStyle w:val="Bibliography"/>
        <w:spacing w:line="276" w:lineRule="auto"/>
        <w:rPr>
          <w:sz w:val="20"/>
          <w:szCs w:val="20"/>
        </w:rPr>
      </w:pPr>
      <w:r w:rsidRPr="00FF603B">
        <w:rPr>
          <w:sz w:val="20"/>
          <w:szCs w:val="20"/>
        </w:rPr>
        <w:t>22.</w:t>
      </w:r>
      <w:r w:rsidRPr="00FF603B">
        <w:rPr>
          <w:sz w:val="20"/>
          <w:szCs w:val="20"/>
        </w:rPr>
        <w:tab/>
        <w:t xml:space="preserve">Wang, D. </w:t>
      </w:r>
      <w:r w:rsidRPr="00FF603B">
        <w:rPr>
          <w:i/>
          <w:iCs/>
          <w:sz w:val="20"/>
          <w:szCs w:val="20"/>
        </w:rPr>
        <w:t>et al.</w:t>
      </w:r>
      <w:r w:rsidRPr="00FF603B">
        <w:rPr>
          <w:sz w:val="20"/>
          <w:szCs w:val="20"/>
        </w:rPr>
        <w:t xml:space="preserve"> Learning with uncertainty to accelerate the discovery of histone lysine-specific demethylase 1A (KDM1A/LSD1) inhibitors. </w:t>
      </w:r>
      <w:r w:rsidRPr="00FF603B">
        <w:rPr>
          <w:i/>
          <w:iCs/>
          <w:sz w:val="20"/>
          <w:szCs w:val="20"/>
        </w:rPr>
        <w:t>Briefings in Bioinformatics</w:t>
      </w:r>
      <w:r w:rsidRPr="00FF603B">
        <w:rPr>
          <w:sz w:val="20"/>
          <w:szCs w:val="20"/>
        </w:rPr>
        <w:t xml:space="preserve"> </w:t>
      </w:r>
      <w:r w:rsidRPr="00FF603B">
        <w:rPr>
          <w:b/>
          <w:bCs/>
          <w:sz w:val="20"/>
          <w:szCs w:val="20"/>
        </w:rPr>
        <w:t>24</w:t>
      </w:r>
      <w:r w:rsidRPr="00FF603B">
        <w:rPr>
          <w:sz w:val="20"/>
          <w:szCs w:val="20"/>
        </w:rPr>
        <w:t>, bbac592 (2023).</w:t>
      </w:r>
    </w:p>
    <w:p w14:paraId="3A354822" w14:textId="77777777" w:rsidR="00BF35FF" w:rsidRPr="00FF603B" w:rsidRDefault="00BF35FF" w:rsidP="00BF35FF">
      <w:pPr>
        <w:pStyle w:val="Bibliography"/>
        <w:spacing w:line="276" w:lineRule="auto"/>
        <w:rPr>
          <w:sz w:val="20"/>
          <w:szCs w:val="20"/>
        </w:rPr>
      </w:pPr>
      <w:r w:rsidRPr="00FF603B">
        <w:rPr>
          <w:sz w:val="20"/>
          <w:szCs w:val="20"/>
        </w:rPr>
        <w:t>23.</w:t>
      </w:r>
      <w:r w:rsidRPr="00FF603B">
        <w:rPr>
          <w:sz w:val="20"/>
          <w:szCs w:val="20"/>
        </w:rPr>
        <w:tab/>
        <w:t xml:space="preserve">Soleimany, A. P. </w:t>
      </w:r>
      <w:r w:rsidRPr="00FF603B">
        <w:rPr>
          <w:i/>
          <w:iCs/>
          <w:sz w:val="20"/>
          <w:szCs w:val="20"/>
        </w:rPr>
        <w:t>et al.</w:t>
      </w:r>
      <w:r w:rsidRPr="00FF603B">
        <w:rPr>
          <w:sz w:val="20"/>
          <w:szCs w:val="20"/>
        </w:rPr>
        <w:t xml:space="preserve"> Evidential Deep Learning for Guided Molecular Property Prediction and Discovery. </w:t>
      </w:r>
      <w:r w:rsidRPr="00FF603B">
        <w:rPr>
          <w:i/>
          <w:iCs/>
          <w:sz w:val="20"/>
          <w:szCs w:val="20"/>
        </w:rPr>
        <w:t>ACS Cent. Sci.</w:t>
      </w:r>
      <w:r w:rsidRPr="00FF603B">
        <w:rPr>
          <w:sz w:val="20"/>
          <w:szCs w:val="20"/>
        </w:rPr>
        <w:t xml:space="preserve"> </w:t>
      </w:r>
      <w:r w:rsidRPr="00FF603B">
        <w:rPr>
          <w:b/>
          <w:bCs/>
          <w:sz w:val="20"/>
          <w:szCs w:val="20"/>
        </w:rPr>
        <w:t>7</w:t>
      </w:r>
      <w:r w:rsidRPr="00FF603B">
        <w:rPr>
          <w:sz w:val="20"/>
          <w:szCs w:val="20"/>
        </w:rPr>
        <w:t>, 1356–1367 (2021).</w:t>
      </w:r>
    </w:p>
    <w:p w14:paraId="291D1B3E" w14:textId="77777777" w:rsidR="00BF35FF" w:rsidRPr="00FF603B" w:rsidRDefault="00BF35FF" w:rsidP="00BF35FF">
      <w:pPr>
        <w:pStyle w:val="Bibliography"/>
        <w:spacing w:line="276" w:lineRule="auto"/>
        <w:rPr>
          <w:sz w:val="20"/>
          <w:szCs w:val="20"/>
        </w:rPr>
      </w:pPr>
      <w:r w:rsidRPr="00FF603B">
        <w:rPr>
          <w:sz w:val="20"/>
          <w:szCs w:val="20"/>
        </w:rPr>
        <w:t>24.</w:t>
      </w:r>
      <w:r w:rsidRPr="00FF603B">
        <w:rPr>
          <w:sz w:val="20"/>
          <w:szCs w:val="20"/>
        </w:rPr>
        <w:tab/>
        <w:t xml:space="preserve">Ovadia, Y. </w:t>
      </w:r>
      <w:r w:rsidRPr="00FF603B">
        <w:rPr>
          <w:i/>
          <w:iCs/>
          <w:sz w:val="20"/>
          <w:szCs w:val="20"/>
        </w:rPr>
        <w:t>et al.</w:t>
      </w:r>
      <w:r w:rsidRPr="00FF603B">
        <w:rPr>
          <w:sz w:val="20"/>
          <w:szCs w:val="20"/>
        </w:rPr>
        <w:t xml:space="preserve"> Can you trust your model’ s uncertainty? Evaluating predictive uncertainty under dataset shift. in </w:t>
      </w:r>
      <w:r w:rsidRPr="00FF603B">
        <w:rPr>
          <w:i/>
          <w:iCs/>
          <w:sz w:val="20"/>
          <w:szCs w:val="20"/>
        </w:rPr>
        <w:t>Advances in Neural Information Processing Systems</w:t>
      </w:r>
      <w:r w:rsidRPr="00FF603B">
        <w:rPr>
          <w:sz w:val="20"/>
          <w:szCs w:val="20"/>
        </w:rPr>
        <w:t xml:space="preserve"> vol. 32 (Curran Associates, Inc., 2019).</w:t>
      </w:r>
    </w:p>
    <w:p w14:paraId="5CAAD9A9" w14:textId="77777777" w:rsidR="00BF35FF" w:rsidRPr="00FF603B" w:rsidRDefault="00BF35FF" w:rsidP="00BF35FF">
      <w:pPr>
        <w:pStyle w:val="Bibliography"/>
        <w:spacing w:line="276" w:lineRule="auto"/>
        <w:rPr>
          <w:sz w:val="20"/>
          <w:szCs w:val="20"/>
        </w:rPr>
      </w:pPr>
      <w:r w:rsidRPr="00FF603B">
        <w:rPr>
          <w:sz w:val="20"/>
          <w:szCs w:val="20"/>
        </w:rPr>
        <w:t>25.</w:t>
      </w:r>
      <w:r w:rsidRPr="00FF603B">
        <w:rPr>
          <w:sz w:val="20"/>
          <w:szCs w:val="20"/>
        </w:rPr>
        <w:tab/>
        <w:t xml:space="preserve">Scalia, G., Grambow, C. A., Pernici, B., Li, Y.-P. &amp; Green, W. H. Evaluating Scalable Uncertainty Estimation Methods for Deep Learning-Based Molecular Property Prediction. </w:t>
      </w:r>
      <w:r w:rsidRPr="00FF603B">
        <w:rPr>
          <w:i/>
          <w:iCs/>
          <w:sz w:val="20"/>
          <w:szCs w:val="20"/>
        </w:rPr>
        <w:t>J. Chem. Inf. Model.</w:t>
      </w:r>
      <w:r w:rsidRPr="00FF603B">
        <w:rPr>
          <w:sz w:val="20"/>
          <w:szCs w:val="20"/>
        </w:rPr>
        <w:t xml:space="preserve"> </w:t>
      </w:r>
      <w:r w:rsidRPr="00FF603B">
        <w:rPr>
          <w:b/>
          <w:bCs/>
          <w:sz w:val="20"/>
          <w:szCs w:val="20"/>
        </w:rPr>
        <w:t>60</w:t>
      </w:r>
      <w:r w:rsidRPr="00FF603B">
        <w:rPr>
          <w:sz w:val="20"/>
          <w:szCs w:val="20"/>
        </w:rPr>
        <w:t>, 2697–2717 (2020).</w:t>
      </w:r>
    </w:p>
    <w:p w14:paraId="216D14D1" w14:textId="77777777" w:rsidR="00BF35FF" w:rsidRPr="00FF603B" w:rsidRDefault="00BF35FF" w:rsidP="00BF35FF">
      <w:pPr>
        <w:pStyle w:val="Bibliography"/>
        <w:spacing w:line="276" w:lineRule="auto"/>
        <w:rPr>
          <w:sz w:val="20"/>
          <w:szCs w:val="20"/>
        </w:rPr>
      </w:pPr>
      <w:r w:rsidRPr="00FF603B">
        <w:rPr>
          <w:sz w:val="20"/>
          <w:szCs w:val="20"/>
        </w:rPr>
        <w:t>26.</w:t>
      </w:r>
      <w:r w:rsidRPr="00FF603B">
        <w:rPr>
          <w:sz w:val="20"/>
          <w:szCs w:val="20"/>
        </w:rPr>
        <w:tab/>
        <w:t xml:space="preserve">Grisoni, F. </w:t>
      </w:r>
      <w:r w:rsidRPr="00FF603B">
        <w:rPr>
          <w:i/>
          <w:iCs/>
          <w:sz w:val="20"/>
          <w:szCs w:val="20"/>
        </w:rPr>
        <w:t>et al.</w:t>
      </w:r>
      <w:r w:rsidRPr="00FF603B">
        <w:rPr>
          <w:sz w:val="20"/>
          <w:szCs w:val="20"/>
        </w:rPr>
        <w:t xml:space="preserve"> Combining generative artificial intelligence and on-chip synthesis for de novo drug design. </w:t>
      </w:r>
      <w:r w:rsidRPr="00FF603B">
        <w:rPr>
          <w:i/>
          <w:iCs/>
          <w:sz w:val="20"/>
          <w:szCs w:val="20"/>
        </w:rPr>
        <w:t>Sci. Adv.</w:t>
      </w:r>
      <w:r w:rsidRPr="00FF603B">
        <w:rPr>
          <w:sz w:val="20"/>
          <w:szCs w:val="20"/>
        </w:rPr>
        <w:t xml:space="preserve"> </w:t>
      </w:r>
      <w:r w:rsidRPr="00FF603B">
        <w:rPr>
          <w:b/>
          <w:bCs/>
          <w:sz w:val="20"/>
          <w:szCs w:val="20"/>
        </w:rPr>
        <w:t>7</w:t>
      </w:r>
      <w:r w:rsidRPr="00FF603B">
        <w:rPr>
          <w:sz w:val="20"/>
          <w:szCs w:val="20"/>
        </w:rPr>
        <w:t>, eabg3338 (2021).</w:t>
      </w:r>
    </w:p>
    <w:p w14:paraId="70C46965" w14:textId="77777777" w:rsidR="00BF35FF" w:rsidRPr="00FF603B" w:rsidRDefault="00BF35FF" w:rsidP="00BF35FF">
      <w:pPr>
        <w:pStyle w:val="Bibliography"/>
        <w:spacing w:line="276" w:lineRule="auto"/>
        <w:rPr>
          <w:sz w:val="20"/>
          <w:szCs w:val="20"/>
        </w:rPr>
      </w:pPr>
      <w:r w:rsidRPr="00FF603B">
        <w:rPr>
          <w:sz w:val="20"/>
          <w:szCs w:val="20"/>
        </w:rPr>
        <w:t>27.</w:t>
      </w:r>
      <w:r w:rsidRPr="00FF603B">
        <w:rPr>
          <w:sz w:val="20"/>
          <w:szCs w:val="20"/>
        </w:rPr>
        <w:tab/>
        <w:t xml:space="preserve">Gómez-Bombarelli, R. </w:t>
      </w:r>
      <w:r w:rsidRPr="00FF603B">
        <w:rPr>
          <w:i/>
          <w:iCs/>
          <w:sz w:val="20"/>
          <w:szCs w:val="20"/>
        </w:rPr>
        <w:t>et al.</w:t>
      </w:r>
      <w:r w:rsidRPr="00FF603B">
        <w:rPr>
          <w:sz w:val="20"/>
          <w:szCs w:val="20"/>
        </w:rPr>
        <w:t xml:space="preserve"> Automatic Chemical Design Using a Data-Driven Continuous Representation of Molecules. </w:t>
      </w:r>
      <w:r w:rsidRPr="00FF603B">
        <w:rPr>
          <w:i/>
          <w:iCs/>
          <w:sz w:val="20"/>
          <w:szCs w:val="20"/>
        </w:rPr>
        <w:t>ACS Cent. Sci.</w:t>
      </w:r>
      <w:r w:rsidRPr="00FF603B">
        <w:rPr>
          <w:sz w:val="20"/>
          <w:szCs w:val="20"/>
        </w:rPr>
        <w:t xml:space="preserve"> </w:t>
      </w:r>
      <w:r w:rsidRPr="00FF603B">
        <w:rPr>
          <w:b/>
          <w:bCs/>
          <w:sz w:val="20"/>
          <w:szCs w:val="20"/>
        </w:rPr>
        <w:t>4</w:t>
      </w:r>
      <w:r w:rsidRPr="00FF603B">
        <w:rPr>
          <w:sz w:val="20"/>
          <w:szCs w:val="20"/>
        </w:rPr>
        <w:t>, 268–276 (2018).</w:t>
      </w:r>
    </w:p>
    <w:p w14:paraId="3A0C2EDE" w14:textId="77777777" w:rsidR="00BF35FF" w:rsidRPr="00FF603B" w:rsidRDefault="00BF35FF" w:rsidP="00BF35FF">
      <w:pPr>
        <w:pStyle w:val="Bibliography"/>
        <w:spacing w:line="276" w:lineRule="auto"/>
        <w:rPr>
          <w:sz w:val="20"/>
          <w:szCs w:val="20"/>
        </w:rPr>
      </w:pPr>
      <w:r w:rsidRPr="00FF603B">
        <w:rPr>
          <w:sz w:val="20"/>
          <w:szCs w:val="20"/>
        </w:rPr>
        <w:t>28.</w:t>
      </w:r>
      <w:r w:rsidRPr="00FF603B">
        <w:rPr>
          <w:sz w:val="20"/>
          <w:szCs w:val="20"/>
        </w:rPr>
        <w:tab/>
        <w:t xml:space="preserve">Merk, D., Friedrich, L., Grisoni, F. &amp; Schneider, G. De Novo Design of Bioactive Small Molecules by Artificial Intelligence. </w:t>
      </w:r>
      <w:r w:rsidRPr="00FF603B">
        <w:rPr>
          <w:i/>
          <w:iCs/>
          <w:sz w:val="20"/>
          <w:szCs w:val="20"/>
        </w:rPr>
        <w:t>Molecular Informatics</w:t>
      </w:r>
      <w:r w:rsidRPr="00FF603B">
        <w:rPr>
          <w:sz w:val="20"/>
          <w:szCs w:val="20"/>
        </w:rPr>
        <w:t xml:space="preserve"> </w:t>
      </w:r>
      <w:r w:rsidRPr="00FF603B">
        <w:rPr>
          <w:b/>
          <w:bCs/>
          <w:sz w:val="20"/>
          <w:szCs w:val="20"/>
        </w:rPr>
        <w:t>37</w:t>
      </w:r>
      <w:r w:rsidRPr="00FF603B">
        <w:rPr>
          <w:sz w:val="20"/>
          <w:szCs w:val="20"/>
        </w:rPr>
        <w:t>, 1700153 (2018).</w:t>
      </w:r>
    </w:p>
    <w:p w14:paraId="006ED923" w14:textId="77777777" w:rsidR="00BF35FF" w:rsidRPr="00FF603B" w:rsidRDefault="00BF35FF" w:rsidP="00BF35FF">
      <w:pPr>
        <w:pStyle w:val="Bibliography"/>
        <w:spacing w:line="276" w:lineRule="auto"/>
        <w:rPr>
          <w:sz w:val="20"/>
          <w:szCs w:val="20"/>
        </w:rPr>
      </w:pPr>
      <w:r w:rsidRPr="00FF603B">
        <w:rPr>
          <w:sz w:val="20"/>
          <w:szCs w:val="20"/>
        </w:rPr>
        <w:t>29.</w:t>
      </w:r>
      <w:r w:rsidRPr="00FF603B">
        <w:rPr>
          <w:sz w:val="20"/>
          <w:szCs w:val="20"/>
        </w:rPr>
        <w:tab/>
        <w:t xml:space="preserve">Merk, D., Grisoni, F., Friedrich, L. &amp; Schneider, G. Tuning artificial intelligence on the de novo design of natural-product-inspired retinoid X receptor modulators. </w:t>
      </w:r>
      <w:r w:rsidRPr="00FF603B">
        <w:rPr>
          <w:i/>
          <w:iCs/>
          <w:sz w:val="20"/>
          <w:szCs w:val="20"/>
        </w:rPr>
        <w:t>Commun Chem</w:t>
      </w:r>
      <w:r w:rsidRPr="00FF603B">
        <w:rPr>
          <w:sz w:val="20"/>
          <w:szCs w:val="20"/>
        </w:rPr>
        <w:t xml:space="preserve"> </w:t>
      </w:r>
      <w:r w:rsidRPr="00FF603B">
        <w:rPr>
          <w:b/>
          <w:bCs/>
          <w:sz w:val="20"/>
          <w:szCs w:val="20"/>
        </w:rPr>
        <w:t>1</w:t>
      </w:r>
      <w:r w:rsidRPr="00FF603B">
        <w:rPr>
          <w:sz w:val="20"/>
          <w:szCs w:val="20"/>
        </w:rPr>
        <w:t>, 1–9 (2018).</w:t>
      </w:r>
    </w:p>
    <w:p w14:paraId="378CC911" w14:textId="77777777" w:rsidR="00BF35FF" w:rsidRPr="00FF603B" w:rsidRDefault="00BF35FF" w:rsidP="00BF35FF">
      <w:pPr>
        <w:pStyle w:val="Bibliography"/>
        <w:spacing w:line="276" w:lineRule="auto"/>
        <w:rPr>
          <w:sz w:val="20"/>
          <w:szCs w:val="20"/>
        </w:rPr>
      </w:pPr>
      <w:r w:rsidRPr="00FF603B">
        <w:rPr>
          <w:sz w:val="20"/>
          <w:szCs w:val="20"/>
        </w:rPr>
        <w:t>30.</w:t>
      </w:r>
      <w:r w:rsidRPr="00FF603B">
        <w:rPr>
          <w:sz w:val="20"/>
          <w:szCs w:val="20"/>
        </w:rPr>
        <w:tab/>
        <w:t xml:space="preserve">Hinton, G. E. &amp; Salakhutdinov, R. R. Reducing the Dimensionality of Data with Neural Networks. </w:t>
      </w:r>
      <w:r w:rsidRPr="00FF603B">
        <w:rPr>
          <w:i/>
          <w:iCs/>
          <w:sz w:val="20"/>
          <w:szCs w:val="20"/>
        </w:rPr>
        <w:t>Science</w:t>
      </w:r>
      <w:r w:rsidRPr="00FF603B">
        <w:rPr>
          <w:sz w:val="20"/>
          <w:szCs w:val="20"/>
        </w:rPr>
        <w:t xml:space="preserve"> </w:t>
      </w:r>
      <w:r w:rsidRPr="00FF603B">
        <w:rPr>
          <w:b/>
          <w:bCs/>
          <w:sz w:val="20"/>
          <w:szCs w:val="20"/>
        </w:rPr>
        <w:t>313</w:t>
      </w:r>
      <w:r w:rsidRPr="00FF603B">
        <w:rPr>
          <w:sz w:val="20"/>
          <w:szCs w:val="20"/>
        </w:rPr>
        <w:t>, 504–507 (2006).</w:t>
      </w:r>
    </w:p>
    <w:p w14:paraId="2F0A513E" w14:textId="77777777" w:rsidR="00BF35FF" w:rsidRPr="00FF603B" w:rsidRDefault="00BF35FF" w:rsidP="00BF35FF">
      <w:pPr>
        <w:pStyle w:val="Bibliography"/>
        <w:spacing w:line="276" w:lineRule="auto"/>
        <w:rPr>
          <w:sz w:val="20"/>
          <w:szCs w:val="20"/>
        </w:rPr>
      </w:pPr>
      <w:r w:rsidRPr="00FF603B">
        <w:rPr>
          <w:sz w:val="20"/>
          <w:szCs w:val="20"/>
        </w:rPr>
        <w:t>31.</w:t>
      </w:r>
      <w:r w:rsidRPr="00FF603B">
        <w:rPr>
          <w:sz w:val="20"/>
          <w:szCs w:val="20"/>
        </w:rPr>
        <w:tab/>
        <w:t xml:space="preserve">Iovanac, N. C. &amp; Savoie, B. M. Simpler is Better: How Linear Prediction Tasks Improve Transfer Learning in Chemical Autoencoders. </w:t>
      </w:r>
      <w:r w:rsidRPr="00FF603B">
        <w:rPr>
          <w:i/>
          <w:iCs/>
          <w:sz w:val="20"/>
          <w:szCs w:val="20"/>
        </w:rPr>
        <w:t>J. Phys. Chem. A</w:t>
      </w:r>
      <w:r w:rsidRPr="00FF603B">
        <w:rPr>
          <w:sz w:val="20"/>
          <w:szCs w:val="20"/>
        </w:rPr>
        <w:t xml:space="preserve"> </w:t>
      </w:r>
      <w:r w:rsidRPr="00FF603B">
        <w:rPr>
          <w:b/>
          <w:bCs/>
          <w:sz w:val="20"/>
          <w:szCs w:val="20"/>
        </w:rPr>
        <w:t>124</w:t>
      </w:r>
      <w:r w:rsidRPr="00FF603B">
        <w:rPr>
          <w:sz w:val="20"/>
          <w:szCs w:val="20"/>
        </w:rPr>
        <w:t>, 3679–3685 (2020).</w:t>
      </w:r>
    </w:p>
    <w:p w14:paraId="39DB8214" w14:textId="77777777" w:rsidR="00BF35FF" w:rsidRPr="00FF603B" w:rsidRDefault="00BF35FF" w:rsidP="00BF35FF">
      <w:pPr>
        <w:pStyle w:val="Bibliography"/>
        <w:spacing w:line="276" w:lineRule="auto"/>
        <w:rPr>
          <w:sz w:val="20"/>
          <w:szCs w:val="20"/>
        </w:rPr>
      </w:pPr>
      <w:r w:rsidRPr="00FF603B">
        <w:rPr>
          <w:sz w:val="20"/>
          <w:szCs w:val="20"/>
        </w:rPr>
        <w:lastRenderedPageBreak/>
        <w:t>32.</w:t>
      </w:r>
      <w:r w:rsidRPr="00FF603B">
        <w:rPr>
          <w:sz w:val="20"/>
          <w:szCs w:val="20"/>
        </w:rPr>
        <w:tab/>
        <w:t>Kingma, D. P., Rezende, D. J., Mohamed, S. &amp; Welling, M. Semi-Supervised Learning with Deep Generative Models. Preprint at https://doi.org/10.48550/ARXIV.1406.5298 (2014).</w:t>
      </w:r>
    </w:p>
    <w:p w14:paraId="351A08D7" w14:textId="77777777" w:rsidR="00BF35FF" w:rsidRPr="00FF603B" w:rsidRDefault="00BF35FF" w:rsidP="00BF35FF">
      <w:pPr>
        <w:pStyle w:val="Bibliography"/>
        <w:spacing w:line="276" w:lineRule="auto"/>
        <w:rPr>
          <w:sz w:val="20"/>
          <w:szCs w:val="20"/>
        </w:rPr>
      </w:pPr>
      <w:r w:rsidRPr="00FF603B">
        <w:rPr>
          <w:sz w:val="20"/>
          <w:szCs w:val="20"/>
        </w:rPr>
        <w:t>33.</w:t>
      </w:r>
      <w:r w:rsidRPr="00FF603B">
        <w:rPr>
          <w:sz w:val="20"/>
          <w:szCs w:val="20"/>
        </w:rPr>
        <w:tab/>
        <w:t xml:space="preserve">Doersch, C. &amp; Zisserman, A. Multi-task Self-Supervised Visual Learning. in </w:t>
      </w:r>
      <w:r w:rsidRPr="00FF603B">
        <w:rPr>
          <w:i/>
          <w:iCs/>
          <w:sz w:val="20"/>
          <w:szCs w:val="20"/>
        </w:rPr>
        <w:t>2017 IEEE International Conference on Computer Vision (ICCV)</w:t>
      </w:r>
      <w:r w:rsidRPr="00FF603B">
        <w:rPr>
          <w:sz w:val="20"/>
          <w:szCs w:val="20"/>
        </w:rPr>
        <w:t xml:space="preserve"> 2070–2079 (IEEE, Venice, 2017). doi:10.1109/ICCV.2017.226.</w:t>
      </w:r>
    </w:p>
    <w:p w14:paraId="42D1F633" w14:textId="77777777" w:rsidR="00BF35FF" w:rsidRPr="00FF603B" w:rsidRDefault="00BF35FF" w:rsidP="00BF35FF">
      <w:pPr>
        <w:pStyle w:val="Bibliography"/>
        <w:spacing w:line="276" w:lineRule="auto"/>
        <w:rPr>
          <w:sz w:val="20"/>
          <w:szCs w:val="20"/>
        </w:rPr>
      </w:pPr>
      <w:r w:rsidRPr="00FF603B">
        <w:rPr>
          <w:sz w:val="20"/>
          <w:szCs w:val="20"/>
        </w:rPr>
        <w:t>34.</w:t>
      </w:r>
      <w:r w:rsidRPr="00FF603B">
        <w:rPr>
          <w:sz w:val="20"/>
          <w:szCs w:val="20"/>
        </w:rPr>
        <w:tab/>
        <w:t xml:space="preserve">Assran, M. </w:t>
      </w:r>
      <w:r w:rsidRPr="00FF603B">
        <w:rPr>
          <w:i/>
          <w:iCs/>
          <w:sz w:val="20"/>
          <w:szCs w:val="20"/>
        </w:rPr>
        <w:t>et al.</w:t>
      </w:r>
      <w:r w:rsidRPr="00FF603B">
        <w:rPr>
          <w:sz w:val="20"/>
          <w:szCs w:val="20"/>
        </w:rPr>
        <w:t xml:space="preserve"> Self-Supervised Learning from Images with a Joint-Embedding Predictive Architecture. in </w:t>
      </w:r>
      <w:r w:rsidRPr="00FF603B">
        <w:rPr>
          <w:i/>
          <w:iCs/>
          <w:sz w:val="20"/>
          <w:szCs w:val="20"/>
        </w:rPr>
        <w:t>2023 IEEE/CVF Conference on Computer Vision and Pattern Recognition (CVPR)</w:t>
      </w:r>
      <w:r w:rsidRPr="00FF603B">
        <w:rPr>
          <w:sz w:val="20"/>
          <w:szCs w:val="20"/>
        </w:rPr>
        <w:t xml:space="preserve"> 15619–15629 (IEEE, Vancouver, BC, Canada, 2023). doi:10.1109/CVPR52729.2023.01499.</w:t>
      </w:r>
    </w:p>
    <w:p w14:paraId="0BDED10E" w14:textId="77777777" w:rsidR="00BF35FF" w:rsidRPr="00FF603B" w:rsidRDefault="00BF35FF" w:rsidP="00BF35FF">
      <w:pPr>
        <w:pStyle w:val="Bibliography"/>
        <w:spacing w:line="276" w:lineRule="auto"/>
        <w:rPr>
          <w:sz w:val="20"/>
          <w:szCs w:val="20"/>
        </w:rPr>
      </w:pPr>
      <w:r w:rsidRPr="00FF603B">
        <w:rPr>
          <w:sz w:val="20"/>
          <w:szCs w:val="20"/>
        </w:rPr>
        <w:t>35.</w:t>
      </w:r>
      <w:r w:rsidRPr="00FF603B">
        <w:rPr>
          <w:sz w:val="20"/>
          <w:szCs w:val="20"/>
        </w:rPr>
        <w:tab/>
        <w:t xml:space="preserve">Kim, D., Yoo, Y., Park, S., Kim, J. &amp; Lee, J. SelfReg: Self-supervised Contrastive Regularization for Domain Generalization. in </w:t>
      </w:r>
      <w:r w:rsidRPr="00FF603B">
        <w:rPr>
          <w:i/>
          <w:iCs/>
          <w:sz w:val="20"/>
          <w:szCs w:val="20"/>
        </w:rPr>
        <w:t>2021 IEEE/CVF International Conference on Computer Vision (ICCV)</w:t>
      </w:r>
      <w:r w:rsidRPr="00FF603B">
        <w:rPr>
          <w:sz w:val="20"/>
          <w:szCs w:val="20"/>
        </w:rPr>
        <w:t xml:space="preserve"> 9599–9608 (IEEE, Montreal, QC, Canada, 2021). doi:10.1109/ICCV48922.2021.00948.</w:t>
      </w:r>
    </w:p>
    <w:p w14:paraId="7E06C758" w14:textId="77777777" w:rsidR="00BF35FF" w:rsidRPr="00FF603B" w:rsidRDefault="00BF35FF" w:rsidP="00BF35FF">
      <w:pPr>
        <w:pStyle w:val="Bibliography"/>
        <w:spacing w:line="276" w:lineRule="auto"/>
        <w:rPr>
          <w:sz w:val="20"/>
          <w:szCs w:val="20"/>
        </w:rPr>
      </w:pPr>
      <w:r w:rsidRPr="00FF603B">
        <w:rPr>
          <w:sz w:val="20"/>
          <w:szCs w:val="20"/>
        </w:rPr>
        <w:t>36.</w:t>
      </w:r>
      <w:r w:rsidRPr="00FF603B">
        <w:rPr>
          <w:sz w:val="20"/>
          <w:szCs w:val="20"/>
        </w:rPr>
        <w:tab/>
        <w:t xml:space="preserve">Sun, Y. </w:t>
      </w:r>
      <w:r w:rsidRPr="00FF603B">
        <w:rPr>
          <w:i/>
          <w:iCs/>
          <w:sz w:val="20"/>
          <w:szCs w:val="20"/>
        </w:rPr>
        <w:t>et al.</w:t>
      </w:r>
      <w:r w:rsidRPr="00FF603B">
        <w:rPr>
          <w:sz w:val="20"/>
          <w:szCs w:val="20"/>
        </w:rPr>
        <w:t xml:space="preserve"> Test-Time Training with Self-Supervision for Generalization under Distribution Shifts. in </w:t>
      </w:r>
      <w:r w:rsidRPr="00FF603B">
        <w:rPr>
          <w:i/>
          <w:iCs/>
          <w:sz w:val="20"/>
          <w:szCs w:val="20"/>
        </w:rPr>
        <w:t>Proceedings of the 37th International Conference on Machine Learning</w:t>
      </w:r>
      <w:r w:rsidRPr="00FF603B">
        <w:rPr>
          <w:sz w:val="20"/>
          <w:szCs w:val="20"/>
        </w:rPr>
        <w:t xml:space="preserve"> 9229–9248 (PMLR, 2020).</w:t>
      </w:r>
    </w:p>
    <w:p w14:paraId="651A8330" w14:textId="77777777" w:rsidR="00BF35FF" w:rsidRPr="00FF603B" w:rsidRDefault="00BF35FF" w:rsidP="00BF35FF">
      <w:pPr>
        <w:pStyle w:val="Bibliography"/>
        <w:spacing w:line="276" w:lineRule="auto"/>
        <w:rPr>
          <w:sz w:val="20"/>
          <w:szCs w:val="20"/>
        </w:rPr>
      </w:pPr>
      <w:r w:rsidRPr="00FF603B">
        <w:rPr>
          <w:sz w:val="20"/>
          <w:szCs w:val="20"/>
        </w:rPr>
        <w:t>37.</w:t>
      </w:r>
      <w:r w:rsidRPr="00FF603B">
        <w:rPr>
          <w:sz w:val="20"/>
          <w:szCs w:val="20"/>
        </w:rPr>
        <w:tab/>
        <w:t>Albuquerque, I., Naik, N., Li, J., Keskar, N. &amp; Socher, R. Improving out-of-distribution generalization via multi-task self-supervised pretraining. Preprint at https://doi.org/10.48550/ARXIV.2003.13525 (2020).</w:t>
      </w:r>
    </w:p>
    <w:p w14:paraId="4527AAD1" w14:textId="77777777" w:rsidR="00BF35FF" w:rsidRPr="00FF603B" w:rsidRDefault="00BF35FF" w:rsidP="00BF35FF">
      <w:pPr>
        <w:pStyle w:val="Bibliography"/>
        <w:spacing w:line="276" w:lineRule="auto"/>
        <w:rPr>
          <w:sz w:val="20"/>
          <w:szCs w:val="20"/>
        </w:rPr>
      </w:pPr>
      <w:r w:rsidRPr="00FF603B">
        <w:rPr>
          <w:sz w:val="20"/>
          <w:szCs w:val="20"/>
        </w:rPr>
        <w:t>38.</w:t>
      </w:r>
      <w:r w:rsidRPr="00FF603B">
        <w:rPr>
          <w:sz w:val="20"/>
          <w:szCs w:val="20"/>
        </w:rPr>
        <w:tab/>
        <w:t xml:space="preserve">Pimentel, M. A. F., Clifton, D. A., Clifton, L. &amp; Tarassenko, L. A review of novelty detection. </w:t>
      </w:r>
      <w:r w:rsidRPr="00FF603B">
        <w:rPr>
          <w:i/>
          <w:iCs/>
          <w:sz w:val="20"/>
          <w:szCs w:val="20"/>
        </w:rPr>
        <w:t>Signal Processing</w:t>
      </w:r>
      <w:r w:rsidRPr="00FF603B">
        <w:rPr>
          <w:sz w:val="20"/>
          <w:szCs w:val="20"/>
        </w:rPr>
        <w:t xml:space="preserve"> </w:t>
      </w:r>
      <w:r w:rsidRPr="00FF603B">
        <w:rPr>
          <w:b/>
          <w:bCs/>
          <w:sz w:val="20"/>
          <w:szCs w:val="20"/>
        </w:rPr>
        <w:t>99</w:t>
      </w:r>
      <w:r w:rsidRPr="00FF603B">
        <w:rPr>
          <w:sz w:val="20"/>
          <w:szCs w:val="20"/>
        </w:rPr>
        <w:t>, 215–249 (2014).</w:t>
      </w:r>
    </w:p>
    <w:p w14:paraId="1DD100B9" w14:textId="77777777" w:rsidR="00BF35FF" w:rsidRPr="00FF603B" w:rsidRDefault="00BF35FF" w:rsidP="00BF35FF">
      <w:pPr>
        <w:pStyle w:val="Bibliography"/>
        <w:spacing w:line="276" w:lineRule="auto"/>
        <w:rPr>
          <w:sz w:val="20"/>
          <w:szCs w:val="20"/>
        </w:rPr>
      </w:pPr>
      <w:r w:rsidRPr="00FF603B">
        <w:rPr>
          <w:sz w:val="20"/>
          <w:szCs w:val="20"/>
        </w:rPr>
        <w:t>39.</w:t>
      </w:r>
      <w:r w:rsidRPr="00FF603B">
        <w:rPr>
          <w:sz w:val="20"/>
          <w:szCs w:val="20"/>
        </w:rPr>
        <w:tab/>
        <w:t xml:space="preserve">Zhou, Y. Rethinking Reconstruction Autoencoder-Based Out-of-Distribution Detection. in </w:t>
      </w:r>
      <w:r w:rsidRPr="00FF603B">
        <w:rPr>
          <w:i/>
          <w:iCs/>
          <w:sz w:val="20"/>
          <w:szCs w:val="20"/>
        </w:rPr>
        <w:t>2022 IEEE/CVF Conference on Computer Vision and Pattern Recognition (CVPR)</w:t>
      </w:r>
      <w:r w:rsidRPr="00FF603B">
        <w:rPr>
          <w:sz w:val="20"/>
          <w:szCs w:val="20"/>
        </w:rPr>
        <w:t xml:space="preserve"> 7369–7377 (IEEE, New Orleans, LA, USA, 2022). doi:10.1109/CVPR52688.2022.00723.</w:t>
      </w:r>
    </w:p>
    <w:p w14:paraId="76158927" w14:textId="77777777" w:rsidR="00BF35FF" w:rsidRPr="00FF603B" w:rsidRDefault="00BF35FF" w:rsidP="00BF35FF">
      <w:pPr>
        <w:pStyle w:val="Bibliography"/>
        <w:spacing w:line="276" w:lineRule="auto"/>
        <w:rPr>
          <w:sz w:val="20"/>
          <w:szCs w:val="20"/>
        </w:rPr>
      </w:pPr>
      <w:r w:rsidRPr="00FF603B">
        <w:rPr>
          <w:sz w:val="20"/>
          <w:szCs w:val="20"/>
        </w:rPr>
        <w:t>40.</w:t>
      </w:r>
      <w:r w:rsidRPr="00FF603B">
        <w:rPr>
          <w:sz w:val="20"/>
          <w:szCs w:val="20"/>
        </w:rPr>
        <w:tab/>
        <w:t>Chalapathy, R. &amp; Chawla, S. Deep Learning for Anomaly Detection: A Survey. Preprint at https://doi.org/10.48550/ARXIV.1901.03407 (2019).</w:t>
      </w:r>
    </w:p>
    <w:p w14:paraId="333B961A" w14:textId="77777777" w:rsidR="00BF35FF" w:rsidRPr="00FF603B" w:rsidRDefault="00BF35FF" w:rsidP="00BF35FF">
      <w:pPr>
        <w:pStyle w:val="Bibliography"/>
        <w:spacing w:line="276" w:lineRule="auto"/>
        <w:rPr>
          <w:sz w:val="20"/>
          <w:szCs w:val="20"/>
        </w:rPr>
      </w:pPr>
      <w:r w:rsidRPr="00FF603B">
        <w:rPr>
          <w:sz w:val="20"/>
          <w:szCs w:val="20"/>
        </w:rPr>
        <w:t>41.</w:t>
      </w:r>
      <w:r w:rsidRPr="00FF603B">
        <w:rPr>
          <w:sz w:val="20"/>
          <w:szCs w:val="20"/>
        </w:rPr>
        <w:tab/>
        <w:t xml:space="preserve">Ruff, L. </w:t>
      </w:r>
      <w:r w:rsidRPr="00FF603B">
        <w:rPr>
          <w:i/>
          <w:iCs/>
          <w:sz w:val="20"/>
          <w:szCs w:val="20"/>
        </w:rPr>
        <w:t>et al.</w:t>
      </w:r>
      <w:r w:rsidRPr="00FF603B">
        <w:rPr>
          <w:sz w:val="20"/>
          <w:szCs w:val="20"/>
        </w:rPr>
        <w:t xml:space="preserve"> Deep Semi-Supervised Anomaly Detection. Preprint at https://doi.org/10.48550/ARXIV.1906.02694 (2019).</w:t>
      </w:r>
    </w:p>
    <w:p w14:paraId="0FFA43BB" w14:textId="77777777" w:rsidR="00BF35FF" w:rsidRPr="00FF603B" w:rsidRDefault="00BF35FF" w:rsidP="00BF35FF">
      <w:pPr>
        <w:pStyle w:val="Bibliography"/>
        <w:spacing w:line="276" w:lineRule="auto"/>
        <w:rPr>
          <w:sz w:val="20"/>
          <w:szCs w:val="20"/>
        </w:rPr>
      </w:pPr>
      <w:r w:rsidRPr="00FF603B">
        <w:rPr>
          <w:sz w:val="20"/>
          <w:szCs w:val="20"/>
        </w:rPr>
        <w:t>42.</w:t>
      </w:r>
      <w:r w:rsidRPr="00FF603B">
        <w:rPr>
          <w:sz w:val="20"/>
          <w:szCs w:val="20"/>
        </w:rPr>
        <w:tab/>
        <w:t xml:space="preserve">Weininger, D. SMILES, a chemical language and information system. 1. Introduction to methodology and encoding rules. </w:t>
      </w:r>
      <w:r w:rsidRPr="00FF603B">
        <w:rPr>
          <w:i/>
          <w:iCs/>
          <w:sz w:val="20"/>
          <w:szCs w:val="20"/>
        </w:rPr>
        <w:t>J. Chem. Inf. Comput. Sci.</w:t>
      </w:r>
      <w:r w:rsidRPr="00FF603B">
        <w:rPr>
          <w:sz w:val="20"/>
          <w:szCs w:val="20"/>
        </w:rPr>
        <w:t xml:space="preserve"> </w:t>
      </w:r>
      <w:r w:rsidRPr="00FF603B">
        <w:rPr>
          <w:b/>
          <w:bCs/>
          <w:sz w:val="20"/>
          <w:szCs w:val="20"/>
        </w:rPr>
        <w:t>28</w:t>
      </w:r>
      <w:r w:rsidRPr="00FF603B">
        <w:rPr>
          <w:sz w:val="20"/>
          <w:szCs w:val="20"/>
        </w:rPr>
        <w:t>, 31–36 (1988).</w:t>
      </w:r>
    </w:p>
    <w:p w14:paraId="0F052013" w14:textId="77777777" w:rsidR="00BF35FF" w:rsidRPr="00FF603B" w:rsidRDefault="00BF35FF" w:rsidP="00BF35FF">
      <w:pPr>
        <w:pStyle w:val="Bibliography"/>
        <w:spacing w:line="276" w:lineRule="auto"/>
        <w:rPr>
          <w:sz w:val="20"/>
          <w:szCs w:val="20"/>
        </w:rPr>
      </w:pPr>
      <w:r w:rsidRPr="00FF603B">
        <w:rPr>
          <w:sz w:val="20"/>
          <w:szCs w:val="20"/>
        </w:rPr>
        <w:t>43.</w:t>
      </w:r>
      <w:r w:rsidRPr="00FF603B">
        <w:rPr>
          <w:sz w:val="20"/>
          <w:szCs w:val="20"/>
        </w:rPr>
        <w:tab/>
        <w:t>Jastrzębski, S., Leśniak, D. &amp; Czarnecki, W. M. Learning to SMILE(S). Preprint at https://doi.org/10.48550/ARXIV.1602.06289 (2016).</w:t>
      </w:r>
    </w:p>
    <w:p w14:paraId="52AC22C9" w14:textId="77777777" w:rsidR="00BF35FF" w:rsidRPr="00FF603B" w:rsidRDefault="00BF35FF" w:rsidP="00BF35FF">
      <w:pPr>
        <w:pStyle w:val="Bibliography"/>
        <w:spacing w:line="276" w:lineRule="auto"/>
        <w:rPr>
          <w:sz w:val="20"/>
          <w:szCs w:val="20"/>
        </w:rPr>
      </w:pPr>
      <w:r w:rsidRPr="00FF603B">
        <w:rPr>
          <w:sz w:val="20"/>
          <w:szCs w:val="20"/>
        </w:rPr>
        <w:t>44.</w:t>
      </w:r>
      <w:r w:rsidRPr="00FF603B">
        <w:rPr>
          <w:sz w:val="20"/>
          <w:szCs w:val="20"/>
        </w:rPr>
        <w:tab/>
        <w:t xml:space="preserve">Özçelik, R. &amp; Grisoni, F. A hitchhiker’s guide to deep chemical language processing for bioactivity prediction. </w:t>
      </w:r>
      <w:r w:rsidRPr="00FF603B">
        <w:rPr>
          <w:i/>
          <w:iCs/>
          <w:sz w:val="20"/>
          <w:szCs w:val="20"/>
        </w:rPr>
        <w:t>Digital Discovery</w:t>
      </w:r>
      <w:r w:rsidRPr="00FF603B">
        <w:rPr>
          <w:sz w:val="20"/>
          <w:szCs w:val="20"/>
        </w:rPr>
        <w:t xml:space="preserve"> 10.1039.D4DD00311J (2025) doi:10.1039/D4DD00311J.</w:t>
      </w:r>
    </w:p>
    <w:p w14:paraId="30BF6777" w14:textId="77777777" w:rsidR="00BF35FF" w:rsidRPr="00FF603B" w:rsidRDefault="00BF35FF" w:rsidP="00BF35FF">
      <w:pPr>
        <w:pStyle w:val="Bibliography"/>
        <w:spacing w:line="276" w:lineRule="auto"/>
        <w:rPr>
          <w:sz w:val="20"/>
          <w:szCs w:val="20"/>
        </w:rPr>
      </w:pPr>
      <w:r w:rsidRPr="00FF603B">
        <w:rPr>
          <w:sz w:val="20"/>
          <w:szCs w:val="20"/>
        </w:rPr>
        <w:t>45.</w:t>
      </w:r>
      <w:r w:rsidRPr="00FF603B">
        <w:rPr>
          <w:sz w:val="20"/>
          <w:szCs w:val="20"/>
        </w:rPr>
        <w:tab/>
        <w:t xml:space="preserve">Gaulton, A. </w:t>
      </w:r>
      <w:r w:rsidRPr="00FF603B">
        <w:rPr>
          <w:i/>
          <w:iCs/>
          <w:sz w:val="20"/>
          <w:szCs w:val="20"/>
        </w:rPr>
        <w:t>et al.</w:t>
      </w:r>
      <w:r w:rsidRPr="00FF603B">
        <w:rPr>
          <w:sz w:val="20"/>
          <w:szCs w:val="20"/>
        </w:rPr>
        <w:t xml:space="preserve"> ChEMBL: a large-scale bioactivity database for drug discovery. </w:t>
      </w:r>
      <w:r w:rsidRPr="00FF603B">
        <w:rPr>
          <w:i/>
          <w:iCs/>
          <w:sz w:val="20"/>
          <w:szCs w:val="20"/>
        </w:rPr>
        <w:t>Nucleic Acids Research</w:t>
      </w:r>
      <w:r w:rsidRPr="00FF603B">
        <w:rPr>
          <w:sz w:val="20"/>
          <w:szCs w:val="20"/>
        </w:rPr>
        <w:t xml:space="preserve"> </w:t>
      </w:r>
      <w:r w:rsidRPr="00FF603B">
        <w:rPr>
          <w:b/>
          <w:bCs/>
          <w:sz w:val="20"/>
          <w:szCs w:val="20"/>
        </w:rPr>
        <w:t>40</w:t>
      </w:r>
      <w:r w:rsidRPr="00FF603B">
        <w:rPr>
          <w:sz w:val="20"/>
          <w:szCs w:val="20"/>
        </w:rPr>
        <w:t>, D1100–D1107 (2012).</w:t>
      </w:r>
    </w:p>
    <w:p w14:paraId="39F11008" w14:textId="77777777" w:rsidR="00BF35FF" w:rsidRPr="00FF603B" w:rsidRDefault="00BF35FF" w:rsidP="00BF35FF">
      <w:pPr>
        <w:pStyle w:val="Bibliography"/>
        <w:spacing w:line="276" w:lineRule="auto"/>
        <w:rPr>
          <w:sz w:val="20"/>
          <w:szCs w:val="20"/>
        </w:rPr>
      </w:pPr>
      <w:r w:rsidRPr="00FF603B">
        <w:rPr>
          <w:sz w:val="20"/>
          <w:szCs w:val="20"/>
        </w:rPr>
        <w:lastRenderedPageBreak/>
        <w:t>46.</w:t>
      </w:r>
      <w:r w:rsidRPr="00FF603B">
        <w:rPr>
          <w:sz w:val="20"/>
          <w:szCs w:val="20"/>
        </w:rPr>
        <w:tab/>
        <w:t xml:space="preserve">Pearce, T., Leibfried, F. &amp; Brintrup, A. Uncertainty in Neural Networks: Approximately Bayesian Ensembling. in </w:t>
      </w:r>
      <w:r w:rsidRPr="00FF603B">
        <w:rPr>
          <w:i/>
          <w:iCs/>
          <w:sz w:val="20"/>
          <w:szCs w:val="20"/>
        </w:rPr>
        <w:t>Proceedings of the Twenty Third International Conference on Artificial Intelligence and Statistics</w:t>
      </w:r>
      <w:r w:rsidRPr="00FF603B">
        <w:rPr>
          <w:sz w:val="20"/>
          <w:szCs w:val="20"/>
        </w:rPr>
        <w:t xml:space="preserve"> 234–244 (PMLR, 2020).</w:t>
      </w:r>
    </w:p>
    <w:p w14:paraId="7000C78A" w14:textId="77777777" w:rsidR="00BF35FF" w:rsidRPr="00FF603B" w:rsidRDefault="00BF35FF" w:rsidP="00BF35FF">
      <w:pPr>
        <w:pStyle w:val="Bibliography"/>
        <w:spacing w:line="276" w:lineRule="auto"/>
        <w:rPr>
          <w:sz w:val="20"/>
          <w:szCs w:val="20"/>
        </w:rPr>
      </w:pPr>
      <w:r w:rsidRPr="00FF603B">
        <w:rPr>
          <w:sz w:val="20"/>
          <w:szCs w:val="20"/>
        </w:rPr>
        <w:t>47.</w:t>
      </w:r>
      <w:r w:rsidRPr="00FF603B">
        <w:rPr>
          <w:sz w:val="20"/>
          <w:szCs w:val="20"/>
        </w:rPr>
        <w:tab/>
        <w:t xml:space="preserve">Reutlinger, M. </w:t>
      </w:r>
      <w:r w:rsidRPr="00FF603B">
        <w:rPr>
          <w:i/>
          <w:iCs/>
          <w:sz w:val="20"/>
          <w:szCs w:val="20"/>
        </w:rPr>
        <w:t>et al.</w:t>
      </w:r>
      <w:r w:rsidRPr="00FF603B">
        <w:rPr>
          <w:sz w:val="20"/>
          <w:szCs w:val="20"/>
        </w:rPr>
        <w:t xml:space="preserve"> Chemically Advanced Template Search (CATS) for Scaffold</w:t>
      </w:r>
      <w:r w:rsidRPr="00FF603B">
        <w:rPr>
          <w:rFonts w:ascii="Cambria Math" w:hAnsi="Cambria Math" w:cs="Cambria Math"/>
          <w:sz w:val="20"/>
          <w:szCs w:val="20"/>
        </w:rPr>
        <w:t>‐</w:t>
      </w:r>
      <w:r w:rsidRPr="00FF603B">
        <w:rPr>
          <w:sz w:val="20"/>
          <w:szCs w:val="20"/>
        </w:rPr>
        <w:t xml:space="preserve">Hopping and Prospective Target Prediction for ‘Orphan’ Molecules. </w:t>
      </w:r>
      <w:r w:rsidRPr="00FF603B">
        <w:rPr>
          <w:i/>
          <w:iCs/>
          <w:sz w:val="20"/>
          <w:szCs w:val="20"/>
        </w:rPr>
        <w:t>Molecular Informatics</w:t>
      </w:r>
      <w:r w:rsidRPr="00FF603B">
        <w:rPr>
          <w:sz w:val="20"/>
          <w:szCs w:val="20"/>
        </w:rPr>
        <w:t xml:space="preserve"> </w:t>
      </w:r>
      <w:r w:rsidRPr="00FF603B">
        <w:rPr>
          <w:b/>
          <w:bCs/>
          <w:sz w:val="20"/>
          <w:szCs w:val="20"/>
        </w:rPr>
        <w:t>32</w:t>
      </w:r>
      <w:r w:rsidRPr="00FF603B">
        <w:rPr>
          <w:sz w:val="20"/>
          <w:szCs w:val="20"/>
        </w:rPr>
        <w:t>, 133–138 (2013).</w:t>
      </w:r>
    </w:p>
    <w:p w14:paraId="68F3E1A8" w14:textId="77777777" w:rsidR="00BF35FF" w:rsidRPr="00FF603B" w:rsidRDefault="00BF35FF" w:rsidP="00BF35FF">
      <w:pPr>
        <w:pStyle w:val="Bibliography"/>
        <w:spacing w:line="276" w:lineRule="auto"/>
        <w:rPr>
          <w:sz w:val="20"/>
          <w:szCs w:val="20"/>
        </w:rPr>
      </w:pPr>
      <w:r w:rsidRPr="00FF603B">
        <w:rPr>
          <w:sz w:val="20"/>
          <w:szCs w:val="20"/>
        </w:rPr>
        <w:t>48.</w:t>
      </w:r>
      <w:r w:rsidRPr="00FF603B">
        <w:rPr>
          <w:sz w:val="20"/>
          <w:szCs w:val="20"/>
        </w:rPr>
        <w:tab/>
        <w:t xml:space="preserve">Van Tilborg, D., Alenicheva, A. &amp; Grisoni, F. Exposing the Limitations of Molecular Machine Learning with Activity Cliffs. </w:t>
      </w:r>
      <w:r w:rsidRPr="00FF603B">
        <w:rPr>
          <w:i/>
          <w:iCs/>
          <w:sz w:val="20"/>
          <w:szCs w:val="20"/>
        </w:rPr>
        <w:t>J. Chem. Inf. Model.</w:t>
      </w:r>
      <w:r w:rsidRPr="00FF603B">
        <w:rPr>
          <w:sz w:val="20"/>
          <w:szCs w:val="20"/>
        </w:rPr>
        <w:t xml:space="preserve"> </w:t>
      </w:r>
      <w:r w:rsidRPr="00FF603B">
        <w:rPr>
          <w:b/>
          <w:bCs/>
          <w:sz w:val="20"/>
          <w:szCs w:val="20"/>
        </w:rPr>
        <w:t>62</w:t>
      </w:r>
      <w:r w:rsidRPr="00FF603B">
        <w:rPr>
          <w:sz w:val="20"/>
          <w:szCs w:val="20"/>
        </w:rPr>
        <w:t>, 5938–5951 (2022).</w:t>
      </w:r>
    </w:p>
    <w:p w14:paraId="6F24D2DA" w14:textId="77777777" w:rsidR="00BF35FF" w:rsidRPr="00FF603B" w:rsidRDefault="00BF35FF" w:rsidP="00BF35FF">
      <w:pPr>
        <w:pStyle w:val="Bibliography"/>
        <w:spacing w:line="276" w:lineRule="auto"/>
        <w:rPr>
          <w:sz w:val="20"/>
          <w:szCs w:val="20"/>
        </w:rPr>
      </w:pPr>
      <w:r w:rsidRPr="00FF603B">
        <w:rPr>
          <w:sz w:val="20"/>
          <w:szCs w:val="20"/>
        </w:rPr>
        <w:t>49.</w:t>
      </w:r>
      <w:r w:rsidRPr="00FF603B">
        <w:rPr>
          <w:sz w:val="20"/>
          <w:szCs w:val="20"/>
        </w:rPr>
        <w:tab/>
        <w:t xml:space="preserve">Tran-Nguyen, V.-K., Jacquemard, C. &amp; Rognan, D. LIT-PCBA: An Unbiased Data Set for Machine Learning and Virtual Screening. </w:t>
      </w:r>
      <w:r w:rsidRPr="00FF603B">
        <w:rPr>
          <w:i/>
          <w:iCs/>
          <w:sz w:val="20"/>
          <w:szCs w:val="20"/>
        </w:rPr>
        <w:t>J. Chem. Inf. Model.</w:t>
      </w:r>
      <w:r w:rsidRPr="00FF603B">
        <w:rPr>
          <w:sz w:val="20"/>
          <w:szCs w:val="20"/>
        </w:rPr>
        <w:t xml:space="preserve"> </w:t>
      </w:r>
      <w:r w:rsidRPr="00FF603B">
        <w:rPr>
          <w:b/>
          <w:bCs/>
          <w:sz w:val="20"/>
          <w:szCs w:val="20"/>
        </w:rPr>
        <w:t>60</w:t>
      </w:r>
      <w:r w:rsidRPr="00FF603B">
        <w:rPr>
          <w:sz w:val="20"/>
          <w:szCs w:val="20"/>
        </w:rPr>
        <w:t>, 4263–4273 (2020).</w:t>
      </w:r>
    </w:p>
    <w:p w14:paraId="72B9F9D1" w14:textId="77777777" w:rsidR="00BF35FF" w:rsidRPr="00FF603B" w:rsidRDefault="00BF35FF" w:rsidP="00BF35FF">
      <w:pPr>
        <w:pStyle w:val="Bibliography"/>
        <w:spacing w:line="276" w:lineRule="auto"/>
        <w:rPr>
          <w:sz w:val="20"/>
          <w:szCs w:val="20"/>
        </w:rPr>
      </w:pPr>
      <w:r w:rsidRPr="00FF603B">
        <w:rPr>
          <w:sz w:val="20"/>
          <w:szCs w:val="20"/>
        </w:rPr>
        <w:t>50.</w:t>
      </w:r>
      <w:r w:rsidRPr="00FF603B">
        <w:rPr>
          <w:sz w:val="20"/>
          <w:szCs w:val="20"/>
        </w:rPr>
        <w:tab/>
        <w:t xml:space="preserve">Hansen, K. </w:t>
      </w:r>
      <w:r w:rsidRPr="00FF603B">
        <w:rPr>
          <w:i/>
          <w:iCs/>
          <w:sz w:val="20"/>
          <w:szCs w:val="20"/>
        </w:rPr>
        <w:t>et al.</w:t>
      </w:r>
      <w:r w:rsidRPr="00FF603B">
        <w:rPr>
          <w:sz w:val="20"/>
          <w:szCs w:val="20"/>
        </w:rPr>
        <w:t xml:space="preserve"> Benchmark Data Set for in Silico Prediction of Ames Mutagenicity. </w:t>
      </w:r>
      <w:r w:rsidRPr="00FF603B">
        <w:rPr>
          <w:i/>
          <w:iCs/>
          <w:sz w:val="20"/>
          <w:szCs w:val="20"/>
        </w:rPr>
        <w:t>J. Chem. Inf. Model.</w:t>
      </w:r>
      <w:r w:rsidRPr="00FF603B">
        <w:rPr>
          <w:sz w:val="20"/>
          <w:szCs w:val="20"/>
        </w:rPr>
        <w:t xml:space="preserve"> </w:t>
      </w:r>
      <w:r w:rsidRPr="00FF603B">
        <w:rPr>
          <w:b/>
          <w:bCs/>
          <w:sz w:val="20"/>
          <w:szCs w:val="20"/>
        </w:rPr>
        <w:t>49</w:t>
      </w:r>
      <w:r w:rsidRPr="00FF603B">
        <w:rPr>
          <w:sz w:val="20"/>
          <w:szCs w:val="20"/>
        </w:rPr>
        <w:t>, 2077–2081 (2009).</w:t>
      </w:r>
    </w:p>
    <w:p w14:paraId="63B1B418" w14:textId="77777777" w:rsidR="00BF35FF" w:rsidRPr="00FF603B" w:rsidRDefault="00BF35FF" w:rsidP="00BF35FF">
      <w:pPr>
        <w:pStyle w:val="Bibliography"/>
        <w:spacing w:line="276" w:lineRule="auto"/>
        <w:rPr>
          <w:sz w:val="20"/>
          <w:szCs w:val="20"/>
        </w:rPr>
      </w:pPr>
      <w:r w:rsidRPr="00FF603B">
        <w:rPr>
          <w:sz w:val="20"/>
          <w:szCs w:val="20"/>
        </w:rPr>
        <w:t>51.</w:t>
      </w:r>
      <w:r w:rsidRPr="00FF603B">
        <w:rPr>
          <w:sz w:val="20"/>
          <w:szCs w:val="20"/>
        </w:rPr>
        <w:tab/>
        <w:t xml:space="preserve">Manelfi, C. </w:t>
      </w:r>
      <w:r w:rsidRPr="00FF603B">
        <w:rPr>
          <w:i/>
          <w:iCs/>
          <w:sz w:val="20"/>
          <w:szCs w:val="20"/>
        </w:rPr>
        <w:t>et al.</w:t>
      </w:r>
      <w:r w:rsidRPr="00FF603B">
        <w:rPr>
          <w:sz w:val="20"/>
          <w:szCs w:val="20"/>
        </w:rPr>
        <w:t xml:space="preserve"> “Molecular Anatomy”: a new multi-dimensional hierarchical scaffold analysis tool. </w:t>
      </w:r>
      <w:r w:rsidRPr="00FF603B">
        <w:rPr>
          <w:i/>
          <w:iCs/>
          <w:sz w:val="20"/>
          <w:szCs w:val="20"/>
        </w:rPr>
        <w:t>J Cheminform</w:t>
      </w:r>
      <w:r w:rsidRPr="00FF603B">
        <w:rPr>
          <w:sz w:val="20"/>
          <w:szCs w:val="20"/>
        </w:rPr>
        <w:t xml:space="preserve"> </w:t>
      </w:r>
      <w:r w:rsidRPr="00FF603B">
        <w:rPr>
          <w:b/>
          <w:bCs/>
          <w:sz w:val="20"/>
          <w:szCs w:val="20"/>
        </w:rPr>
        <w:t>13</w:t>
      </w:r>
      <w:r w:rsidRPr="00FF603B">
        <w:rPr>
          <w:sz w:val="20"/>
          <w:szCs w:val="20"/>
        </w:rPr>
        <w:t>, 54 (2021).</w:t>
      </w:r>
    </w:p>
    <w:p w14:paraId="3356EF96" w14:textId="77777777" w:rsidR="00BF35FF" w:rsidRPr="00FF603B" w:rsidRDefault="00BF35FF" w:rsidP="00BF35FF">
      <w:pPr>
        <w:pStyle w:val="Bibliography"/>
        <w:spacing w:line="276" w:lineRule="auto"/>
        <w:rPr>
          <w:sz w:val="20"/>
          <w:szCs w:val="20"/>
        </w:rPr>
      </w:pPr>
      <w:r w:rsidRPr="00FF603B">
        <w:rPr>
          <w:sz w:val="20"/>
          <w:szCs w:val="20"/>
        </w:rPr>
        <w:t>52.</w:t>
      </w:r>
      <w:r w:rsidRPr="00FF603B">
        <w:rPr>
          <w:sz w:val="20"/>
          <w:szCs w:val="20"/>
        </w:rPr>
        <w:tab/>
        <w:t xml:space="preserve">Maggiora, G., Vogt, M., Stumpfe, D. &amp; Bajorath, J. Molecular Similarity in Medicinal Chemistry. </w:t>
      </w:r>
      <w:r w:rsidRPr="00FF603B">
        <w:rPr>
          <w:i/>
          <w:iCs/>
          <w:sz w:val="20"/>
          <w:szCs w:val="20"/>
        </w:rPr>
        <w:t>J. Med. Chem.</w:t>
      </w:r>
      <w:r w:rsidRPr="00FF603B">
        <w:rPr>
          <w:sz w:val="20"/>
          <w:szCs w:val="20"/>
        </w:rPr>
        <w:t xml:space="preserve"> </w:t>
      </w:r>
      <w:r w:rsidRPr="00FF603B">
        <w:rPr>
          <w:b/>
          <w:bCs/>
          <w:sz w:val="20"/>
          <w:szCs w:val="20"/>
        </w:rPr>
        <w:t>57</w:t>
      </w:r>
      <w:r w:rsidRPr="00FF603B">
        <w:rPr>
          <w:sz w:val="20"/>
          <w:szCs w:val="20"/>
        </w:rPr>
        <w:t>, 3186–3204 (2014).</w:t>
      </w:r>
    </w:p>
    <w:p w14:paraId="2932126E" w14:textId="77777777" w:rsidR="00BF35FF" w:rsidRPr="00FF603B" w:rsidRDefault="00BF35FF" w:rsidP="00BF35FF">
      <w:pPr>
        <w:pStyle w:val="Bibliography"/>
        <w:spacing w:line="276" w:lineRule="auto"/>
        <w:rPr>
          <w:sz w:val="20"/>
          <w:szCs w:val="20"/>
        </w:rPr>
      </w:pPr>
      <w:r w:rsidRPr="00FF603B">
        <w:rPr>
          <w:sz w:val="20"/>
          <w:szCs w:val="20"/>
        </w:rPr>
        <w:t>53.</w:t>
      </w:r>
      <w:r w:rsidRPr="00FF603B">
        <w:rPr>
          <w:sz w:val="20"/>
          <w:szCs w:val="20"/>
        </w:rPr>
        <w:tab/>
        <w:t xml:space="preserve">Rogers, D. &amp; Hahn, M. Extended-Connectivity Fingerprints. </w:t>
      </w:r>
      <w:r w:rsidRPr="00FF603B">
        <w:rPr>
          <w:i/>
          <w:iCs/>
          <w:sz w:val="20"/>
          <w:szCs w:val="20"/>
        </w:rPr>
        <w:t>J. Chem. Inf. Model.</w:t>
      </w:r>
      <w:r w:rsidRPr="00FF603B">
        <w:rPr>
          <w:sz w:val="20"/>
          <w:szCs w:val="20"/>
        </w:rPr>
        <w:t xml:space="preserve"> </w:t>
      </w:r>
      <w:r w:rsidRPr="00FF603B">
        <w:rPr>
          <w:b/>
          <w:bCs/>
          <w:sz w:val="20"/>
          <w:szCs w:val="20"/>
        </w:rPr>
        <w:t>50</w:t>
      </w:r>
      <w:r w:rsidRPr="00FF603B">
        <w:rPr>
          <w:sz w:val="20"/>
          <w:szCs w:val="20"/>
        </w:rPr>
        <w:t>, 742–754 (2010).</w:t>
      </w:r>
    </w:p>
    <w:p w14:paraId="00F9BDA3" w14:textId="77777777" w:rsidR="00BF35FF" w:rsidRPr="00FF603B" w:rsidRDefault="00BF35FF" w:rsidP="00BF35FF">
      <w:pPr>
        <w:pStyle w:val="Bibliography"/>
        <w:spacing w:line="276" w:lineRule="auto"/>
        <w:rPr>
          <w:sz w:val="20"/>
          <w:szCs w:val="20"/>
        </w:rPr>
      </w:pPr>
      <w:r w:rsidRPr="00FF603B">
        <w:rPr>
          <w:sz w:val="20"/>
          <w:szCs w:val="20"/>
        </w:rPr>
        <w:t>54.</w:t>
      </w:r>
      <w:r w:rsidRPr="00FF603B">
        <w:rPr>
          <w:sz w:val="20"/>
          <w:szCs w:val="20"/>
        </w:rPr>
        <w:tab/>
        <w:t xml:space="preserve">Cereto-Massagué, A. </w:t>
      </w:r>
      <w:r w:rsidRPr="00FF603B">
        <w:rPr>
          <w:i/>
          <w:iCs/>
          <w:sz w:val="20"/>
          <w:szCs w:val="20"/>
        </w:rPr>
        <w:t>et al.</w:t>
      </w:r>
      <w:r w:rsidRPr="00FF603B">
        <w:rPr>
          <w:sz w:val="20"/>
          <w:szCs w:val="20"/>
        </w:rPr>
        <w:t xml:space="preserve"> Molecular fingerprint similarity search in virtual screening. </w:t>
      </w:r>
      <w:r w:rsidRPr="00FF603B">
        <w:rPr>
          <w:i/>
          <w:iCs/>
          <w:sz w:val="20"/>
          <w:szCs w:val="20"/>
        </w:rPr>
        <w:t>Methods</w:t>
      </w:r>
      <w:r w:rsidRPr="00FF603B">
        <w:rPr>
          <w:sz w:val="20"/>
          <w:szCs w:val="20"/>
        </w:rPr>
        <w:t xml:space="preserve"> </w:t>
      </w:r>
      <w:r w:rsidRPr="00FF603B">
        <w:rPr>
          <w:b/>
          <w:bCs/>
          <w:sz w:val="20"/>
          <w:szCs w:val="20"/>
        </w:rPr>
        <w:t>71</w:t>
      </w:r>
      <w:r w:rsidRPr="00FF603B">
        <w:rPr>
          <w:sz w:val="20"/>
          <w:szCs w:val="20"/>
        </w:rPr>
        <w:t>, 58–63 (2015).</w:t>
      </w:r>
    </w:p>
    <w:p w14:paraId="07ECC81F" w14:textId="77777777" w:rsidR="00BF35FF" w:rsidRPr="00FF603B" w:rsidRDefault="00BF35FF" w:rsidP="00BF35FF">
      <w:pPr>
        <w:pStyle w:val="Bibliography"/>
        <w:spacing w:line="276" w:lineRule="auto"/>
        <w:rPr>
          <w:sz w:val="20"/>
          <w:szCs w:val="20"/>
        </w:rPr>
      </w:pPr>
      <w:r w:rsidRPr="00FF603B">
        <w:rPr>
          <w:sz w:val="20"/>
          <w:szCs w:val="20"/>
        </w:rPr>
        <w:t>55.</w:t>
      </w:r>
      <w:r w:rsidRPr="00FF603B">
        <w:rPr>
          <w:sz w:val="20"/>
          <w:szCs w:val="20"/>
        </w:rPr>
        <w:tab/>
        <w:t>Rossen, L., Sirockin, F., Schneider, N. &amp; Grisoni, F. Scaffold Hopping with Generative Reinforcement Learning. Preprint at https://doi.org/10.26434/chemrxiv-2024-gd3j4 (2024).</w:t>
      </w:r>
    </w:p>
    <w:p w14:paraId="21C5FFB1" w14:textId="77777777" w:rsidR="00BF35FF" w:rsidRPr="00FF603B" w:rsidRDefault="00BF35FF" w:rsidP="00BF35FF">
      <w:pPr>
        <w:pStyle w:val="Bibliography"/>
        <w:spacing w:line="276" w:lineRule="auto"/>
        <w:rPr>
          <w:sz w:val="20"/>
          <w:szCs w:val="20"/>
        </w:rPr>
      </w:pPr>
      <w:r w:rsidRPr="00FF603B">
        <w:rPr>
          <w:sz w:val="20"/>
          <w:szCs w:val="20"/>
        </w:rPr>
        <w:t>56.</w:t>
      </w:r>
      <w:r w:rsidRPr="00FF603B">
        <w:rPr>
          <w:sz w:val="20"/>
          <w:szCs w:val="20"/>
        </w:rPr>
        <w:tab/>
        <w:t>Fooladi, H., Vu, T. N. L. &amp; Kirchmair, J. Evaluating Machine Learning Models for Molecular Property Prediction: Performance and Robustness on Out-of-Distribution Data. Preprint at https://doi.org/10.26434/chemrxiv-2025-g1vjf-v2 (2025).</w:t>
      </w:r>
    </w:p>
    <w:p w14:paraId="43EEF1A5" w14:textId="77777777" w:rsidR="00BF35FF" w:rsidRPr="00FF603B" w:rsidRDefault="00BF35FF" w:rsidP="00BF35FF">
      <w:pPr>
        <w:pStyle w:val="Bibliography"/>
        <w:spacing w:line="276" w:lineRule="auto"/>
        <w:rPr>
          <w:sz w:val="20"/>
          <w:szCs w:val="20"/>
        </w:rPr>
      </w:pPr>
      <w:r w:rsidRPr="00FF603B">
        <w:rPr>
          <w:sz w:val="20"/>
          <w:szCs w:val="20"/>
        </w:rPr>
        <w:t>57.</w:t>
      </w:r>
      <w:r w:rsidRPr="00FF603B">
        <w:rPr>
          <w:sz w:val="20"/>
          <w:szCs w:val="20"/>
        </w:rPr>
        <w:tab/>
        <w:t>Lee, K., Lee, K., Lee, H. &amp; Shin, J. A Simple Unified Framework for Detecting Out-of-Distribution Samples and Adversarial Attacks. Preprint at https://doi.org/10.48550/ARXIV.1807.03888 (2018).</w:t>
      </w:r>
    </w:p>
    <w:p w14:paraId="40B91BF3" w14:textId="77777777" w:rsidR="00BF35FF" w:rsidRPr="00FF603B" w:rsidRDefault="00BF35FF" w:rsidP="00BF35FF">
      <w:pPr>
        <w:pStyle w:val="Bibliography"/>
        <w:spacing w:line="276" w:lineRule="auto"/>
        <w:rPr>
          <w:sz w:val="20"/>
          <w:szCs w:val="20"/>
        </w:rPr>
      </w:pPr>
      <w:r w:rsidRPr="00FF603B">
        <w:rPr>
          <w:sz w:val="20"/>
          <w:szCs w:val="20"/>
        </w:rPr>
        <w:t>58.</w:t>
      </w:r>
      <w:r w:rsidRPr="00FF603B">
        <w:rPr>
          <w:sz w:val="20"/>
          <w:szCs w:val="20"/>
        </w:rPr>
        <w:tab/>
        <w:t xml:space="preserve">Boix-Adsera, E., Lawrence, H., Stepaniants, G. &amp; Rigollet, P. GULP: a prediction-based metric between representations. </w:t>
      </w:r>
      <w:r w:rsidRPr="00FF603B">
        <w:rPr>
          <w:i/>
          <w:iCs/>
          <w:sz w:val="20"/>
          <w:szCs w:val="20"/>
        </w:rPr>
        <w:t>Advances in Neural Information Processing Systems</w:t>
      </w:r>
      <w:r w:rsidRPr="00FF603B">
        <w:rPr>
          <w:sz w:val="20"/>
          <w:szCs w:val="20"/>
        </w:rPr>
        <w:t xml:space="preserve"> </w:t>
      </w:r>
      <w:r w:rsidRPr="00FF603B">
        <w:rPr>
          <w:b/>
          <w:bCs/>
          <w:sz w:val="20"/>
          <w:szCs w:val="20"/>
        </w:rPr>
        <w:t>35</w:t>
      </w:r>
      <w:r w:rsidRPr="00FF603B">
        <w:rPr>
          <w:sz w:val="20"/>
          <w:szCs w:val="20"/>
        </w:rPr>
        <w:t>, 7115–7127 (2022).</w:t>
      </w:r>
    </w:p>
    <w:p w14:paraId="187202B6" w14:textId="77777777" w:rsidR="00BF35FF" w:rsidRPr="00FF603B" w:rsidRDefault="00BF35FF" w:rsidP="00BF35FF">
      <w:pPr>
        <w:pStyle w:val="Bibliography"/>
        <w:spacing w:line="276" w:lineRule="auto"/>
        <w:rPr>
          <w:sz w:val="20"/>
          <w:szCs w:val="20"/>
        </w:rPr>
      </w:pPr>
      <w:r w:rsidRPr="00FF603B">
        <w:rPr>
          <w:sz w:val="20"/>
          <w:szCs w:val="20"/>
        </w:rPr>
        <w:t>59.</w:t>
      </w:r>
      <w:r w:rsidRPr="00FF603B">
        <w:rPr>
          <w:sz w:val="20"/>
          <w:szCs w:val="20"/>
        </w:rPr>
        <w:tab/>
        <w:t xml:space="preserve">Gunantara, N. A review of multi-objective optimization: Methods and its applications. </w:t>
      </w:r>
      <w:r w:rsidRPr="00FF603B">
        <w:rPr>
          <w:i/>
          <w:iCs/>
          <w:sz w:val="20"/>
          <w:szCs w:val="20"/>
        </w:rPr>
        <w:t>Cogent Engineering</w:t>
      </w:r>
      <w:r w:rsidRPr="00FF603B">
        <w:rPr>
          <w:sz w:val="20"/>
          <w:szCs w:val="20"/>
        </w:rPr>
        <w:t xml:space="preserve"> </w:t>
      </w:r>
      <w:r w:rsidRPr="00FF603B">
        <w:rPr>
          <w:b/>
          <w:bCs/>
          <w:sz w:val="20"/>
          <w:szCs w:val="20"/>
        </w:rPr>
        <w:t>5</w:t>
      </w:r>
      <w:r w:rsidRPr="00FF603B">
        <w:rPr>
          <w:sz w:val="20"/>
          <w:szCs w:val="20"/>
        </w:rPr>
        <w:t>, 1502242 (2018).</w:t>
      </w:r>
    </w:p>
    <w:p w14:paraId="68DEB3E4" w14:textId="77777777" w:rsidR="00BF35FF" w:rsidRPr="00FF603B" w:rsidRDefault="00BF35FF" w:rsidP="00BF35FF">
      <w:pPr>
        <w:pStyle w:val="Bibliography"/>
        <w:spacing w:line="276" w:lineRule="auto"/>
        <w:rPr>
          <w:sz w:val="20"/>
          <w:szCs w:val="20"/>
        </w:rPr>
      </w:pPr>
      <w:r w:rsidRPr="00FF603B">
        <w:rPr>
          <w:sz w:val="20"/>
          <w:szCs w:val="20"/>
        </w:rPr>
        <w:t>60.</w:t>
      </w:r>
      <w:r w:rsidRPr="00FF603B">
        <w:rPr>
          <w:sz w:val="20"/>
          <w:szCs w:val="20"/>
        </w:rPr>
        <w:tab/>
        <w:t xml:space="preserve">Welsch, M. E., Snyder, S. A. &amp; Stockwell, B. R. Privileged scaffolds for library design and drug discovery. </w:t>
      </w:r>
      <w:r w:rsidRPr="00FF603B">
        <w:rPr>
          <w:i/>
          <w:iCs/>
          <w:sz w:val="20"/>
          <w:szCs w:val="20"/>
        </w:rPr>
        <w:t>Current Opinion in Chemical Biology</w:t>
      </w:r>
      <w:r w:rsidRPr="00FF603B">
        <w:rPr>
          <w:sz w:val="20"/>
          <w:szCs w:val="20"/>
        </w:rPr>
        <w:t xml:space="preserve"> </w:t>
      </w:r>
      <w:r w:rsidRPr="00FF603B">
        <w:rPr>
          <w:b/>
          <w:bCs/>
          <w:sz w:val="20"/>
          <w:szCs w:val="20"/>
        </w:rPr>
        <w:t>14</w:t>
      </w:r>
      <w:r w:rsidRPr="00FF603B">
        <w:rPr>
          <w:sz w:val="20"/>
          <w:szCs w:val="20"/>
        </w:rPr>
        <w:t>, 347–361 (2010).</w:t>
      </w:r>
    </w:p>
    <w:p w14:paraId="42A81F60" w14:textId="77777777" w:rsidR="00BF35FF" w:rsidRPr="00FF603B" w:rsidRDefault="00BF35FF" w:rsidP="00BF35FF">
      <w:pPr>
        <w:pStyle w:val="Bibliography"/>
        <w:spacing w:line="276" w:lineRule="auto"/>
        <w:rPr>
          <w:sz w:val="20"/>
          <w:szCs w:val="20"/>
        </w:rPr>
      </w:pPr>
      <w:r w:rsidRPr="00FF603B">
        <w:rPr>
          <w:sz w:val="20"/>
          <w:szCs w:val="20"/>
        </w:rPr>
        <w:lastRenderedPageBreak/>
        <w:t>61.</w:t>
      </w:r>
      <w:r w:rsidRPr="00FF603B">
        <w:rPr>
          <w:sz w:val="20"/>
          <w:szCs w:val="20"/>
        </w:rPr>
        <w:tab/>
        <w:t xml:space="preserve">Roskoski, R. Properties of FDA-approved small molecule protein kinase inhibitors: A 2024 update. </w:t>
      </w:r>
      <w:r w:rsidRPr="00FF603B">
        <w:rPr>
          <w:i/>
          <w:iCs/>
          <w:sz w:val="20"/>
          <w:szCs w:val="20"/>
        </w:rPr>
        <w:t>Pharmacological Research</w:t>
      </w:r>
      <w:r w:rsidRPr="00FF603B">
        <w:rPr>
          <w:sz w:val="20"/>
          <w:szCs w:val="20"/>
        </w:rPr>
        <w:t xml:space="preserve"> </w:t>
      </w:r>
      <w:r w:rsidRPr="00FF603B">
        <w:rPr>
          <w:b/>
          <w:bCs/>
          <w:sz w:val="20"/>
          <w:szCs w:val="20"/>
        </w:rPr>
        <w:t>200</w:t>
      </w:r>
      <w:r w:rsidRPr="00FF603B">
        <w:rPr>
          <w:sz w:val="20"/>
          <w:szCs w:val="20"/>
        </w:rPr>
        <w:t>, 107059 (2024).</w:t>
      </w:r>
    </w:p>
    <w:p w14:paraId="46C86EC8" w14:textId="77777777" w:rsidR="00BF35FF" w:rsidRPr="00FF603B" w:rsidRDefault="00BF35FF" w:rsidP="00BF35FF">
      <w:pPr>
        <w:pStyle w:val="Bibliography"/>
        <w:spacing w:line="276" w:lineRule="auto"/>
        <w:rPr>
          <w:sz w:val="20"/>
          <w:szCs w:val="20"/>
        </w:rPr>
      </w:pPr>
      <w:r w:rsidRPr="00FF603B">
        <w:rPr>
          <w:sz w:val="20"/>
          <w:szCs w:val="20"/>
        </w:rPr>
        <w:t>62.</w:t>
      </w:r>
      <w:r w:rsidRPr="00FF603B">
        <w:rPr>
          <w:sz w:val="20"/>
          <w:szCs w:val="20"/>
        </w:rPr>
        <w:tab/>
        <w:t xml:space="preserve">Wu, P., Nielsen, T. E. &amp; Clausen, M. H. FDA-approved small-molecule kinase inhibitors. </w:t>
      </w:r>
      <w:r w:rsidRPr="00FF603B">
        <w:rPr>
          <w:i/>
          <w:iCs/>
          <w:sz w:val="20"/>
          <w:szCs w:val="20"/>
        </w:rPr>
        <w:t>Trends in Pharmacological Sciences</w:t>
      </w:r>
      <w:r w:rsidRPr="00FF603B">
        <w:rPr>
          <w:sz w:val="20"/>
          <w:szCs w:val="20"/>
        </w:rPr>
        <w:t xml:space="preserve"> </w:t>
      </w:r>
      <w:r w:rsidRPr="00FF603B">
        <w:rPr>
          <w:b/>
          <w:bCs/>
          <w:sz w:val="20"/>
          <w:szCs w:val="20"/>
        </w:rPr>
        <w:t>36</w:t>
      </w:r>
      <w:r w:rsidRPr="00FF603B">
        <w:rPr>
          <w:sz w:val="20"/>
          <w:szCs w:val="20"/>
        </w:rPr>
        <w:t>, 422–439 (2015).</w:t>
      </w:r>
    </w:p>
    <w:p w14:paraId="124EBE62" w14:textId="77777777" w:rsidR="00BF35FF" w:rsidRPr="00FF603B" w:rsidRDefault="00BF35FF" w:rsidP="00BF35FF">
      <w:pPr>
        <w:pStyle w:val="Bibliography"/>
        <w:spacing w:line="276" w:lineRule="auto"/>
        <w:rPr>
          <w:sz w:val="20"/>
          <w:szCs w:val="20"/>
        </w:rPr>
      </w:pPr>
      <w:r w:rsidRPr="00FF603B">
        <w:rPr>
          <w:sz w:val="20"/>
          <w:szCs w:val="20"/>
        </w:rPr>
        <w:t>63.</w:t>
      </w:r>
      <w:r w:rsidRPr="00FF603B">
        <w:rPr>
          <w:sz w:val="20"/>
          <w:szCs w:val="20"/>
        </w:rPr>
        <w:tab/>
        <w:t xml:space="preserve">Xu, L. </w:t>
      </w:r>
      <w:r w:rsidRPr="00FF603B">
        <w:rPr>
          <w:i/>
          <w:iCs/>
          <w:sz w:val="20"/>
          <w:szCs w:val="20"/>
        </w:rPr>
        <w:t>et al.</w:t>
      </w:r>
      <w:r w:rsidRPr="00FF603B">
        <w:rPr>
          <w:sz w:val="20"/>
          <w:szCs w:val="20"/>
        </w:rPr>
        <w:t xml:space="preserve"> Recent Research Advances in Small-Molecule Pan-PIM Inhibitors. </w:t>
      </w:r>
      <w:r w:rsidRPr="00FF603B">
        <w:rPr>
          <w:i/>
          <w:iCs/>
          <w:sz w:val="20"/>
          <w:szCs w:val="20"/>
        </w:rPr>
        <w:t>Pharmaceutical Fronts</w:t>
      </w:r>
      <w:r w:rsidRPr="00FF603B">
        <w:rPr>
          <w:sz w:val="20"/>
          <w:szCs w:val="20"/>
        </w:rPr>
        <w:t xml:space="preserve"> </w:t>
      </w:r>
      <w:r w:rsidRPr="00FF603B">
        <w:rPr>
          <w:b/>
          <w:bCs/>
          <w:sz w:val="20"/>
          <w:szCs w:val="20"/>
        </w:rPr>
        <w:t>04</w:t>
      </w:r>
      <w:r w:rsidRPr="00FF603B">
        <w:rPr>
          <w:sz w:val="20"/>
          <w:szCs w:val="20"/>
        </w:rPr>
        <w:t>, e207–e222 (2022).</w:t>
      </w:r>
    </w:p>
    <w:p w14:paraId="71EA7344" w14:textId="77777777" w:rsidR="00BF35FF" w:rsidRPr="00FF603B" w:rsidRDefault="00BF35FF" w:rsidP="00BF35FF">
      <w:pPr>
        <w:pStyle w:val="Bibliography"/>
        <w:spacing w:line="276" w:lineRule="auto"/>
        <w:rPr>
          <w:sz w:val="20"/>
          <w:szCs w:val="20"/>
        </w:rPr>
      </w:pPr>
      <w:r w:rsidRPr="00FF603B">
        <w:rPr>
          <w:sz w:val="20"/>
          <w:szCs w:val="20"/>
        </w:rPr>
        <w:t>64.</w:t>
      </w:r>
      <w:r w:rsidRPr="00FF603B">
        <w:rPr>
          <w:sz w:val="20"/>
          <w:szCs w:val="20"/>
        </w:rPr>
        <w:tab/>
        <w:t xml:space="preserve">Bickerton, G. R., Paolini, G. V., Besnard, J., Muresan, S. &amp; Hopkins, A. L. Quantifying the chemical beauty of drugs. </w:t>
      </w:r>
      <w:r w:rsidRPr="00FF603B">
        <w:rPr>
          <w:i/>
          <w:iCs/>
          <w:sz w:val="20"/>
          <w:szCs w:val="20"/>
        </w:rPr>
        <w:t>Nature Chem</w:t>
      </w:r>
      <w:r w:rsidRPr="00FF603B">
        <w:rPr>
          <w:sz w:val="20"/>
          <w:szCs w:val="20"/>
        </w:rPr>
        <w:t xml:space="preserve"> </w:t>
      </w:r>
      <w:r w:rsidRPr="00FF603B">
        <w:rPr>
          <w:b/>
          <w:bCs/>
          <w:sz w:val="20"/>
          <w:szCs w:val="20"/>
        </w:rPr>
        <w:t>4</w:t>
      </w:r>
      <w:r w:rsidRPr="00FF603B">
        <w:rPr>
          <w:sz w:val="20"/>
          <w:szCs w:val="20"/>
        </w:rPr>
        <w:t>, 90–98 (2012).</w:t>
      </w:r>
    </w:p>
    <w:p w14:paraId="4A54E459" w14:textId="77777777" w:rsidR="00BF35FF" w:rsidRPr="00FF603B" w:rsidRDefault="00BF35FF" w:rsidP="00BF35FF">
      <w:pPr>
        <w:pStyle w:val="Bibliography"/>
        <w:spacing w:line="276" w:lineRule="auto"/>
        <w:rPr>
          <w:sz w:val="20"/>
          <w:szCs w:val="20"/>
        </w:rPr>
      </w:pPr>
      <w:r w:rsidRPr="00FF603B">
        <w:rPr>
          <w:sz w:val="20"/>
          <w:szCs w:val="20"/>
        </w:rPr>
        <w:t>65.</w:t>
      </w:r>
      <w:r w:rsidRPr="00FF603B">
        <w:rPr>
          <w:sz w:val="20"/>
          <w:szCs w:val="20"/>
        </w:rPr>
        <w:tab/>
        <w:t xml:space="preserve">Ertl, P. &amp; Schuffenhauer, A. Estimation of synthetic accessibility score of drug-like molecules based on molecular complexity and fragment contributions. </w:t>
      </w:r>
      <w:r w:rsidRPr="00FF603B">
        <w:rPr>
          <w:i/>
          <w:iCs/>
          <w:sz w:val="20"/>
          <w:szCs w:val="20"/>
        </w:rPr>
        <w:t>J Cheminform</w:t>
      </w:r>
      <w:r w:rsidRPr="00FF603B">
        <w:rPr>
          <w:sz w:val="20"/>
          <w:szCs w:val="20"/>
        </w:rPr>
        <w:t xml:space="preserve"> </w:t>
      </w:r>
      <w:r w:rsidRPr="00FF603B">
        <w:rPr>
          <w:b/>
          <w:bCs/>
          <w:sz w:val="20"/>
          <w:szCs w:val="20"/>
        </w:rPr>
        <w:t>1</w:t>
      </w:r>
      <w:r w:rsidRPr="00FF603B">
        <w:rPr>
          <w:sz w:val="20"/>
          <w:szCs w:val="20"/>
        </w:rPr>
        <w:t>, 8 (2009).</w:t>
      </w:r>
    </w:p>
    <w:p w14:paraId="35C912B5" w14:textId="77777777" w:rsidR="00BF35FF" w:rsidRPr="00FF603B" w:rsidRDefault="00BF35FF" w:rsidP="00BF35FF">
      <w:pPr>
        <w:pStyle w:val="Bibliography"/>
        <w:spacing w:line="276" w:lineRule="auto"/>
        <w:rPr>
          <w:sz w:val="20"/>
          <w:szCs w:val="20"/>
        </w:rPr>
      </w:pPr>
      <w:r w:rsidRPr="00FF603B">
        <w:rPr>
          <w:sz w:val="20"/>
          <w:szCs w:val="20"/>
        </w:rPr>
        <w:t>66.</w:t>
      </w:r>
      <w:r w:rsidRPr="00FF603B">
        <w:rPr>
          <w:sz w:val="20"/>
          <w:szCs w:val="20"/>
        </w:rPr>
        <w:tab/>
        <w:t xml:space="preserve">Wallach, I. &amp; Heifets, A. Most Ligand-Based Classification Benchmarks Reward Memorization Rather than Generalization. </w:t>
      </w:r>
      <w:r w:rsidRPr="00FF603B">
        <w:rPr>
          <w:i/>
          <w:iCs/>
          <w:sz w:val="20"/>
          <w:szCs w:val="20"/>
        </w:rPr>
        <w:t>J. Chem. Inf. Model.</w:t>
      </w:r>
      <w:r w:rsidRPr="00FF603B">
        <w:rPr>
          <w:sz w:val="20"/>
          <w:szCs w:val="20"/>
        </w:rPr>
        <w:t xml:space="preserve"> </w:t>
      </w:r>
      <w:r w:rsidRPr="00FF603B">
        <w:rPr>
          <w:b/>
          <w:bCs/>
          <w:sz w:val="20"/>
          <w:szCs w:val="20"/>
        </w:rPr>
        <w:t>58</w:t>
      </w:r>
      <w:r w:rsidRPr="00FF603B">
        <w:rPr>
          <w:sz w:val="20"/>
          <w:szCs w:val="20"/>
        </w:rPr>
        <w:t>, 916–932 (2018).</w:t>
      </w:r>
    </w:p>
    <w:p w14:paraId="7DDF8490" w14:textId="77777777" w:rsidR="00BF35FF" w:rsidRPr="00FF603B" w:rsidRDefault="00BF35FF" w:rsidP="00BF35FF">
      <w:pPr>
        <w:pStyle w:val="Bibliography"/>
        <w:spacing w:line="276" w:lineRule="auto"/>
        <w:rPr>
          <w:sz w:val="20"/>
          <w:szCs w:val="20"/>
        </w:rPr>
      </w:pPr>
      <w:r w:rsidRPr="00FF603B">
        <w:rPr>
          <w:sz w:val="20"/>
          <w:szCs w:val="20"/>
        </w:rPr>
        <w:t>67.</w:t>
      </w:r>
      <w:r w:rsidRPr="00FF603B">
        <w:rPr>
          <w:sz w:val="20"/>
          <w:szCs w:val="20"/>
        </w:rPr>
        <w:tab/>
        <w:t xml:space="preserve">Holman, L., Head, M. L., Lanfear, R. &amp; Jennions, M. D. Evidence of Experimental Bias in the Life Sciences: Why We Need Blind Data Recording. </w:t>
      </w:r>
      <w:r w:rsidRPr="00FF603B">
        <w:rPr>
          <w:i/>
          <w:iCs/>
          <w:sz w:val="20"/>
          <w:szCs w:val="20"/>
        </w:rPr>
        <w:t>PLoS Biol</w:t>
      </w:r>
      <w:r w:rsidRPr="00FF603B">
        <w:rPr>
          <w:sz w:val="20"/>
          <w:szCs w:val="20"/>
        </w:rPr>
        <w:t xml:space="preserve"> </w:t>
      </w:r>
      <w:r w:rsidRPr="00FF603B">
        <w:rPr>
          <w:b/>
          <w:bCs/>
          <w:sz w:val="20"/>
          <w:szCs w:val="20"/>
        </w:rPr>
        <w:t>13</w:t>
      </w:r>
      <w:r w:rsidRPr="00FF603B">
        <w:rPr>
          <w:sz w:val="20"/>
          <w:szCs w:val="20"/>
        </w:rPr>
        <w:t>, e1002190 (2015).</w:t>
      </w:r>
    </w:p>
    <w:p w14:paraId="02ED8E37" w14:textId="77777777" w:rsidR="00BF35FF" w:rsidRPr="00FF603B" w:rsidRDefault="00BF35FF" w:rsidP="00BF35FF">
      <w:pPr>
        <w:pStyle w:val="Bibliography"/>
        <w:spacing w:line="276" w:lineRule="auto"/>
        <w:rPr>
          <w:sz w:val="20"/>
          <w:szCs w:val="20"/>
        </w:rPr>
      </w:pPr>
      <w:r w:rsidRPr="00FF603B">
        <w:rPr>
          <w:sz w:val="20"/>
          <w:szCs w:val="20"/>
        </w:rPr>
        <w:t>68.</w:t>
      </w:r>
      <w:r w:rsidRPr="00FF603B">
        <w:rPr>
          <w:sz w:val="20"/>
          <w:szCs w:val="20"/>
        </w:rPr>
        <w:tab/>
        <w:t xml:space="preserve">Yoshizawa, T. </w:t>
      </w:r>
      <w:r w:rsidRPr="00FF603B">
        <w:rPr>
          <w:i/>
          <w:iCs/>
          <w:sz w:val="20"/>
          <w:szCs w:val="20"/>
        </w:rPr>
        <w:t>et al.</w:t>
      </w:r>
      <w:r w:rsidRPr="00FF603B">
        <w:rPr>
          <w:sz w:val="20"/>
          <w:szCs w:val="20"/>
        </w:rPr>
        <w:t xml:space="preserve"> A data-driven generative strategy to avoid reward hacking in multi-objective molecular design. </w:t>
      </w:r>
      <w:r w:rsidRPr="00FF603B">
        <w:rPr>
          <w:i/>
          <w:iCs/>
          <w:sz w:val="20"/>
          <w:szCs w:val="20"/>
        </w:rPr>
        <w:t>Nat Commun</w:t>
      </w:r>
      <w:r w:rsidRPr="00FF603B">
        <w:rPr>
          <w:sz w:val="20"/>
          <w:szCs w:val="20"/>
        </w:rPr>
        <w:t xml:space="preserve"> </w:t>
      </w:r>
      <w:r w:rsidRPr="00FF603B">
        <w:rPr>
          <w:b/>
          <w:bCs/>
          <w:sz w:val="20"/>
          <w:szCs w:val="20"/>
        </w:rPr>
        <w:t>16</w:t>
      </w:r>
      <w:r w:rsidRPr="00FF603B">
        <w:rPr>
          <w:sz w:val="20"/>
          <w:szCs w:val="20"/>
        </w:rPr>
        <w:t>, 2409 (2025).</w:t>
      </w:r>
    </w:p>
    <w:p w14:paraId="6E7577DE" w14:textId="77777777" w:rsidR="00BF35FF" w:rsidRPr="00FF603B" w:rsidRDefault="00BF35FF" w:rsidP="00BF35FF">
      <w:pPr>
        <w:pStyle w:val="Bibliography"/>
        <w:spacing w:line="276" w:lineRule="auto"/>
        <w:rPr>
          <w:sz w:val="20"/>
          <w:szCs w:val="20"/>
        </w:rPr>
      </w:pPr>
      <w:r w:rsidRPr="00FF603B">
        <w:rPr>
          <w:sz w:val="20"/>
          <w:szCs w:val="20"/>
        </w:rPr>
        <w:t>69.</w:t>
      </w:r>
      <w:r w:rsidRPr="00FF603B">
        <w:rPr>
          <w:sz w:val="20"/>
          <w:szCs w:val="20"/>
        </w:rPr>
        <w:tab/>
        <w:t xml:space="preserve">Van Tilborg, D. &amp; Grisoni, F. Traversing chemical space with active deep learning for low-data drug discovery. </w:t>
      </w:r>
      <w:r w:rsidRPr="00FF603B">
        <w:rPr>
          <w:i/>
          <w:iCs/>
          <w:sz w:val="20"/>
          <w:szCs w:val="20"/>
        </w:rPr>
        <w:t>Nat Comput Sci</w:t>
      </w:r>
      <w:r w:rsidRPr="00FF603B">
        <w:rPr>
          <w:sz w:val="20"/>
          <w:szCs w:val="20"/>
        </w:rPr>
        <w:t xml:space="preserve"> </w:t>
      </w:r>
      <w:r w:rsidRPr="00FF603B">
        <w:rPr>
          <w:b/>
          <w:bCs/>
          <w:sz w:val="20"/>
          <w:szCs w:val="20"/>
        </w:rPr>
        <w:t>4</w:t>
      </w:r>
      <w:r w:rsidRPr="00FF603B">
        <w:rPr>
          <w:sz w:val="20"/>
          <w:szCs w:val="20"/>
        </w:rPr>
        <w:t>, 786–796 (2024).</w:t>
      </w:r>
    </w:p>
    <w:p w14:paraId="2B848014" w14:textId="77777777" w:rsidR="00BF35FF" w:rsidRPr="00FF603B" w:rsidRDefault="00BF35FF" w:rsidP="00BF35FF">
      <w:pPr>
        <w:pStyle w:val="Bibliography"/>
        <w:spacing w:line="276" w:lineRule="auto"/>
        <w:rPr>
          <w:sz w:val="20"/>
          <w:szCs w:val="20"/>
        </w:rPr>
      </w:pPr>
      <w:r w:rsidRPr="00FF603B">
        <w:rPr>
          <w:sz w:val="20"/>
          <w:szCs w:val="20"/>
        </w:rPr>
        <w:t>70.</w:t>
      </w:r>
      <w:r w:rsidRPr="00FF603B">
        <w:rPr>
          <w:sz w:val="20"/>
          <w:szCs w:val="20"/>
        </w:rPr>
        <w:tab/>
        <w:t>Schmidt, S., Schenk, L., Schwinn, L. &amp; Günnemann, S. Joint Out-of-Distribution Filtering and Data Discovery Active Learning. Preprint at https://doi.org/10.48550/ARXIV.2503.02491 (2025).</w:t>
      </w:r>
    </w:p>
    <w:p w14:paraId="15325669" w14:textId="77777777" w:rsidR="00BF35FF" w:rsidRPr="00FF603B" w:rsidRDefault="00BF35FF" w:rsidP="00BF35FF">
      <w:pPr>
        <w:pStyle w:val="Bibliography"/>
        <w:spacing w:line="276" w:lineRule="auto"/>
        <w:rPr>
          <w:sz w:val="20"/>
          <w:szCs w:val="20"/>
        </w:rPr>
      </w:pPr>
      <w:r w:rsidRPr="00FF603B">
        <w:rPr>
          <w:sz w:val="20"/>
          <w:szCs w:val="20"/>
        </w:rPr>
        <w:t>71.</w:t>
      </w:r>
      <w:r w:rsidRPr="00FF603B">
        <w:rPr>
          <w:sz w:val="20"/>
          <w:szCs w:val="20"/>
        </w:rPr>
        <w:tab/>
        <w:t xml:space="preserve">Bemis, G. W. &amp; Murcko, M. A. The Properties of Known Drugs. 1. Molecular Frameworks. </w:t>
      </w:r>
      <w:r w:rsidRPr="00FF603B">
        <w:rPr>
          <w:i/>
          <w:iCs/>
          <w:sz w:val="20"/>
          <w:szCs w:val="20"/>
        </w:rPr>
        <w:t>J. Med. Chem.</w:t>
      </w:r>
      <w:r w:rsidRPr="00FF603B">
        <w:rPr>
          <w:sz w:val="20"/>
          <w:szCs w:val="20"/>
        </w:rPr>
        <w:t xml:space="preserve"> </w:t>
      </w:r>
      <w:r w:rsidRPr="00FF603B">
        <w:rPr>
          <w:b/>
          <w:bCs/>
          <w:sz w:val="20"/>
          <w:szCs w:val="20"/>
        </w:rPr>
        <w:t>39</w:t>
      </w:r>
      <w:r w:rsidRPr="00FF603B">
        <w:rPr>
          <w:sz w:val="20"/>
          <w:szCs w:val="20"/>
        </w:rPr>
        <w:t>, 2887–2893 (1996).</w:t>
      </w:r>
    </w:p>
    <w:p w14:paraId="4729B723" w14:textId="77777777" w:rsidR="00BF35FF" w:rsidRPr="00FF603B" w:rsidRDefault="00BF35FF" w:rsidP="00BF35FF">
      <w:pPr>
        <w:pStyle w:val="Bibliography"/>
        <w:spacing w:line="276" w:lineRule="auto"/>
        <w:rPr>
          <w:sz w:val="20"/>
          <w:szCs w:val="20"/>
        </w:rPr>
      </w:pPr>
      <w:r w:rsidRPr="00FF603B">
        <w:rPr>
          <w:sz w:val="20"/>
          <w:szCs w:val="20"/>
        </w:rPr>
        <w:t>72.</w:t>
      </w:r>
      <w:r w:rsidRPr="00FF603B">
        <w:rPr>
          <w:sz w:val="20"/>
          <w:szCs w:val="20"/>
        </w:rPr>
        <w:tab/>
        <w:t>Landrum, G. RDKit: Open-source cheminformatics. (2006).</w:t>
      </w:r>
    </w:p>
    <w:p w14:paraId="26638E03" w14:textId="77777777" w:rsidR="00BF35FF" w:rsidRPr="00FF603B" w:rsidRDefault="00BF35FF" w:rsidP="00BF35FF">
      <w:pPr>
        <w:pStyle w:val="Bibliography"/>
        <w:spacing w:line="276" w:lineRule="auto"/>
        <w:rPr>
          <w:sz w:val="20"/>
          <w:szCs w:val="20"/>
        </w:rPr>
      </w:pPr>
      <w:r w:rsidRPr="00FF603B">
        <w:rPr>
          <w:sz w:val="20"/>
          <w:szCs w:val="20"/>
        </w:rPr>
        <w:t>73.</w:t>
      </w:r>
      <w:r w:rsidRPr="00FF603B">
        <w:rPr>
          <w:sz w:val="20"/>
          <w:szCs w:val="20"/>
        </w:rPr>
        <w:tab/>
        <w:t xml:space="preserve">Bemis, G. W. &amp; Murcko, M. A. The Properties of Known Drugs. 1. Molecular Frameworks. </w:t>
      </w:r>
      <w:r w:rsidRPr="00FF603B">
        <w:rPr>
          <w:i/>
          <w:iCs/>
          <w:sz w:val="20"/>
          <w:szCs w:val="20"/>
        </w:rPr>
        <w:t>J. Med. Chem.</w:t>
      </w:r>
      <w:r w:rsidRPr="00FF603B">
        <w:rPr>
          <w:sz w:val="20"/>
          <w:szCs w:val="20"/>
        </w:rPr>
        <w:t xml:space="preserve"> </w:t>
      </w:r>
      <w:r w:rsidRPr="00FF603B">
        <w:rPr>
          <w:b/>
          <w:bCs/>
          <w:sz w:val="20"/>
          <w:szCs w:val="20"/>
        </w:rPr>
        <w:t>39</w:t>
      </w:r>
      <w:r w:rsidRPr="00FF603B">
        <w:rPr>
          <w:sz w:val="20"/>
          <w:szCs w:val="20"/>
        </w:rPr>
        <w:t>, 2887–2893 (1996).</w:t>
      </w:r>
    </w:p>
    <w:p w14:paraId="544BC9D4" w14:textId="77777777" w:rsidR="00BF35FF" w:rsidRPr="00FF603B" w:rsidRDefault="00BF35FF" w:rsidP="00BF35FF">
      <w:pPr>
        <w:pStyle w:val="Bibliography"/>
        <w:spacing w:line="276" w:lineRule="auto"/>
        <w:rPr>
          <w:sz w:val="20"/>
          <w:szCs w:val="20"/>
        </w:rPr>
      </w:pPr>
      <w:r w:rsidRPr="00FF603B">
        <w:rPr>
          <w:sz w:val="20"/>
          <w:szCs w:val="20"/>
        </w:rPr>
        <w:t>74.</w:t>
      </w:r>
      <w:r w:rsidRPr="00FF603B">
        <w:rPr>
          <w:sz w:val="20"/>
          <w:szCs w:val="20"/>
        </w:rPr>
        <w:tab/>
        <w:t xml:space="preserve">Pedregosa, F. </w:t>
      </w:r>
      <w:r w:rsidRPr="00FF603B">
        <w:rPr>
          <w:i/>
          <w:iCs/>
          <w:sz w:val="20"/>
          <w:szCs w:val="20"/>
        </w:rPr>
        <w:t>et al.</w:t>
      </w:r>
      <w:r w:rsidRPr="00FF603B">
        <w:rPr>
          <w:sz w:val="20"/>
          <w:szCs w:val="20"/>
        </w:rPr>
        <w:t xml:space="preserve"> Scikit-learn: Machine Learning in Python. (2012) doi:10.48550/ARXIV.1201.0490.</w:t>
      </w:r>
    </w:p>
    <w:p w14:paraId="7A8AA174" w14:textId="77777777" w:rsidR="00BF35FF" w:rsidRPr="00FF603B" w:rsidRDefault="00BF35FF" w:rsidP="00BF35FF">
      <w:pPr>
        <w:pStyle w:val="Bibliography"/>
        <w:spacing w:line="276" w:lineRule="auto"/>
        <w:rPr>
          <w:sz w:val="20"/>
          <w:szCs w:val="20"/>
        </w:rPr>
      </w:pPr>
      <w:r w:rsidRPr="00FF603B">
        <w:rPr>
          <w:sz w:val="20"/>
          <w:szCs w:val="20"/>
        </w:rPr>
        <w:t>75.</w:t>
      </w:r>
      <w:r w:rsidRPr="00FF603B">
        <w:rPr>
          <w:sz w:val="20"/>
          <w:szCs w:val="20"/>
        </w:rPr>
        <w:tab/>
        <w:t xml:space="preserve">Satopaa, V., Albrecht, J., Irwin, D. &amp; Raghavan, B. Finding a ‘Kneedle’ in a Haystack: Detecting Knee Points in System Behavior. in </w:t>
      </w:r>
      <w:r w:rsidRPr="00FF603B">
        <w:rPr>
          <w:i/>
          <w:iCs/>
          <w:sz w:val="20"/>
          <w:szCs w:val="20"/>
        </w:rPr>
        <w:t>2011 31st International Conference on Distributed Computing Systems Workshops</w:t>
      </w:r>
      <w:r w:rsidRPr="00FF603B">
        <w:rPr>
          <w:sz w:val="20"/>
          <w:szCs w:val="20"/>
        </w:rPr>
        <w:t xml:space="preserve"> 166–171 (IEEE, Minneapolis, MN, USA, 2011). doi:10.1109/ICDCSW.2011.20.</w:t>
      </w:r>
    </w:p>
    <w:p w14:paraId="3360DE5F" w14:textId="77777777" w:rsidR="00BF35FF" w:rsidRPr="00FF603B" w:rsidRDefault="00BF35FF" w:rsidP="00BF35FF">
      <w:pPr>
        <w:pStyle w:val="Bibliography"/>
        <w:spacing w:line="276" w:lineRule="auto"/>
        <w:rPr>
          <w:sz w:val="20"/>
          <w:szCs w:val="20"/>
        </w:rPr>
      </w:pPr>
      <w:r w:rsidRPr="00FF603B">
        <w:rPr>
          <w:sz w:val="20"/>
          <w:szCs w:val="20"/>
        </w:rPr>
        <w:t>76.</w:t>
      </w:r>
      <w:r w:rsidRPr="00FF603B">
        <w:rPr>
          <w:sz w:val="20"/>
          <w:szCs w:val="20"/>
        </w:rPr>
        <w:tab/>
        <w:t xml:space="preserve">Bertz, S. H. The first general index of molecular complexity. </w:t>
      </w:r>
      <w:r w:rsidRPr="00FF603B">
        <w:rPr>
          <w:i/>
          <w:iCs/>
          <w:sz w:val="20"/>
          <w:szCs w:val="20"/>
        </w:rPr>
        <w:t>J. Am. Chem. Soc.</w:t>
      </w:r>
      <w:r w:rsidRPr="00FF603B">
        <w:rPr>
          <w:sz w:val="20"/>
          <w:szCs w:val="20"/>
        </w:rPr>
        <w:t xml:space="preserve"> </w:t>
      </w:r>
      <w:r w:rsidRPr="00FF603B">
        <w:rPr>
          <w:b/>
          <w:bCs/>
          <w:sz w:val="20"/>
          <w:szCs w:val="20"/>
        </w:rPr>
        <w:t>103</w:t>
      </w:r>
      <w:r w:rsidRPr="00FF603B">
        <w:rPr>
          <w:sz w:val="20"/>
          <w:szCs w:val="20"/>
        </w:rPr>
        <w:t>, 3599–3601 (1981).</w:t>
      </w:r>
    </w:p>
    <w:p w14:paraId="263FA653" w14:textId="77777777" w:rsidR="00BF35FF" w:rsidRPr="00FF603B" w:rsidRDefault="00BF35FF" w:rsidP="00BF35FF">
      <w:pPr>
        <w:pStyle w:val="Bibliography"/>
        <w:spacing w:line="276" w:lineRule="auto"/>
        <w:rPr>
          <w:sz w:val="20"/>
          <w:szCs w:val="20"/>
        </w:rPr>
      </w:pPr>
      <w:r w:rsidRPr="00FF603B">
        <w:rPr>
          <w:sz w:val="20"/>
          <w:szCs w:val="20"/>
        </w:rPr>
        <w:t>77.</w:t>
      </w:r>
      <w:r w:rsidRPr="00FF603B">
        <w:rPr>
          <w:sz w:val="20"/>
          <w:szCs w:val="20"/>
        </w:rPr>
        <w:tab/>
        <w:t xml:space="preserve">Böttcher, T. An Additive Definition of Molecular Complexity. </w:t>
      </w:r>
      <w:r w:rsidRPr="00FF603B">
        <w:rPr>
          <w:i/>
          <w:iCs/>
          <w:sz w:val="20"/>
          <w:szCs w:val="20"/>
        </w:rPr>
        <w:t>J. Chem. Inf. Model.</w:t>
      </w:r>
      <w:r w:rsidRPr="00FF603B">
        <w:rPr>
          <w:sz w:val="20"/>
          <w:szCs w:val="20"/>
        </w:rPr>
        <w:t xml:space="preserve"> </w:t>
      </w:r>
      <w:r w:rsidRPr="00FF603B">
        <w:rPr>
          <w:b/>
          <w:bCs/>
          <w:sz w:val="20"/>
          <w:szCs w:val="20"/>
        </w:rPr>
        <w:t>56</w:t>
      </w:r>
      <w:r w:rsidRPr="00FF603B">
        <w:rPr>
          <w:sz w:val="20"/>
          <w:szCs w:val="20"/>
        </w:rPr>
        <w:t>, 462–470 (2016).</w:t>
      </w:r>
    </w:p>
    <w:p w14:paraId="72DC8063" w14:textId="77777777" w:rsidR="00BF35FF" w:rsidRPr="00FF603B" w:rsidRDefault="00BF35FF" w:rsidP="00BF35FF">
      <w:pPr>
        <w:pStyle w:val="Bibliography"/>
        <w:spacing w:line="276" w:lineRule="auto"/>
        <w:rPr>
          <w:sz w:val="20"/>
          <w:szCs w:val="20"/>
        </w:rPr>
      </w:pPr>
      <w:r w:rsidRPr="00FF603B">
        <w:rPr>
          <w:sz w:val="20"/>
          <w:szCs w:val="20"/>
        </w:rPr>
        <w:t>78.</w:t>
      </w:r>
      <w:r w:rsidRPr="00FF603B">
        <w:rPr>
          <w:sz w:val="20"/>
          <w:szCs w:val="20"/>
        </w:rPr>
        <w:tab/>
        <w:t xml:space="preserve">Bonchev, D., Mekenyan, O. V. &amp; Trinajstić, N. Isomer discrimination by topological information approach. </w:t>
      </w:r>
      <w:r w:rsidRPr="00FF603B">
        <w:rPr>
          <w:i/>
          <w:iCs/>
          <w:sz w:val="20"/>
          <w:szCs w:val="20"/>
        </w:rPr>
        <w:t>J Comput Chem</w:t>
      </w:r>
      <w:r w:rsidRPr="00FF603B">
        <w:rPr>
          <w:sz w:val="20"/>
          <w:szCs w:val="20"/>
        </w:rPr>
        <w:t xml:space="preserve"> </w:t>
      </w:r>
      <w:r w:rsidRPr="00FF603B">
        <w:rPr>
          <w:b/>
          <w:bCs/>
          <w:sz w:val="20"/>
          <w:szCs w:val="20"/>
        </w:rPr>
        <w:t>2</w:t>
      </w:r>
      <w:r w:rsidRPr="00FF603B">
        <w:rPr>
          <w:sz w:val="20"/>
          <w:szCs w:val="20"/>
        </w:rPr>
        <w:t>, 127–148 (1981).</w:t>
      </w:r>
    </w:p>
    <w:p w14:paraId="103645B0" w14:textId="77777777" w:rsidR="00BF35FF" w:rsidRPr="00FF603B" w:rsidRDefault="00BF35FF" w:rsidP="00BF35FF">
      <w:pPr>
        <w:pStyle w:val="Bibliography"/>
        <w:spacing w:line="276" w:lineRule="auto"/>
        <w:rPr>
          <w:sz w:val="20"/>
          <w:szCs w:val="20"/>
        </w:rPr>
      </w:pPr>
      <w:r w:rsidRPr="00FF603B">
        <w:rPr>
          <w:sz w:val="20"/>
          <w:szCs w:val="20"/>
        </w:rPr>
        <w:lastRenderedPageBreak/>
        <w:t>79.</w:t>
      </w:r>
      <w:r w:rsidRPr="00FF603B">
        <w:rPr>
          <w:sz w:val="20"/>
          <w:szCs w:val="20"/>
        </w:rPr>
        <w:tab/>
        <w:t xml:space="preserve">Kipf, T. N. &amp; Welling, M. Variational Graph Auto-Encoders. </w:t>
      </w:r>
      <w:r w:rsidRPr="00FF603B">
        <w:rPr>
          <w:i/>
          <w:iCs/>
          <w:sz w:val="20"/>
          <w:szCs w:val="20"/>
        </w:rPr>
        <w:t>arXiv:1611.07308 [cs, stat]</w:t>
      </w:r>
      <w:r w:rsidRPr="00FF603B">
        <w:rPr>
          <w:sz w:val="20"/>
          <w:szCs w:val="20"/>
        </w:rPr>
        <w:t xml:space="preserve"> (2016).</w:t>
      </w:r>
    </w:p>
    <w:p w14:paraId="0F513595" w14:textId="11EAA6C5" w:rsidR="00BF35FF" w:rsidRPr="00FF603B" w:rsidRDefault="00BF35FF" w:rsidP="00BF35FF">
      <w:pPr>
        <w:rPr>
          <w:lang w:val="en-US"/>
        </w:rPr>
      </w:pPr>
      <w:r w:rsidRPr="00FF603B">
        <w:rPr>
          <w:sz w:val="20"/>
          <w:szCs w:val="20"/>
          <w:lang w:val="en-US"/>
        </w:rPr>
        <w:fldChar w:fldCharType="end"/>
      </w:r>
    </w:p>
    <w:sectPr w:rsidR="00BF35FF" w:rsidRPr="00FF603B"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8DC1D" w14:textId="77777777" w:rsidR="00954E3C" w:rsidRDefault="00954E3C" w:rsidP="00A32451">
      <w:r>
        <w:separator/>
      </w:r>
    </w:p>
  </w:endnote>
  <w:endnote w:type="continuationSeparator" w:id="0">
    <w:p w14:paraId="26184938" w14:textId="77777777" w:rsidR="00954E3C" w:rsidRDefault="00954E3C"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D2C60" w14:textId="77777777" w:rsidR="00954E3C" w:rsidRDefault="00954E3C" w:rsidP="00A32451">
      <w:r>
        <w:separator/>
      </w:r>
    </w:p>
  </w:footnote>
  <w:footnote w:type="continuationSeparator" w:id="0">
    <w:p w14:paraId="51CA624F" w14:textId="77777777" w:rsidR="00954E3C" w:rsidRDefault="00954E3C"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5593D29"/>
    <w:multiLevelType w:val="multilevel"/>
    <w:tmpl w:val="33A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214C1FF7"/>
    <w:multiLevelType w:val="multilevel"/>
    <w:tmpl w:val="E9D2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45BB5"/>
    <w:multiLevelType w:val="multilevel"/>
    <w:tmpl w:val="05CE1CF2"/>
    <w:styleLink w:val="CurrentList8"/>
    <w:lvl w:ilvl="0">
      <w:start w:val="1"/>
      <w:numFmt w:val="decimal"/>
      <w:lvlText w:val="%1."/>
      <w:lvlJc w:val="left"/>
      <w:pPr>
        <w:ind w:left="45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5D73A8"/>
    <w:multiLevelType w:val="hybridMultilevel"/>
    <w:tmpl w:val="DBEC9B0A"/>
    <w:lvl w:ilvl="0" w:tplc="0896C6E0">
      <w:start w:val="1"/>
      <w:numFmt w:val="decimal"/>
      <w:lvlText w:val="%1."/>
      <w:lvlJc w:val="left"/>
      <w:pPr>
        <w:ind w:left="454" w:hanging="341"/>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381E24"/>
    <w:multiLevelType w:val="hybridMultilevel"/>
    <w:tmpl w:val="EAAE9A96"/>
    <w:lvl w:ilvl="0" w:tplc="918045A2">
      <w:start w:val="1"/>
      <w:numFmt w:val="decimal"/>
      <w:lvlText w:val="%1."/>
      <w:lvlJc w:val="left"/>
      <w:pPr>
        <w:ind w:left="340" w:hanging="283"/>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4D545A"/>
    <w:multiLevelType w:val="multilevel"/>
    <w:tmpl w:val="9E52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2A20EF"/>
    <w:multiLevelType w:val="multilevel"/>
    <w:tmpl w:val="A2AE69F6"/>
    <w:styleLink w:val="CurrentList9"/>
    <w:lvl w:ilvl="0">
      <w:start w:val="1"/>
      <w:numFmt w:val="decimal"/>
      <w:lvlText w:val="%1."/>
      <w:lvlJc w:val="left"/>
      <w:pPr>
        <w:ind w:left="340" w:hanging="22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9336130"/>
    <w:multiLevelType w:val="multilevel"/>
    <w:tmpl w:val="6442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172F98"/>
    <w:multiLevelType w:val="multilevel"/>
    <w:tmpl w:val="710AF0EA"/>
    <w:styleLink w:val="CurrentList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1FD26FD"/>
    <w:multiLevelType w:val="hybridMultilevel"/>
    <w:tmpl w:val="96BE8C32"/>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52CF17E9"/>
    <w:multiLevelType w:val="multilevel"/>
    <w:tmpl w:val="B0FAD884"/>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D132B5"/>
    <w:multiLevelType w:val="multilevel"/>
    <w:tmpl w:val="02A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3A05E3"/>
    <w:multiLevelType w:val="hybridMultilevel"/>
    <w:tmpl w:val="B77E0358"/>
    <w:lvl w:ilvl="0" w:tplc="C5D060A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6" w15:restartNumberingAfterBreak="0">
    <w:nsid w:val="54BA2A1F"/>
    <w:multiLevelType w:val="multilevel"/>
    <w:tmpl w:val="0ABAC2A6"/>
    <w:styleLink w:val="CurrentList7"/>
    <w:lvl w:ilvl="0">
      <w:start w:val="1"/>
      <w:numFmt w:val="decimal"/>
      <w:lvlText w:val="%1."/>
      <w:lvlJc w:val="left"/>
      <w:pPr>
        <w:ind w:left="720" w:hanging="55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F1905D1"/>
    <w:multiLevelType w:val="hybridMultilevel"/>
    <w:tmpl w:val="AD0C1C1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8C100C2"/>
    <w:multiLevelType w:val="hybridMultilevel"/>
    <w:tmpl w:val="6DDC0690"/>
    <w:lvl w:ilvl="0" w:tplc="CE4CCF6C">
      <w:start w:val="7"/>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B83DC7"/>
    <w:multiLevelType w:val="multilevel"/>
    <w:tmpl w:val="8442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381E55"/>
    <w:multiLevelType w:val="multilevel"/>
    <w:tmpl w:val="0A3CDF52"/>
    <w:styleLink w:val="CurrentList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E5C5107"/>
    <w:multiLevelType w:val="hybridMultilevel"/>
    <w:tmpl w:val="DC646E14"/>
    <w:lvl w:ilvl="0" w:tplc="CE4CCF6C">
      <w:start w:val="7"/>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329447">
    <w:abstractNumId w:val="3"/>
  </w:num>
  <w:num w:numId="2" w16cid:durableId="1834565719">
    <w:abstractNumId w:val="0"/>
  </w:num>
  <w:num w:numId="3" w16cid:durableId="2140105849">
    <w:abstractNumId w:val="1"/>
  </w:num>
  <w:num w:numId="4" w16cid:durableId="950092304">
    <w:abstractNumId w:val="7"/>
  </w:num>
  <w:num w:numId="5" w16cid:durableId="1607080219">
    <w:abstractNumId w:val="12"/>
  </w:num>
  <w:num w:numId="6" w16cid:durableId="690496764">
    <w:abstractNumId w:val="11"/>
  </w:num>
  <w:num w:numId="7" w16cid:durableId="1243947323">
    <w:abstractNumId w:val="20"/>
  </w:num>
  <w:num w:numId="8" w16cid:durableId="1244215371">
    <w:abstractNumId w:val="6"/>
  </w:num>
  <w:num w:numId="9" w16cid:durableId="155808313">
    <w:abstractNumId w:val="13"/>
  </w:num>
  <w:num w:numId="10" w16cid:durableId="693582706">
    <w:abstractNumId w:val="16"/>
  </w:num>
  <w:num w:numId="11" w16cid:durableId="137722251">
    <w:abstractNumId w:val="5"/>
  </w:num>
  <w:num w:numId="12" w16cid:durableId="637077321">
    <w:abstractNumId w:val="9"/>
  </w:num>
  <w:num w:numId="13" w16cid:durableId="809784084">
    <w:abstractNumId w:val="15"/>
  </w:num>
  <w:num w:numId="14" w16cid:durableId="1062215844">
    <w:abstractNumId w:val="21"/>
  </w:num>
  <w:num w:numId="15" w16cid:durableId="1680738544">
    <w:abstractNumId w:val="4"/>
  </w:num>
  <w:num w:numId="16" w16cid:durableId="477501262">
    <w:abstractNumId w:val="10"/>
  </w:num>
  <w:num w:numId="17" w16cid:durableId="1783763539">
    <w:abstractNumId w:val="19"/>
  </w:num>
  <w:num w:numId="18" w16cid:durableId="955789345">
    <w:abstractNumId w:val="2"/>
  </w:num>
  <w:num w:numId="19" w16cid:durableId="1507668533">
    <w:abstractNumId w:val="8"/>
  </w:num>
  <w:num w:numId="20" w16cid:durableId="110245507">
    <w:abstractNumId w:val="14"/>
  </w:num>
  <w:num w:numId="21" w16cid:durableId="1287465128">
    <w:abstractNumId w:val="18"/>
  </w:num>
  <w:num w:numId="22" w16cid:durableId="1598321937">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27387"/>
    <w:rsid w:val="000356AA"/>
    <w:rsid w:val="00047ACC"/>
    <w:rsid w:val="00051DF4"/>
    <w:rsid w:val="0005381C"/>
    <w:rsid w:val="00060F72"/>
    <w:rsid w:val="00066CAC"/>
    <w:rsid w:val="00074E6A"/>
    <w:rsid w:val="00087411"/>
    <w:rsid w:val="00091FDA"/>
    <w:rsid w:val="000A3D6B"/>
    <w:rsid w:val="000A7561"/>
    <w:rsid w:val="000D0568"/>
    <w:rsid w:val="000E46B0"/>
    <w:rsid w:val="000E7A4E"/>
    <w:rsid w:val="000F377A"/>
    <w:rsid w:val="000F46E7"/>
    <w:rsid w:val="000F7FF3"/>
    <w:rsid w:val="001152EE"/>
    <w:rsid w:val="001236E7"/>
    <w:rsid w:val="00144667"/>
    <w:rsid w:val="0015522D"/>
    <w:rsid w:val="001573C3"/>
    <w:rsid w:val="00165F5F"/>
    <w:rsid w:val="00171FED"/>
    <w:rsid w:val="0017440B"/>
    <w:rsid w:val="00174ADD"/>
    <w:rsid w:val="001757E3"/>
    <w:rsid w:val="00187D05"/>
    <w:rsid w:val="00193DB3"/>
    <w:rsid w:val="00194DCF"/>
    <w:rsid w:val="001B7279"/>
    <w:rsid w:val="001C1AD2"/>
    <w:rsid w:val="001C6A15"/>
    <w:rsid w:val="001E0AED"/>
    <w:rsid w:val="001E24B3"/>
    <w:rsid w:val="001E4562"/>
    <w:rsid w:val="00203057"/>
    <w:rsid w:val="00215FB7"/>
    <w:rsid w:val="00217857"/>
    <w:rsid w:val="002266C3"/>
    <w:rsid w:val="00232D39"/>
    <w:rsid w:val="00235AC6"/>
    <w:rsid w:val="00242B36"/>
    <w:rsid w:val="0024335B"/>
    <w:rsid w:val="00253655"/>
    <w:rsid w:val="00276640"/>
    <w:rsid w:val="002774E2"/>
    <w:rsid w:val="00286D47"/>
    <w:rsid w:val="00297FB4"/>
    <w:rsid w:val="002A589A"/>
    <w:rsid w:val="002A6CB9"/>
    <w:rsid w:val="002B5302"/>
    <w:rsid w:val="002C0AEA"/>
    <w:rsid w:val="002C4086"/>
    <w:rsid w:val="002D2D1B"/>
    <w:rsid w:val="002D598C"/>
    <w:rsid w:val="002E6464"/>
    <w:rsid w:val="002F1068"/>
    <w:rsid w:val="002F3C7F"/>
    <w:rsid w:val="003147EB"/>
    <w:rsid w:val="0031545D"/>
    <w:rsid w:val="00322E38"/>
    <w:rsid w:val="00340AA4"/>
    <w:rsid w:val="003617B9"/>
    <w:rsid w:val="003732F6"/>
    <w:rsid w:val="00381829"/>
    <w:rsid w:val="00382FAE"/>
    <w:rsid w:val="003A1F1D"/>
    <w:rsid w:val="003B0DE4"/>
    <w:rsid w:val="003B1434"/>
    <w:rsid w:val="003B3995"/>
    <w:rsid w:val="003D26E3"/>
    <w:rsid w:val="003D2EB6"/>
    <w:rsid w:val="003F2FA1"/>
    <w:rsid w:val="00411236"/>
    <w:rsid w:val="00415387"/>
    <w:rsid w:val="0042245E"/>
    <w:rsid w:val="00442E83"/>
    <w:rsid w:val="0044550E"/>
    <w:rsid w:val="00450E14"/>
    <w:rsid w:val="004512DC"/>
    <w:rsid w:val="0047058F"/>
    <w:rsid w:val="00474C7B"/>
    <w:rsid w:val="00485C97"/>
    <w:rsid w:val="00487910"/>
    <w:rsid w:val="00491D79"/>
    <w:rsid w:val="0049228C"/>
    <w:rsid w:val="004963D3"/>
    <w:rsid w:val="004A2769"/>
    <w:rsid w:val="004A57D2"/>
    <w:rsid w:val="004A680C"/>
    <w:rsid w:val="004A6E0E"/>
    <w:rsid w:val="004A7B7C"/>
    <w:rsid w:val="004C27D6"/>
    <w:rsid w:val="004C2B6A"/>
    <w:rsid w:val="004D3F84"/>
    <w:rsid w:val="004E5543"/>
    <w:rsid w:val="0050056E"/>
    <w:rsid w:val="005025D6"/>
    <w:rsid w:val="00510D77"/>
    <w:rsid w:val="005352BC"/>
    <w:rsid w:val="0053608B"/>
    <w:rsid w:val="00542F98"/>
    <w:rsid w:val="005451E8"/>
    <w:rsid w:val="005470D9"/>
    <w:rsid w:val="00563777"/>
    <w:rsid w:val="00567840"/>
    <w:rsid w:val="00572173"/>
    <w:rsid w:val="00581A75"/>
    <w:rsid w:val="00584B23"/>
    <w:rsid w:val="00587FA9"/>
    <w:rsid w:val="005926B7"/>
    <w:rsid w:val="005A317A"/>
    <w:rsid w:val="005B21A8"/>
    <w:rsid w:val="005C60B3"/>
    <w:rsid w:val="005D291D"/>
    <w:rsid w:val="005D31EC"/>
    <w:rsid w:val="005E72D2"/>
    <w:rsid w:val="005F2C46"/>
    <w:rsid w:val="005F5797"/>
    <w:rsid w:val="006059B5"/>
    <w:rsid w:val="00612A4D"/>
    <w:rsid w:val="00613295"/>
    <w:rsid w:val="00620C5C"/>
    <w:rsid w:val="00645E4A"/>
    <w:rsid w:val="00655BED"/>
    <w:rsid w:val="006612A8"/>
    <w:rsid w:val="00666BCD"/>
    <w:rsid w:val="00675F21"/>
    <w:rsid w:val="0068009E"/>
    <w:rsid w:val="00696FF5"/>
    <w:rsid w:val="006D76B8"/>
    <w:rsid w:val="006F6EBC"/>
    <w:rsid w:val="007057F6"/>
    <w:rsid w:val="00742074"/>
    <w:rsid w:val="00743E3D"/>
    <w:rsid w:val="00756631"/>
    <w:rsid w:val="00762B9C"/>
    <w:rsid w:val="00775AFF"/>
    <w:rsid w:val="00777D8E"/>
    <w:rsid w:val="007816CC"/>
    <w:rsid w:val="00784AEE"/>
    <w:rsid w:val="00784F11"/>
    <w:rsid w:val="0078648F"/>
    <w:rsid w:val="0079280C"/>
    <w:rsid w:val="00793F88"/>
    <w:rsid w:val="00797B13"/>
    <w:rsid w:val="007A1ABB"/>
    <w:rsid w:val="007A5B1E"/>
    <w:rsid w:val="007B0B8D"/>
    <w:rsid w:val="007C4632"/>
    <w:rsid w:val="007D3407"/>
    <w:rsid w:val="007D62D1"/>
    <w:rsid w:val="007F0740"/>
    <w:rsid w:val="00812378"/>
    <w:rsid w:val="008241FD"/>
    <w:rsid w:val="00845252"/>
    <w:rsid w:val="00852C94"/>
    <w:rsid w:val="0085499E"/>
    <w:rsid w:val="008726E3"/>
    <w:rsid w:val="00875893"/>
    <w:rsid w:val="008825C1"/>
    <w:rsid w:val="00883076"/>
    <w:rsid w:val="0088590B"/>
    <w:rsid w:val="008A1404"/>
    <w:rsid w:val="008B19DC"/>
    <w:rsid w:val="008B1F73"/>
    <w:rsid w:val="008B2813"/>
    <w:rsid w:val="008B5C17"/>
    <w:rsid w:val="008C1998"/>
    <w:rsid w:val="008C6894"/>
    <w:rsid w:val="008D5589"/>
    <w:rsid w:val="008E325B"/>
    <w:rsid w:val="008E5299"/>
    <w:rsid w:val="008E5A69"/>
    <w:rsid w:val="008F42C4"/>
    <w:rsid w:val="008F5B47"/>
    <w:rsid w:val="008F7A30"/>
    <w:rsid w:val="009012A0"/>
    <w:rsid w:val="00906D1B"/>
    <w:rsid w:val="00916CF6"/>
    <w:rsid w:val="00920EC7"/>
    <w:rsid w:val="00923A46"/>
    <w:rsid w:val="009413FD"/>
    <w:rsid w:val="00943B08"/>
    <w:rsid w:val="00945DA1"/>
    <w:rsid w:val="00951B24"/>
    <w:rsid w:val="00953FCF"/>
    <w:rsid w:val="00954E3C"/>
    <w:rsid w:val="00963AD0"/>
    <w:rsid w:val="00964ED1"/>
    <w:rsid w:val="00971945"/>
    <w:rsid w:val="00974070"/>
    <w:rsid w:val="009756BE"/>
    <w:rsid w:val="009764CF"/>
    <w:rsid w:val="009903DC"/>
    <w:rsid w:val="009A0138"/>
    <w:rsid w:val="009B4EAC"/>
    <w:rsid w:val="009B623B"/>
    <w:rsid w:val="009C0E8E"/>
    <w:rsid w:val="009C33B7"/>
    <w:rsid w:val="009E3FDC"/>
    <w:rsid w:val="009F063E"/>
    <w:rsid w:val="009F6EE3"/>
    <w:rsid w:val="00A06995"/>
    <w:rsid w:val="00A32451"/>
    <w:rsid w:val="00A3327A"/>
    <w:rsid w:val="00A53BAD"/>
    <w:rsid w:val="00A607FA"/>
    <w:rsid w:val="00A92B57"/>
    <w:rsid w:val="00A935B8"/>
    <w:rsid w:val="00A93F25"/>
    <w:rsid w:val="00A94076"/>
    <w:rsid w:val="00AA5C75"/>
    <w:rsid w:val="00AA71CB"/>
    <w:rsid w:val="00AD0FD5"/>
    <w:rsid w:val="00B007C1"/>
    <w:rsid w:val="00B01EDE"/>
    <w:rsid w:val="00B057EE"/>
    <w:rsid w:val="00B125C2"/>
    <w:rsid w:val="00B16747"/>
    <w:rsid w:val="00B24799"/>
    <w:rsid w:val="00B27ED5"/>
    <w:rsid w:val="00B51DB3"/>
    <w:rsid w:val="00B55A6F"/>
    <w:rsid w:val="00B71C38"/>
    <w:rsid w:val="00B71E27"/>
    <w:rsid w:val="00B7217F"/>
    <w:rsid w:val="00B84511"/>
    <w:rsid w:val="00BA47D0"/>
    <w:rsid w:val="00BB1070"/>
    <w:rsid w:val="00BB40FC"/>
    <w:rsid w:val="00BD3EAE"/>
    <w:rsid w:val="00BE70FF"/>
    <w:rsid w:val="00BE76FF"/>
    <w:rsid w:val="00BF35FF"/>
    <w:rsid w:val="00C12599"/>
    <w:rsid w:val="00C14D72"/>
    <w:rsid w:val="00C168BE"/>
    <w:rsid w:val="00C308CA"/>
    <w:rsid w:val="00C314A0"/>
    <w:rsid w:val="00C44614"/>
    <w:rsid w:val="00C556DC"/>
    <w:rsid w:val="00C57984"/>
    <w:rsid w:val="00C841B4"/>
    <w:rsid w:val="00C87140"/>
    <w:rsid w:val="00C94E54"/>
    <w:rsid w:val="00C95226"/>
    <w:rsid w:val="00CA2F5F"/>
    <w:rsid w:val="00CB5336"/>
    <w:rsid w:val="00CC36E0"/>
    <w:rsid w:val="00CD2ED5"/>
    <w:rsid w:val="00CD7ECB"/>
    <w:rsid w:val="00CE17F9"/>
    <w:rsid w:val="00CE54AA"/>
    <w:rsid w:val="00CE55AC"/>
    <w:rsid w:val="00CF0EE2"/>
    <w:rsid w:val="00CF538D"/>
    <w:rsid w:val="00D15684"/>
    <w:rsid w:val="00D20642"/>
    <w:rsid w:val="00D50E0C"/>
    <w:rsid w:val="00D65BE4"/>
    <w:rsid w:val="00D66FC2"/>
    <w:rsid w:val="00D74BD6"/>
    <w:rsid w:val="00D7673B"/>
    <w:rsid w:val="00D775C7"/>
    <w:rsid w:val="00D81AB0"/>
    <w:rsid w:val="00D83165"/>
    <w:rsid w:val="00D83853"/>
    <w:rsid w:val="00D92371"/>
    <w:rsid w:val="00DB0AAD"/>
    <w:rsid w:val="00DC2EB4"/>
    <w:rsid w:val="00DC77EC"/>
    <w:rsid w:val="00DD2E49"/>
    <w:rsid w:val="00DD2FA1"/>
    <w:rsid w:val="00DE0AFE"/>
    <w:rsid w:val="00DF202F"/>
    <w:rsid w:val="00DF2B17"/>
    <w:rsid w:val="00DF5018"/>
    <w:rsid w:val="00DF6E6A"/>
    <w:rsid w:val="00E07B34"/>
    <w:rsid w:val="00E1716B"/>
    <w:rsid w:val="00E3612E"/>
    <w:rsid w:val="00E36D66"/>
    <w:rsid w:val="00E418CF"/>
    <w:rsid w:val="00E4230E"/>
    <w:rsid w:val="00E44248"/>
    <w:rsid w:val="00E464A2"/>
    <w:rsid w:val="00E53533"/>
    <w:rsid w:val="00E613C0"/>
    <w:rsid w:val="00E61FA9"/>
    <w:rsid w:val="00E825A5"/>
    <w:rsid w:val="00E84715"/>
    <w:rsid w:val="00EB50D4"/>
    <w:rsid w:val="00EC3799"/>
    <w:rsid w:val="00ED14D7"/>
    <w:rsid w:val="00F04973"/>
    <w:rsid w:val="00F108DF"/>
    <w:rsid w:val="00F13EC3"/>
    <w:rsid w:val="00F3054D"/>
    <w:rsid w:val="00F34AC1"/>
    <w:rsid w:val="00F431A3"/>
    <w:rsid w:val="00F538A4"/>
    <w:rsid w:val="00F60F92"/>
    <w:rsid w:val="00F64011"/>
    <w:rsid w:val="00F87A06"/>
    <w:rsid w:val="00F91B66"/>
    <w:rsid w:val="00F92297"/>
    <w:rsid w:val="00FA4CE7"/>
    <w:rsid w:val="00FC79A3"/>
    <w:rsid w:val="00FF4A49"/>
    <w:rsid w:val="00FF6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
      </w:numPr>
    </w:pPr>
  </w:style>
  <w:style w:type="numbering" w:customStyle="1" w:styleId="CurrentList3">
    <w:name w:val="Current List3"/>
    <w:uiPriority w:val="99"/>
    <w:rsid w:val="009413FD"/>
    <w:pPr>
      <w:numPr>
        <w:numId w:val="3"/>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character" w:customStyle="1" w:styleId="mord">
    <w:name w:val="mord"/>
    <w:basedOn w:val="DefaultParagraphFont"/>
    <w:rsid w:val="00BE76FF"/>
  </w:style>
  <w:style w:type="paragraph" w:customStyle="1" w:styleId="msonormal0">
    <w:name w:val="msonormal"/>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paragraph" w:customStyle="1" w:styleId="paragraph">
    <w:name w:val="paragraph"/>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character" w:customStyle="1" w:styleId="textrun">
    <w:name w:val="textrun"/>
    <w:basedOn w:val="DefaultParagraphFont"/>
    <w:rsid w:val="00BE76FF"/>
  </w:style>
  <w:style w:type="character" w:customStyle="1" w:styleId="fieldrange">
    <w:name w:val="fieldrange"/>
    <w:basedOn w:val="DefaultParagraphFont"/>
    <w:rsid w:val="00BE76FF"/>
  </w:style>
  <w:style w:type="character" w:customStyle="1" w:styleId="trackchangetextdeletionmarker">
    <w:name w:val="trackchangetextdeletionmarker"/>
    <w:basedOn w:val="DefaultParagraphFont"/>
    <w:rsid w:val="00BE76FF"/>
  </w:style>
  <w:style w:type="character" w:customStyle="1" w:styleId="trackchangetextinsertion">
    <w:name w:val="trackchangetextinsertion"/>
    <w:basedOn w:val="DefaultParagraphFont"/>
    <w:rsid w:val="00BE76FF"/>
  </w:style>
  <w:style w:type="character" w:customStyle="1" w:styleId="mathequationcontainer">
    <w:name w:val="mathequationcontainer"/>
    <w:basedOn w:val="DefaultParagraphFont"/>
    <w:rsid w:val="00BE76FF"/>
  </w:style>
  <w:style w:type="character" w:customStyle="1" w:styleId="equationplaceholdertext">
    <w:name w:val="equationplaceholdertext"/>
    <w:basedOn w:val="DefaultParagraphFont"/>
    <w:rsid w:val="00BE76FF"/>
  </w:style>
  <w:style w:type="character" w:customStyle="1" w:styleId="linebreakblob">
    <w:name w:val="linebreakblob"/>
    <w:basedOn w:val="DefaultParagraphFont"/>
    <w:rsid w:val="00BE76FF"/>
  </w:style>
  <w:style w:type="character" w:customStyle="1" w:styleId="scxw94447314">
    <w:name w:val="scxw94447314"/>
    <w:basedOn w:val="DefaultParagraphFont"/>
    <w:rsid w:val="00BE76FF"/>
  </w:style>
  <w:style w:type="character" w:customStyle="1" w:styleId="mathspan">
    <w:name w:val="mathspan"/>
    <w:basedOn w:val="DefaultParagraphFont"/>
    <w:rsid w:val="00BE76FF"/>
  </w:style>
  <w:style w:type="character" w:customStyle="1" w:styleId="mathjaxpreview">
    <w:name w:val="mathjax_preview"/>
    <w:basedOn w:val="DefaultParagraphFont"/>
    <w:rsid w:val="00BE76FF"/>
  </w:style>
  <w:style w:type="character" w:customStyle="1" w:styleId="mathjax">
    <w:name w:val="mathjax"/>
    <w:basedOn w:val="DefaultParagraphFont"/>
    <w:rsid w:val="00BE76FF"/>
  </w:style>
  <w:style w:type="character" w:customStyle="1" w:styleId="math">
    <w:name w:val="math"/>
    <w:basedOn w:val="DefaultParagraphFont"/>
    <w:rsid w:val="00BE76FF"/>
  </w:style>
  <w:style w:type="character" w:customStyle="1" w:styleId="mrow">
    <w:name w:val="mrow"/>
    <w:basedOn w:val="DefaultParagraphFont"/>
    <w:rsid w:val="00BE76FF"/>
  </w:style>
  <w:style w:type="character" w:customStyle="1" w:styleId="mi">
    <w:name w:val="mi"/>
    <w:basedOn w:val="DefaultParagraphFont"/>
    <w:rsid w:val="00BE76FF"/>
  </w:style>
  <w:style w:type="character" w:customStyle="1" w:styleId="mjxassistivemathml">
    <w:name w:val="mjx_assistive_mathml"/>
    <w:basedOn w:val="DefaultParagraphFont"/>
    <w:rsid w:val="00BE76FF"/>
  </w:style>
  <w:style w:type="character" w:customStyle="1" w:styleId="mo">
    <w:name w:val="mo"/>
    <w:basedOn w:val="DefaultParagraphFont"/>
    <w:rsid w:val="00BE76FF"/>
  </w:style>
  <w:style w:type="character" w:customStyle="1" w:styleId="mroot">
    <w:name w:val="mroot"/>
    <w:basedOn w:val="DefaultParagraphFont"/>
    <w:rsid w:val="00BE76FF"/>
  </w:style>
  <w:style w:type="character" w:customStyle="1" w:styleId="mfrac">
    <w:name w:val="mfrac"/>
    <w:basedOn w:val="DefaultParagraphFont"/>
    <w:rsid w:val="00BE76FF"/>
  </w:style>
  <w:style w:type="character" w:customStyle="1" w:styleId="msubsup">
    <w:name w:val="msubsup"/>
    <w:basedOn w:val="DefaultParagraphFont"/>
    <w:rsid w:val="00BE76FF"/>
  </w:style>
  <w:style w:type="character" w:customStyle="1" w:styleId="mn">
    <w:name w:val="mn"/>
    <w:basedOn w:val="DefaultParagraphFont"/>
    <w:rsid w:val="00BE76FF"/>
  </w:style>
  <w:style w:type="character" w:customStyle="1" w:styleId="msup">
    <w:name w:val="msup"/>
    <w:basedOn w:val="DefaultParagraphFont"/>
    <w:rsid w:val="00BE76FF"/>
  </w:style>
  <w:style w:type="character" w:customStyle="1" w:styleId="mfenced">
    <w:name w:val="mfenced"/>
    <w:basedOn w:val="DefaultParagraphFont"/>
    <w:rsid w:val="00BE76FF"/>
  </w:style>
  <w:style w:type="character" w:customStyle="1" w:styleId="mover">
    <w:name w:val="mover"/>
    <w:basedOn w:val="DefaultParagraphFont"/>
    <w:rsid w:val="00BE76FF"/>
  </w:style>
  <w:style w:type="character" w:customStyle="1" w:styleId="msub">
    <w:name w:val="msub"/>
    <w:basedOn w:val="DefaultParagraphFont"/>
    <w:rsid w:val="00BE76FF"/>
  </w:style>
  <w:style w:type="character" w:customStyle="1" w:styleId="tabrun">
    <w:name w:val="tabrun"/>
    <w:basedOn w:val="DefaultParagraphFont"/>
    <w:rsid w:val="00BE76FF"/>
  </w:style>
  <w:style w:type="character" w:customStyle="1" w:styleId="tabchar">
    <w:name w:val="tabchar"/>
    <w:basedOn w:val="DefaultParagraphFont"/>
    <w:rsid w:val="00BE76FF"/>
  </w:style>
  <w:style w:type="character" w:customStyle="1" w:styleId="tableaderchars">
    <w:name w:val="tableaderchars"/>
    <w:basedOn w:val="DefaultParagraphFont"/>
    <w:rsid w:val="00BE76FF"/>
  </w:style>
  <w:style w:type="character" w:styleId="Mention">
    <w:name w:val="Mention"/>
    <w:basedOn w:val="DefaultParagraphFont"/>
    <w:uiPriority w:val="99"/>
    <w:unhideWhenUsed/>
    <w:rsid w:val="00BE76FF"/>
    <w:rPr>
      <w:color w:val="2B579A"/>
      <w:shd w:val="clear" w:color="auto" w:fill="E1DFDD"/>
    </w:rPr>
  </w:style>
  <w:style w:type="numbering" w:customStyle="1" w:styleId="CurrentList4">
    <w:name w:val="Current List4"/>
    <w:uiPriority w:val="99"/>
    <w:rsid w:val="00BE76FF"/>
    <w:pPr>
      <w:numPr>
        <w:numId w:val="6"/>
      </w:numPr>
    </w:pPr>
  </w:style>
  <w:style w:type="paragraph" w:customStyle="1" w:styleId="p1">
    <w:name w:val="p1"/>
    <w:basedOn w:val="Normal"/>
    <w:rsid w:val="00BE76FF"/>
    <w:pPr>
      <w:spacing w:line="240" w:lineRule="auto"/>
      <w:jc w:val="left"/>
    </w:pPr>
    <w:rPr>
      <w:rFonts w:ascii=".AppleSystemUIFont" w:eastAsia="Times New Roman" w:hAnsi=".AppleSystemUIFont" w:cs="Times New Roman"/>
      <w:color w:val="0E0E0E"/>
      <w:kern w:val="0"/>
      <w:sz w:val="29"/>
      <w:szCs w:val="29"/>
      <w:lang w:val="en-US" w:eastAsia="en-GB"/>
      <w14:ligatures w14:val="none"/>
    </w:rPr>
  </w:style>
  <w:style w:type="numbering" w:customStyle="1" w:styleId="CurrentList5">
    <w:name w:val="Current List5"/>
    <w:uiPriority w:val="99"/>
    <w:rsid w:val="00BE76FF"/>
    <w:pPr>
      <w:numPr>
        <w:numId w:val="7"/>
      </w:numPr>
    </w:pPr>
  </w:style>
  <w:style w:type="numbering" w:customStyle="1" w:styleId="CurrentList6">
    <w:name w:val="Current List6"/>
    <w:uiPriority w:val="99"/>
    <w:rsid w:val="00BE76FF"/>
    <w:pPr>
      <w:numPr>
        <w:numId w:val="9"/>
      </w:numPr>
    </w:pPr>
  </w:style>
  <w:style w:type="numbering" w:customStyle="1" w:styleId="CurrentList7">
    <w:name w:val="Current List7"/>
    <w:uiPriority w:val="99"/>
    <w:rsid w:val="00BE76FF"/>
    <w:pPr>
      <w:numPr>
        <w:numId w:val="10"/>
      </w:numPr>
    </w:pPr>
  </w:style>
  <w:style w:type="numbering" w:customStyle="1" w:styleId="CurrentList8">
    <w:name w:val="Current List8"/>
    <w:uiPriority w:val="99"/>
    <w:rsid w:val="00BE76FF"/>
    <w:pPr>
      <w:numPr>
        <w:numId w:val="11"/>
      </w:numPr>
    </w:pPr>
  </w:style>
  <w:style w:type="numbering" w:customStyle="1" w:styleId="CurrentList9">
    <w:name w:val="Current List9"/>
    <w:uiPriority w:val="99"/>
    <w:rsid w:val="00BE76FF"/>
    <w:pPr>
      <w:numPr>
        <w:numId w:val="12"/>
      </w:numPr>
    </w:pPr>
  </w:style>
  <w:style w:type="character" w:customStyle="1" w:styleId="apple-tab-span">
    <w:name w:val="apple-tab-span"/>
    <w:basedOn w:val="DefaultParagraphFont"/>
    <w:rsid w:val="00BE76FF"/>
  </w:style>
  <w:style w:type="character" w:customStyle="1" w:styleId="s2">
    <w:name w:val="s2"/>
    <w:basedOn w:val="DefaultParagraphFont"/>
    <w:rsid w:val="00BE76FF"/>
  </w:style>
  <w:style w:type="character" w:customStyle="1" w:styleId="s3">
    <w:name w:val="s3"/>
    <w:basedOn w:val="DefaultParagraphFont"/>
    <w:rsid w:val="00BE76FF"/>
  </w:style>
  <w:style w:type="character" w:customStyle="1" w:styleId="katex-mathml">
    <w:name w:val="katex-mathml"/>
    <w:basedOn w:val="DefaultParagraphFont"/>
    <w:rsid w:val="00BE76FF"/>
  </w:style>
  <w:style w:type="character" w:customStyle="1" w:styleId="mop">
    <w:name w:val="mop"/>
    <w:basedOn w:val="DefaultParagraphFont"/>
    <w:rsid w:val="00BE76FF"/>
  </w:style>
  <w:style w:type="character" w:customStyle="1" w:styleId="mopen">
    <w:name w:val="mopen"/>
    <w:basedOn w:val="DefaultParagraphFont"/>
    <w:rsid w:val="00BE76FF"/>
  </w:style>
  <w:style w:type="character" w:customStyle="1" w:styleId="mclose">
    <w:name w:val="mclose"/>
    <w:basedOn w:val="DefaultParagraphFont"/>
    <w:rsid w:val="00BE76FF"/>
  </w:style>
  <w:style w:type="character" w:customStyle="1" w:styleId="s1">
    <w:name w:val="s1"/>
    <w:basedOn w:val="DefaultParagraphFont"/>
    <w:rsid w:val="00FF603B"/>
  </w:style>
  <w:style w:type="paragraph" w:customStyle="1" w:styleId="p3">
    <w:name w:val="p3"/>
    <w:basedOn w:val="Normal"/>
    <w:rsid w:val="00FF603B"/>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524490457">
      <w:bodyDiv w:val="1"/>
      <w:marLeft w:val="0"/>
      <w:marRight w:val="0"/>
      <w:marTop w:val="0"/>
      <w:marBottom w:val="0"/>
      <w:divBdr>
        <w:top w:val="none" w:sz="0" w:space="0" w:color="auto"/>
        <w:left w:val="none" w:sz="0" w:space="0" w:color="auto"/>
        <w:bottom w:val="none" w:sz="0" w:space="0" w:color="auto"/>
        <w:right w:val="none" w:sz="0" w:space="0" w:color="auto"/>
      </w:divBdr>
      <w:divsChild>
        <w:div w:id="90761508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660353312">
      <w:bodyDiv w:val="1"/>
      <w:marLeft w:val="0"/>
      <w:marRight w:val="0"/>
      <w:marTop w:val="0"/>
      <w:marBottom w:val="0"/>
      <w:divBdr>
        <w:top w:val="none" w:sz="0" w:space="0" w:color="auto"/>
        <w:left w:val="none" w:sz="0" w:space="0" w:color="auto"/>
        <w:bottom w:val="none" w:sz="0" w:space="0" w:color="auto"/>
        <w:right w:val="none" w:sz="0" w:space="0" w:color="auto"/>
      </w:divBdr>
      <w:divsChild>
        <w:div w:id="203654022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48181437">
      <w:bodyDiv w:val="1"/>
      <w:marLeft w:val="0"/>
      <w:marRight w:val="0"/>
      <w:marTop w:val="0"/>
      <w:marBottom w:val="0"/>
      <w:divBdr>
        <w:top w:val="none" w:sz="0" w:space="0" w:color="auto"/>
        <w:left w:val="none" w:sz="0" w:space="0" w:color="auto"/>
        <w:bottom w:val="none" w:sz="0" w:space="0" w:color="auto"/>
        <w:right w:val="none" w:sz="0" w:space="0" w:color="auto"/>
      </w:divBdr>
      <w:divsChild>
        <w:div w:id="86594732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83753439">
      <w:bodyDiv w:val="1"/>
      <w:marLeft w:val="0"/>
      <w:marRight w:val="0"/>
      <w:marTop w:val="0"/>
      <w:marBottom w:val="0"/>
      <w:divBdr>
        <w:top w:val="none" w:sz="0" w:space="0" w:color="auto"/>
        <w:left w:val="none" w:sz="0" w:space="0" w:color="auto"/>
        <w:bottom w:val="none" w:sz="0" w:space="0" w:color="auto"/>
        <w:right w:val="none" w:sz="0" w:space="0" w:color="auto"/>
      </w:divBdr>
      <w:divsChild>
        <w:div w:id="129249972">
          <w:blockQuote w:val="1"/>
          <w:marLeft w:val="225"/>
          <w:marRight w:val="0"/>
          <w:marTop w:val="0"/>
          <w:marBottom w:val="0"/>
          <w:divBdr>
            <w:top w:val="none" w:sz="0" w:space="0" w:color="auto"/>
            <w:left w:val="none" w:sz="0" w:space="0" w:color="auto"/>
            <w:bottom w:val="none" w:sz="0" w:space="0" w:color="auto"/>
            <w:right w:val="none" w:sz="0" w:space="0" w:color="auto"/>
          </w:divBdr>
        </w:div>
        <w:div w:id="1054161340">
          <w:blockQuote w:val="1"/>
          <w:marLeft w:val="225"/>
          <w:marRight w:val="0"/>
          <w:marTop w:val="0"/>
          <w:marBottom w:val="0"/>
          <w:divBdr>
            <w:top w:val="none" w:sz="0" w:space="0" w:color="auto"/>
            <w:left w:val="none" w:sz="0" w:space="0" w:color="auto"/>
            <w:bottom w:val="none" w:sz="0" w:space="0" w:color="auto"/>
            <w:right w:val="none" w:sz="0" w:space="0" w:color="auto"/>
          </w:divBdr>
        </w:div>
        <w:div w:id="1026060056">
          <w:blockQuote w:val="1"/>
          <w:marLeft w:val="225"/>
          <w:marRight w:val="0"/>
          <w:marTop w:val="0"/>
          <w:marBottom w:val="0"/>
          <w:divBdr>
            <w:top w:val="none" w:sz="0" w:space="0" w:color="auto"/>
            <w:left w:val="none" w:sz="0" w:space="0" w:color="auto"/>
            <w:bottom w:val="none" w:sz="0" w:space="0" w:color="auto"/>
            <w:right w:val="none" w:sz="0" w:space="0" w:color="auto"/>
          </w:divBdr>
        </w:div>
        <w:div w:id="798186467">
          <w:blockQuote w:val="1"/>
          <w:marLeft w:val="225"/>
          <w:marRight w:val="0"/>
          <w:marTop w:val="0"/>
          <w:marBottom w:val="0"/>
          <w:divBdr>
            <w:top w:val="none" w:sz="0" w:space="0" w:color="auto"/>
            <w:left w:val="none" w:sz="0" w:space="0" w:color="auto"/>
            <w:bottom w:val="none" w:sz="0" w:space="0" w:color="auto"/>
            <w:right w:val="none" w:sz="0" w:space="0" w:color="auto"/>
          </w:divBdr>
        </w:div>
        <w:div w:id="1257978756">
          <w:blockQuote w:val="1"/>
          <w:marLeft w:val="225"/>
          <w:marRight w:val="0"/>
          <w:marTop w:val="0"/>
          <w:marBottom w:val="0"/>
          <w:divBdr>
            <w:top w:val="none" w:sz="0" w:space="0" w:color="auto"/>
            <w:left w:val="none" w:sz="0" w:space="0" w:color="auto"/>
            <w:bottom w:val="none" w:sz="0" w:space="0" w:color="auto"/>
            <w:right w:val="none" w:sz="0" w:space="0" w:color="auto"/>
          </w:divBdr>
        </w:div>
        <w:div w:id="5710013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209738">
      <w:bodyDiv w:val="1"/>
      <w:marLeft w:val="0"/>
      <w:marRight w:val="0"/>
      <w:marTop w:val="0"/>
      <w:marBottom w:val="0"/>
      <w:divBdr>
        <w:top w:val="none" w:sz="0" w:space="0" w:color="auto"/>
        <w:left w:val="none" w:sz="0" w:space="0" w:color="auto"/>
        <w:bottom w:val="none" w:sz="0" w:space="0" w:color="auto"/>
        <w:right w:val="none" w:sz="0" w:space="0" w:color="auto"/>
      </w:divBdr>
      <w:divsChild>
        <w:div w:id="201510628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035808">
      <w:bodyDiv w:val="1"/>
      <w:marLeft w:val="0"/>
      <w:marRight w:val="0"/>
      <w:marTop w:val="0"/>
      <w:marBottom w:val="0"/>
      <w:divBdr>
        <w:top w:val="none" w:sz="0" w:space="0" w:color="auto"/>
        <w:left w:val="none" w:sz="0" w:space="0" w:color="auto"/>
        <w:bottom w:val="none" w:sz="0" w:space="0" w:color="auto"/>
        <w:right w:val="none" w:sz="0" w:space="0" w:color="auto"/>
      </w:divBdr>
      <w:divsChild>
        <w:div w:id="209172950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16462276">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736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26</Pages>
  <Words>8397</Words>
  <Characters>47863</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118</cp:revision>
  <dcterms:created xsi:type="dcterms:W3CDTF">2024-08-09T13:42:00Z</dcterms:created>
  <dcterms:modified xsi:type="dcterms:W3CDTF">2025-05-06T14:40:00Z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id="fP2t2TeH"/&gt;&lt;style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