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7DB9" w14:textId="77777777" w:rsidR="00040BA6" w:rsidRPr="00420759" w:rsidRDefault="00040BA6" w:rsidP="00040BA6">
      <w:pPr>
        <w:pStyle w:val="p1"/>
        <w:jc w:val="both"/>
        <w:rPr>
          <w:rFonts w:ascii="Arial" w:hAnsi="Arial" w:cs="Arial"/>
          <w:b/>
          <w:bCs/>
          <w:sz w:val="32"/>
          <w:szCs w:val="32"/>
        </w:rPr>
      </w:pPr>
      <w:r w:rsidRPr="00420759">
        <w:rPr>
          <w:rFonts w:ascii="Arial" w:hAnsi="Arial" w:cs="Arial"/>
          <w:b/>
          <w:bCs/>
          <w:sz w:val="32"/>
          <w:szCs w:val="32"/>
        </w:rPr>
        <w:t>Summary</w:t>
      </w:r>
    </w:p>
    <w:p w14:paraId="073B8910" w14:textId="49D9ED09" w:rsidR="00D66512" w:rsidRPr="00420759" w:rsidRDefault="00D66512" w:rsidP="00E80EA1">
      <w:pPr>
        <w:pStyle w:val="p1"/>
        <w:jc w:val="both"/>
        <w:rPr>
          <w:rFonts w:ascii="Arial" w:hAnsi="Arial" w:cs="Arial"/>
          <w:sz w:val="22"/>
          <w:szCs w:val="22"/>
        </w:rPr>
      </w:pPr>
      <w:r w:rsidRPr="00420759">
        <w:rPr>
          <w:rFonts w:ascii="Arial" w:hAnsi="Arial" w:cs="Arial"/>
          <w:sz w:val="22"/>
          <w:szCs w:val="22"/>
        </w:rPr>
        <w:t xml:space="preserve">Molecular machine learning has the potential to revolutionize drug discovery by enabling the identification of novel bioactive compounds, yet it faces fundamental challenges related to data scarcity and generalization. Unlike other domains such as natural language processing or computer vision, this field operates under unique constraints: datasets are often small, experimental validation is expensive, and the combinatorial chemical space is vast. This thesis argues that many of </w:t>
      </w:r>
      <w:r w:rsidR="00C5375B" w:rsidRPr="00420759">
        <w:rPr>
          <w:rFonts w:ascii="Arial" w:hAnsi="Arial" w:cs="Arial"/>
          <w:sz w:val="22"/>
          <w:szCs w:val="22"/>
        </w:rPr>
        <w:t>the field’s limitations stem</w:t>
      </w:r>
      <w:r w:rsidRPr="00420759">
        <w:rPr>
          <w:rFonts w:ascii="Arial" w:hAnsi="Arial" w:cs="Arial"/>
          <w:sz w:val="22"/>
          <w:szCs w:val="22"/>
        </w:rPr>
        <w:t xml:space="preserve"> from insufficient data.</w:t>
      </w:r>
      <w:r w:rsidR="008E2275" w:rsidRPr="00420759">
        <w:rPr>
          <w:rFonts w:ascii="Arial" w:hAnsi="Arial" w:cs="Arial"/>
          <w:sz w:val="22"/>
          <w:szCs w:val="22"/>
        </w:rPr>
        <w:t xml:space="preserve"> </w:t>
      </w:r>
      <w:r w:rsidRPr="00420759">
        <w:rPr>
          <w:rFonts w:ascii="Arial" w:hAnsi="Arial" w:cs="Arial"/>
          <w:sz w:val="22"/>
          <w:szCs w:val="22"/>
        </w:rPr>
        <w:t xml:space="preserve">Just as the Kármán line marks the boundary between Earth’s atmosphere and outer space – where traditional aerodynamics </w:t>
      </w:r>
      <w:r w:rsidR="00C5375B" w:rsidRPr="00420759">
        <w:rPr>
          <w:rFonts w:ascii="Arial" w:hAnsi="Arial" w:cs="Arial"/>
          <w:sz w:val="22"/>
          <w:szCs w:val="22"/>
        </w:rPr>
        <w:t>no longer apply</w:t>
      </w:r>
      <w:r w:rsidRPr="00420759">
        <w:rPr>
          <w:rFonts w:ascii="Arial" w:hAnsi="Arial" w:cs="Arial"/>
          <w:sz w:val="22"/>
          <w:szCs w:val="22"/>
        </w:rPr>
        <w:t xml:space="preserve"> – there exists a ‘chemical Kármán line’ beyond which molecular machine learning models fail to generalize. </w:t>
      </w:r>
      <w:r w:rsidR="00C2427B" w:rsidRPr="00420759">
        <w:rPr>
          <w:rFonts w:ascii="Arial" w:hAnsi="Arial" w:cs="Arial"/>
          <w:sz w:val="22"/>
          <w:szCs w:val="22"/>
        </w:rPr>
        <w:t>C</w:t>
      </w:r>
      <w:r w:rsidRPr="00420759">
        <w:rPr>
          <w:rFonts w:ascii="Arial" w:hAnsi="Arial" w:cs="Arial"/>
          <w:sz w:val="22"/>
          <w:szCs w:val="22"/>
        </w:rPr>
        <w:t xml:space="preserve">rossing </w:t>
      </w:r>
      <w:r w:rsidR="00C5375B" w:rsidRPr="00420759">
        <w:rPr>
          <w:rFonts w:ascii="Arial" w:hAnsi="Arial" w:cs="Arial"/>
          <w:sz w:val="22"/>
          <w:szCs w:val="22"/>
        </w:rPr>
        <w:t>this boundary</w:t>
      </w:r>
      <w:r w:rsidRPr="00420759">
        <w:rPr>
          <w:rFonts w:ascii="Arial" w:hAnsi="Arial" w:cs="Arial"/>
          <w:sz w:val="22"/>
          <w:szCs w:val="22"/>
        </w:rPr>
        <w:t xml:space="preserve"> requires fundamentally rethinking how models handle the unknown. This thesis address</w:t>
      </w:r>
      <w:r w:rsidR="00C5375B" w:rsidRPr="00420759">
        <w:rPr>
          <w:rFonts w:ascii="Arial" w:hAnsi="Arial" w:cs="Arial"/>
          <w:sz w:val="22"/>
          <w:szCs w:val="22"/>
        </w:rPr>
        <w:t>es</w:t>
      </w:r>
      <w:r w:rsidRPr="00420759">
        <w:rPr>
          <w:rFonts w:ascii="Arial" w:hAnsi="Arial" w:cs="Arial"/>
          <w:sz w:val="22"/>
          <w:szCs w:val="22"/>
        </w:rPr>
        <w:t xml:space="preserve"> this issue through better model evaluation, improved reliability estimation, and data-efficient learning strategies.</w:t>
      </w:r>
    </w:p>
    <w:p w14:paraId="09E48F08" w14:textId="7CB2F955" w:rsidR="007967FB" w:rsidRDefault="008E2275" w:rsidP="00C5375B">
      <w:pPr>
        <w:jc w:val="both"/>
        <w:rPr>
          <w:rFonts w:ascii="Arial" w:hAnsi="Arial" w:cs="Arial"/>
          <w:sz w:val="22"/>
          <w:szCs w:val="22"/>
        </w:rPr>
      </w:pPr>
      <w:r w:rsidRPr="00420759">
        <w:rPr>
          <w:rFonts w:ascii="Arial" w:hAnsi="Arial" w:cs="Arial"/>
          <w:b/>
          <w:bCs/>
          <w:sz w:val="22"/>
          <w:szCs w:val="22"/>
        </w:rPr>
        <w:t>C</w:t>
      </w:r>
      <w:r w:rsidR="00E80EA1" w:rsidRPr="00420759">
        <w:rPr>
          <w:rFonts w:ascii="Arial" w:hAnsi="Arial" w:cs="Arial"/>
          <w:b/>
          <w:bCs/>
          <w:sz w:val="22"/>
          <w:szCs w:val="22"/>
        </w:rPr>
        <w:t>hapter 1</w:t>
      </w:r>
      <w:r w:rsidRPr="00420759">
        <w:rPr>
          <w:rFonts w:ascii="Arial" w:hAnsi="Arial" w:cs="Arial"/>
          <w:sz w:val="22"/>
          <w:szCs w:val="22"/>
        </w:rPr>
        <w:t xml:space="preserve"> frames</w:t>
      </w:r>
      <w:r w:rsidR="00E80EA1" w:rsidRPr="00420759">
        <w:rPr>
          <w:rFonts w:ascii="Arial" w:hAnsi="Arial" w:cs="Arial"/>
          <w:sz w:val="22"/>
          <w:szCs w:val="22"/>
        </w:rPr>
        <w:t xml:space="preserve"> poor model generalization – </w:t>
      </w:r>
      <w:r w:rsidRPr="00420759">
        <w:rPr>
          <w:rFonts w:ascii="Arial" w:hAnsi="Arial" w:cs="Arial"/>
          <w:sz w:val="22"/>
          <w:szCs w:val="22"/>
        </w:rPr>
        <w:t>driven by</w:t>
      </w:r>
      <w:r w:rsidR="00E80EA1" w:rsidRPr="00420759">
        <w:rPr>
          <w:rFonts w:ascii="Arial" w:hAnsi="Arial" w:cs="Arial"/>
          <w:sz w:val="22"/>
          <w:szCs w:val="22"/>
        </w:rPr>
        <w:t xml:space="preserve"> data </w:t>
      </w:r>
      <w:r w:rsidRPr="00420759">
        <w:rPr>
          <w:rFonts w:ascii="Arial" w:hAnsi="Arial" w:cs="Arial"/>
          <w:sz w:val="22"/>
          <w:szCs w:val="22"/>
        </w:rPr>
        <w:t xml:space="preserve">limitations </w:t>
      </w:r>
      <w:r w:rsidR="00E80EA1" w:rsidRPr="00420759">
        <w:rPr>
          <w:rFonts w:ascii="Arial" w:hAnsi="Arial" w:cs="Arial"/>
          <w:sz w:val="22"/>
          <w:szCs w:val="22"/>
        </w:rPr>
        <w:t xml:space="preserve">– </w:t>
      </w:r>
      <w:r w:rsidRPr="00420759">
        <w:rPr>
          <w:rFonts w:ascii="Arial" w:hAnsi="Arial" w:cs="Arial"/>
          <w:sz w:val="22"/>
          <w:szCs w:val="22"/>
        </w:rPr>
        <w:t>as</w:t>
      </w:r>
      <w:r w:rsidR="00E80EA1" w:rsidRPr="00420759">
        <w:rPr>
          <w:rFonts w:ascii="Arial" w:hAnsi="Arial" w:cs="Arial"/>
          <w:sz w:val="22"/>
          <w:szCs w:val="22"/>
        </w:rPr>
        <w:t xml:space="preserve"> the central challenge of molecular machine learning for drug discovery. </w:t>
      </w:r>
      <w:r w:rsidR="00E80EA1" w:rsidRPr="00420759">
        <w:rPr>
          <w:rFonts w:ascii="Arial" w:hAnsi="Arial" w:cs="Arial"/>
          <w:b/>
          <w:bCs/>
          <w:sz w:val="22"/>
          <w:szCs w:val="22"/>
        </w:rPr>
        <w:t>Chapter 2</w:t>
      </w:r>
      <w:r w:rsidR="00E80EA1" w:rsidRPr="00420759">
        <w:rPr>
          <w:rFonts w:ascii="Arial" w:hAnsi="Arial" w:cs="Arial"/>
          <w:sz w:val="22"/>
          <w:szCs w:val="22"/>
        </w:rPr>
        <w:t xml:space="preserve"> provides </w:t>
      </w:r>
      <w:r w:rsidRPr="00420759">
        <w:rPr>
          <w:rFonts w:ascii="Arial" w:hAnsi="Arial" w:cs="Arial"/>
          <w:sz w:val="22"/>
          <w:szCs w:val="22"/>
        </w:rPr>
        <w:t xml:space="preserve">theoretical context, outlining key promises and current limitations of the field. </w:t>
      </w:r>
      <w:r w:rsidRPr="00420759">
        <w:rPr>
          <w:rFonts w:ascii="Arial" w:hAnsi="Arial" w:cs="Arial"/>
          <w:b/>
          <w:bCs/>
          <w:sz w:val="22"/>
          <w:szCs w:val="22"/>
        </w:rPr>
        <w:t>Chapter 3</w:t>
      </w:r>
      <w:r w:rsidRPr="00420759">
        <w:rPr>
          <w:rFonts w:ascii="Arial" w:hAnsi="Arial" w:cs="Arial"/>
          <w:sz w:val="22"/>
          <w:szCs w:val="22"/>
        </w:rPr>
        <w:t xml:space="preserve"> exposes the failure modes of </w:t>
      </w:r>
      <w:r w:rsidR="00420759">
        <w:rPr>
          <w:rFonts w:ascii="Arial" w:hAnsi="Arial" w:cs="Arial"/>
          <w:sz w:val="22"/>
          <w:szCs w:val="22"/>
        </w:rPr>
        <w:t>existing</w:t>
      </w:r>
      <w:r w:rsidRPr="00420759">
        <w:rPr>
          <w:rFonts w:ascii="Arial" w:hAnsi="Arial" w:cs="Arial"/>
          <w:sz w:val="22"/>
          <w:szCs w:val="22"/>
        </w:rPr>
        <w:t xml:space="preserve"> </w:t>
      </w:r>
      <w:r w:rsidR="00420759">
        <w:rPr>
          <w:rFonts w:ascii="Arial" w:hAnsi="Arial" w:cs="Arial"/>
          <w:sz w:val="22"/>
          <w:szCs w:val="22"/>
        </w:rPr>
        <w:t>methods</w:t>
      </w:r>
      <w:r w:rsidRPr="00420759">
        <w:rPr>
          <w:rFonts w:ascii="Arial" w:hAnsi="Arial" w:cs="Arial"/>
          <w:sz w:val="22"/>
          <w:szCs w:val="22"/>
        </w:rPr>
        <w:t xml:space="preserve">, </w:t>
      </w:r>
      <w:r w:rsidR="00420759">
        <w:rPr>
          <w:rFonts w:ascii="Arial" w:hAnsi="Arial" w:cs="Arial"/>
          <w:sz w:val="22"/>
          <w:szCs w:val="22"/>
        </w:rPr>
        <w:t>particularly</w:t>
      </w:r>
      <w:r w:rsidRPr="00420759">
        <w:rPr>
          <w:rFonts w:ascii="Arial" w:hAnsi="Arial" w:cs="Arial"/>
          <w:sz w:val="22"/>
          <w:szCs w:val="22"/>
        </w:rPr>
        <w:t xml:space="preserve"> deep learning approaches, in capturing complex structure</w:t>
      </w:r>
      <w:r w:rsidR="00420759">
        <w:rPr>
          <w:rFonts w:ascii="Arial" w:hAnsi="Arial" w:cs="Arial"/>
          <w:sz w:val="22"/>
          <w:szCs w:val="22"/>
        </w:rPr>
        <w:t>-</w:t>
      </w:r>
      <w:r w:rsidRPr="00420759">
        <w:rPr>
          <w:rFonts w:ascii="Arial" w:hAnsi="Arial" w:cs="Arial"/>
          <w:sz w:val="22"/>
          <w:szCs w:val="22"/>
        </w:rPr>
        <w:t xml:space="preserve">activity relationships. Here, training set size </w:t>
      </w:r>
      <w:r w:rsidR="00420759">
        <w:rPr>
          <w:rFonts w:ascii="Arial" w:hAnsi="Arial" w:cs="Arial"/>
          <w:sz w:val="22"/>
          <w:szCs w:val="22"/>
        </w:rPr>
        <w:t>emerges as a</w:t>
      </w:r>
      <w:r w:rsidRPr="00420759">
        <w:rPr>
          <w:rFonts w:ascii="Arial" w:hAnsi="Arial" w:cs="Arial"/>
          <w:sz w:val="22"/>
          <w:szCs w:val="22"/>
        </w:rPr>
        <w:t xml:space="preserve"> critical limiting factor. </w:t>
      </w:r>
      <w:r w:rsidRPr="00420759">
        <w:rPr>
          <w:rFonts w:ascii="Arial" w:hAnsi="Arial" w:cs="Arial"/>
          <w:b/>
          <w:bCs/>
          <w:sz w:val="22"/>
          <w:szCs w:val="22"/>
        </w:rPr>
        <w:t>Chapters 4 and 5</w:t>
      </w:r>
      <w:r w:rsidRPr="00420759">
        <w:rPr>
          <w:rFonts w:ascii="Arial" w:hAnsi="Arial" w:cs="Arial"/>
          <w:sz w:val="22"/>
          <w:szCs w:val="22"/>
        </w:rPr>
        <w:t xml:space="preserve"> </w:t>
      </w:r>
      <w:r w:rsidR="00420759">
        <w:rPr>
          <w:rFonts w:ascii="Arial" w:hAnsi="Arial" w:cs="Arial"/>
          <w:sz w:val="22"/>
          <w:szCs w:val="22"/>
        </w:rPr>
        <w:t>explore</w:t>
      </w:r>
      <w:r w:rsidRPr="00420759">
        <w:rPr>
          <w:rFonts w:ascii="Arial" w:hAnsi="Arial" w:cs="Arial"/>
          <w:sz w:val="22"/>
          <w:szCs w:val="22"/>
        </w:rPr>
        <w:t xml:space="preserve"> active learning as a practical </w:t>
      </w:r>
      <w:r w:rsidR="00420759">
        <w:rPr>
          <w:rFonts w:ascii="Arial" w:hAnsi="Arial" w:cs="Arial"/>
          <w:sz w:val="22"/>
          <w:szCs w:val="22"/>
        </w:rPr>
        <w:t>strategy</w:t>
      </w:r>
      <w:r w:rsidRPr="00420759">
        <w:rPr>
          <w:rFonts w:ascii="Arial" w:hAnsi="Arial" w:cs="Arial"/>
          <w:sz w:val="22"/>
          <w:szCs w:val="22"/>
        </w:rPr>
        <w:t xml:space="preserve"> to </w:t>
      </w:r>
      <w:r w:rsidR="00420759">
        <w:rPr>
          <w:rFonts w:ascii="Arial" w:hAnsi="Arial" w:cs="Arial"/>
          <w:sz w:val="22"/>
          <w:szCs w:val="22"/>
        </w:rPr>
        <w:t xml:space="preserve">overcome </w:t>
      </w:r>
      <w:r w:rsidRPr="00420759">
        <w:rPr>
          <w:rFonts w:ascii="Arial" w:hAnsi="Arial" w:cs="Arial"/>
          <w:sz w:val="22"/>
          <w:szCs w:val="22"/>
        </w:rPr>
        <w:t xml:space="preserve">data scarcity, </w:t>
      </w:r>
      <w:r w:rsidR="007967FB">
        <w:rPr>
          <w:rFonts w:ascii="Arial" w:hAnsi="Arial" w:cs="Arial"/>
          <w:sz w:val="22"/>
          <w:szCs w:val="22"/>
        </w:rPr>
        <w:t>w</w:t>
      </w:r>
      <w:r w:rsidRPr="00420759">
        <w:rPr>
          <w:rFonts w:ascii="Arial" w:hAnsi="Arial" w:cs="Arial"/>
          <w:sz w:val="22"/>
          <w:szCs w:val="22"/>
        </w:rPr>
        <w:t xml:space="preserve">here models are </w:t>
      </w:r>
      <w:r w:rsidR="007967FB" w:rsidRPr="00420759">
        <w:rPr>
          <w:rFonts w:ascii="Arial" w:hAnsi="Arial" w:cs="Arial"/>
          <w:sz w:val="22"/>
          <w:szCs w:val="22"/>
        </w:rPr>
        <w:t>iterative</w:t>
      </w:r>
      <w:r w:rsidR="007967FB">
        <w:rPr>
          <w:rFonts w:ascii="Arial" w:hAnsi="Arial" w:cs="Arial"/>
          <w:sz w:val="22"/>
          <w:szCs w:val="22"/>
        </w:rPr>
        <w:t>ly</w:t>
      </w:r>
      <w:r w:rsidR="007967FB" w:rsidRPr="00420759">
        <w:rPr>
          <w:rFonts w:ascii="Arial" w:hAnsi="Arial" w:cs="Arial"/>
          <w:sz w:val="22"/>
          <w:szCs w:val="22"/>
        </w:rPr>
        <w:t xml:space="preserve"> </w:t>
      </w:r>
      <w:r w:rsidRPr="00420759">
        <w:rPr>
          <w:rFonts w:ascii="Arial" w:hAnsi="Arial" w:cs="Arial"/>
          <w:sz w:val="22"/>
          <w:szCs w:val="22"/>
        </w:rPr>
        <w:t xml:space="preserve">updated by acquiring new experimental results. </w:t>
      </w:r>
      <w:r w:rsidR="00C9693D" w:rsidRPr="00420759">
        <w:rPr>
          <w:rFonts w:ascii="Arial" w:hAnsi="Arial" w:cs="Arial"/>
          <w:sz w:val="22"/>
          <w:szCs w:val="22"/>
        </w:rPr>
        <w:t xml:space="preserve">First, </w:t>
      </w:r>
      <w:r w:rsidR="00C9693D" w:rsidRPr="00420759">
        <w:rPr>
          <w:rFonts w:ascii="Arial" w:hAnsi="Arial" w:cs="Arial"/>
          <w:b/>
          <w:bCs/>
          <w:sz w:val="22"/>
          <w:szCs w:val="22"/>
        </w:rPr>
        <w:t>c</w:t>
      </w:r>
      <w:r w:rsidR="00F50138" w:rsidRPr="00420759">
        <w:rPr>
          <w:rFonts w:ascii="Arial" w:hAnsi="Arial" w:cs="Arial"/>
          <w:b/>
          <w:bCs/>
          <w:sz w:val="22"/>
          <w:szCs w:val="22"/>
        </w:rPr>
        <w:t>hapter 4</w:t>
      </w:r>
      <w:r w:rsidR="00F50138" w:rsidRPr="00420759">
        <w:rPr>
          <w:rFonts w:ascii="Arial" w:hAnsi="Arial" w:cs="Arial"/>
          <w:sz w:val="22"/>
          <w:szCs w:val="22"/>
        </w:rPr>
        <w:t xml:space="preserve"> establishes a real-world testbed for active learning </w:t>
      </w:r>
      <w:r w:rsidR="007967FB">
        <w:rPr>
          <w:rFonts w:ascii="Arial" w:hAnsi="Arial" w:cs="Arial"/>
          <w:sz w:val="22"/>
          <w:szCs w:val="22"/>
        </w:rPr>
        <w:t>under</w:t>
      </w:r>
      <w:r w:rsidR="00F50138" w:rsidRPr="00420759">
        <w:rPr>
          <w:rFonts w:ascii="Arial" w:hAnsi="Arial" w:cs="Arial"/>
          <w:sz w:val="22"/>
          <w:szCs w:val="22"/>
        </w:rPr>
        <w:t xml:space="preserve"> extreme low-data </w:t>
      </w:r>
      <w:r w:rsidR="007967FB">
        <w:rPr>
          <w:rFonts w:ascii="Arial" w:hAnsi="Arial" w:cs="Arial"/>
          <w:sz w:val="22"/>
          <w:szCs w:val="22"/>
        </w:rPr>
        <w:t>conditions</w:t>
      </w:r>
      <w:r w:rsidRPr="00420759">
        <w:rPr>
          <w:rFonts w:ascii="Arial" w:hAnsi="Arial" w:cs="Arial"/>
          <w:sz w:val="22"/>
          <w:szCs w:val="22"/>
        </w:rPr>
        <w:t xml:space="preserve">, </w:t>
      </w:r>
      <w:r w:rsidR="00F50138" w:rsidRPr="00420759">
        <w:rPr>
          <w:rFonts w:ascii="Arial" w:hAnsi="Arial" w:cs="Arial"/>
          <w:sz w:val="22"/>
          <w:szCs w:val="22"/>
        </w:rPr>
        <w:t>using nanoparticle design as</w:t>
      </w:r>
      <w:r w:rsidR="00C9693D" w:rsidRPr="00420759">
        <w:rPr>
          <w:rFonts w:ascii="Arial" w:hAnsi="Arial" w:cs="Arial"/>
          <w:sz w:val="22"/>
          <w:szCs w:val="22"/>
        </w:rPr>
        <w:t xml:space="preserve"> an illustrative and controlled case</w:t>
      </w:r>
      <w:r w:rsidR="007967FB">
        <w:rPr>
          <w:rFonts w:ascii="Arial" w:hAnsi="Arial" w:cs="Arial"/>
          <w:sz w:val="22"/>
          <w:szCs w:val="22"/>
        </w:rPr>
        <w:t xml:space="preserve"> study</w:t>
      </w:r>
      <w:r w:rsidR="00C9693D" w:rsidRPr="00420759">
        <w:rPr>
          <w:rFonts w:ascii="Arial" w:hAnsi="Arial" w:cs="Arial"/>
          <w:sz w:val="22"/>
          <w:szCs w:val="22"/>
        </w:rPr>
        <w:t xml:space="preserve">. </w:t>
      </w:r>
      <w:r w:rsidR="00F50138" w:rsidRPr="00420759">
        <w:rPr>
          <w:rFonts w:ascii="Arial" w:hAnsi="Arial" w:cs="Arial"/>
          <w:b/>
          <w:bCs/>
          <w:sz w:val="22"/>
          <w:szCs w:val="22"/>
        </w:rPr>
        <w:t>Chapter 5</w:t>
      </w:r>
      <w:r w:rsidR="00F50138" w:rsidRPr="00420759">
        <w:rPr>
          <w:rFonts w:ascii="Arial" w:hAnsi="Arial" w:cs="Arial"/>
          <w:sz w:val="22"/>
          <w:szCs w:val="22"/>
        </w:rPr>
        <w:t xml:space="preserve"> </w:t>
      </w:r>
      <w:r w:rsidR="00C9693D" w:rsidRPr="00420759">
        <w:rPr>
          <w:rFonts w:ascii="Arial" w:hAnsi="Arial" w:cs="Arial"/>
          <w:sz w:val="22"/>
          <w:szCs w:val="22"/>
        </w:rPr>
        <w:t>then</w:t>
      </w:r>
      <w:r w:rsidR="00C9693D" w:rsidRPr="00420759">
        <w:rPr>
          <w:rFonts w:ascii="Arial" w:hAnsi="Arial" w:cs="Arial"/>
          <w:b/>
          <w:bCs/>
          <w:sz w:val="22"/>
          <w:szCs w:val="22"/>
        </w:rPr>
        <w:t xml:space="preserve"> </w:t>
      </w:r>
      <w:r w:rsidR="00F50138" w:rsidRPr="00420759">
        <w:rPr>
          <w:rFonts w:ascii="Arial" w:hAnsi="Arial" w:cs="Arial"/>
          <w:sz w:val="22"/>
          <w:szCs w:val="22"/>
        </w:rPr>
        <w:t>systematically evaluate</w:t>
      </w:r>
      <w:r w:rsidR="007967FB">
        <w:rPr>
          <w:rFonts w:ascii="Arial" w:hAnsi="Arial" w:cs="Arial"/>
          <w:sz w:val="22"/>
          <w:szCs w:val="22"/>
        </w:rPr>
        <w:t>s</w:t>
      </w:r>
      <w:r w:rsidR="00F50138" w:rsidRPr="00420759">
        <w:rPr>
          <w:rFonts w:ascii="Arial" w:hAnsi="Arial" w:cs="Arial"/>
          <w:sz w:val="22"/>
          <w:szCs w:val="22"/>
        </w:rPr>
        <w:t xml:space="preserve"> active deep learning strategies for small molecule discovery</w:t>
      </w:r>
      <w:r w:rsidR="00C2427B" w:rsidRPr="00420759">
        <w:rPr>
          <w:rFonts w:ascii="Arial" w:hAnsi="Arial" w:cs="Arial"/>
          <w:sz w:val="22"/>
          <w:szCs w:val="22"/>
        </w:rPr>
        <w:t xml:space="preserve"> in low-data regimes</w:t>
      </w:r>
      <w:r w:rsidR="007967FB">
        <w:rPr>
          <w:rFonts w:ascii="Arial" w:hAnsi="Arial" w:cs="Arial"/>
          <w:sz w:val="22"/>
          <w:szCs w:val="22"/>
        </w:rPr>
        <w:t xml:space="preserve">, showing that the acquisition strategy – not model architecture – is the primary </w:t>
      </w:r>
      <w:r w:rsidR="00C2427B" w:rsidRPr="00420759">
        <w:rPr>
          <w:rFonts w:ascii="Arial" w:hAnsi="Arial" w:cs="Arial"/>
          <w:sz w:val="22"/>
          <w:szCs w:val="22"/>
        </w:rPr>
        <w:t>factor driving hit rate.</w:t>
      </w:r>
      <w:r w:rsidR="007967FB">
        <w:rPr>
          <w:rFonts w:ascii="Arial" w:hAnsi="Arial" w:cs="Arial"/>
          <w:sz w:val="22"/>
          <w:szCs w:val="22"/>
        </w:rPr>
        <w:t xml:space="preserve"> I</w:t>
      </w:r>
      <w:r w:rsidR="005E75F9" w:rsidRPr="00420759">
        <w:rPr>
          <w:rFonts w:ascii="Arial" w:hAnsi="Arial" w:cs="Arial"/>
          <w:sz w:val="22"/>
          <w:szCs w:val="22"/>
        </w:rPr>
        <w:t xml:space="preserve">t </w:t>
      </w:r>
      <w:r w:rsidR="007967FB">
        <w:rPr>
          <w:rFonts w:ascii="Arial" w:hAnsi="Arial" w:cs="Arial"/>
          <w:sz w:val="22"/>
          <w:szCs w:val="22"/>
        </w:rPr>
        <w:t>also demonstrates</w:t>
      </w:r>
      <w:r w:rsidR="005E75F9" w:rsidRPr="00420759">
        <w:rPr>
          <w:rFonts w:ascii="Arial" w:hAnsi="Arial" w:cs="Arial"/>
          <w:sz w:val="22"/>
          <w:szCs w:val="22"/>
        </w:rPr>
        <w:t xml:space="preserve"> </w:t>
      </w:r>
      <w:r w:rsidR="007967FB">
        <w:rPr>
          <w:rFonts w:ascii="Arial" w:hAnsi="Arial" w:cs="Arial"/>
          <w:sz w:val="22"/>
          <w:szCs w:val="22"/>
        </w:rPr>
        <w:t>how</w:t>
      </w:r>
      <w:r w:rsidR="005E75F9" w:rsidRPr="00420759">
        <w:rPr>
          <w:rFonts w:ascii="Arial" w:hAnsi="Arial" w:cs="Arial"/>
          <w:sz w:val="22"/>
          <w:szCs w:val="22"/>
        </w:rPr>
        <w:t xml:space="preserve"> active learning dynamically adapts </w:t>
      </w:r>
      <w:r w:rsidRPr="00420759">
        <w:rPr>
          <w:rFonts w:ascii="Arial" w:hAnsi="Arial" w:cs="Arial"/>
          <w:sz w:val="22"/>
          <w:szCs w:val="22"/>
        </w:rPr>
        <w:t>to emerging</w:t>
      </w:r>
      <w:r w:rsidR="005E75F9" w:rsidRPr="00420759">
        <w:rPr>
          <w:rFonts w:ascii="Arial" w:hAnsi="Arial" w:cs="Arial"/>
          <w:sz w:val="22"/>
          <w:szCs w:val="22"/>
        </w:rPr>
        <w:t xml:space="preserve"> structure</w:t>
      </w:r>
      <w:r w:rsidR="007967FB">
        <w:rPr>
          <w:rFonts w:ascii="Arial" w:hAnsi="Arial" w:cs="Arial"/>
          <w:sz w:val="22"/>
          <w:szCs w:val="22"/>
        </w:rPr>
        <w:t>-</w:t>
      </w:r>
      <w:r w:rsidR="005E75F9" w:rsidRPr="00420759">
        <w:rPr>
          <w:rFonts w:ascii="Arial" w:hAnsi="Arial" w:cs="Arial"/>
          <w:sz w:val="22"/>
          <w:szCs w:val="22"/>
        </w:rPr>
        <w:t xml:space="preserve">activity patterns </w:t>
      </w:r>
      <w:r w:rsidRPr="00420759">
        <w:rPr>
          <w:rFonts w:ascii="Arial" w:hAnsi="Arial" w:cs="Arial"/>
          <w:sz w:val="22"/>
          <w:szCs w:val="22"/>
        </w:rPr>
        <w:t xml:space="preserve">and compensates for </w:t>
      </w:r>
      <w:r w:rsidR="007967FB">
        <w:rPr>
          <w:rFonts w:ascii="Arial" w:hAnsi="Arial" w:cs="Arial"/>
          <w:sz w:val="22"/>
          <w:szCs w:val="22"/>
        </w:rPr>
        <w:t>limited</w:t>
      </w:r>
      <w:r w:rsidRPr="00420759">
        <w:rPr>
          <w:rFonts w:ascii="Arial" w:hAnsi="Arial" w:cs="Arial"/>
          <w:sz w:val="22"/>
          <w:szCs w:val="22"/>
        </w:rPr>
        <w:t xml:space="preserve"> initial diversity.</w:t>
      </w:r>
      <w:r w:rsidR="00052E25" w:rsidRPr="00420759">
        <w:rPr>
          <w:rFonts w:ascii="Arial" w:hAnsi="Arial" w:cs="Arial"/>
          <w:sz w:val="22"/>
          <w:szCs w:val="22"/>
        </w:rPr>
        <w:t xml:space="preserve"> </w:t>
      </w:r>
    </w:p>
    <w:p w14:paraId="5154CB70" w14:textId="2A9682AC" w:rsidR="007967FB" w:rsidRDefault="008E2275" w:rsidP="00C5375B">
      <w:pPr>
        <w:jc w:val="both"/>
        <w:rPr>
          <w:rFonts w:ascii="Arial" w:hAnsi="Arial" w:cs="Arial"/>
          <w:sz w:val="22"/>
          <w:szCs w:val="22"/>
        </w:rPr>
      </w:pPr>
      <w:r w:rsidRPr="00420759">
        <w:rPr>
          <w:rFonts w:ascii="Arial" w:hAnsi="Arial" w:cs="Arial"/>
          <w:b/>
          <w:bCs/>
          <w:sz w:val="22"/>
          <w:szCs w:val="22"/>
        </w:rPr>
        <w:t>C</w:t>
      </w:r>
      <w:r w:rsidR="005E75F9" w:rsidRPr="00420759">
        <w:rPr>
          <w:rFonts w:ascii="Arial" w:hAnsi="Arial" w:cs="Arial"/>
          <w:b/>
          <w:bCs/>
          <w:sz w:val="22"/>
          <w:szCs w:val="22"/>
        </w:rPr>
        <w:t>hapter 6</w:t>
      </w:r>
      <w:r w:rsidR="005E75F9" w:rsidRPr="00420759">
        <w:rPr>
          <w:rFonts w:ascii="Arial" w:hAnsi="Arial" w:cs="Arial"/>
          <w:sz w:val="22"/>
          <w:szCs w:val="22"/>
        </w:rPr>
        <w:t xml:space="preserve"> </w:t>
      </w:r>
      <w:r w:rsidRPr="00420759">
        <w:rPr>
          <w:rFonts w:ascii="Arial" w:hAnsi="Arial" w:cs="Arial"/>
          <w:sz w:val="22"/>
          <w:szCs w:val="22"/>
        </w:rPr>
        <w:t>reframes</w:t>
      </w:r>
      <w:r w:rsidR="007967FB">
        <w:rPr>
          <w:rFonts w:ascii="Arial" w:hAnsi="Arial" w:cs="Arial"/>
          <w:sz w:val="22"/>
          <w:szCs w:val="22"/>
        </w:rPr>
        <w:t xml:space="preserve"> the low-data problem </w:t>
      </w:r>
      <w:r w:rsidRPr="00420759">
        <w:rPr>
          <w:rFonts w:ascii="Arial" w:hAnsi="Arial" w:cs="Arial"/>
          <w:sz w:val="22"/>
          <w:szCs w:val="22"/>
        </w:rPr>
        <w:t xml:space="preserve">as a </w:t>
      </w:r>
      <w:r w:rsidR="007967FB">
        <w:rPr>
          <w:rFonts w:ascii="Arial" w:hAnsi="Arial" w:cs="Arial"/>
          <w:sz w:val="22"/>
          <w:szCs w:val="22"/>
        </w:rPr>
        <w:t>broader issue</w:t>
      </w:r>
      <w:r w:rsidRPr="00420759">
        <w:rPr>
          <w:rFonts w:ascii="Arial" w:hAnsi="Arial" w:cs="Arial"/>
          <w:sz w:val="22"/>
          <w:szCs w:val="22"/>
        </w:rPr>
        <w:t xml:space="preserve"> of model reliability. It introduces a joint modeling framework that performs molecular reconstruction alongside property prediction</w:t>
      </w:r>
      <w:r w:rsidR="00052E25" w:rsidRPr="00420759">
        <w:rPr>
          <w:rFonts w:ascii="Arial" w:hAnsi="Arial" w:cs="Arial"/>
          <w:sz w:val="22"/>
          <w:szCs w:val="22"/>
        </w:rPr>
        <w:t xml:space="preserve">. </w:t>
      </w:r>
      <w:r w:rsidR="007967FB" w:rsidRPr="007967FB">
        <w:rPr>
          <w:rFonts w:ascii="Arial" w:hAnsi="Arial" w:cs="Arial"/>
          <w:sz w:val="22"/>
          <w:szCs w:val="22"/>
        </w:rPr>
        <w:t>A model’s ability to reconstruct a molecule is used to quantify its ‘unfamiliarity’</w:t>
      </w:r>
      <w:r w:rsidR="007967FB">
        <w:rPr>
          <w:rFonts w:ascii="Arial" w:hAnsi="Arial" w:cs="Arial"/>
          <w:sz w:val="22"/>
          <w:szCs w:val="22"/>
        </w:rPr>
        <w:t xml:space="preserve"> – </w:t>
      </w:r>
      <w:r w:rsidR="007967FB" w:rsidRPr="007967FB">
        <w:rPr>
          <w:rFonts w:ascii="Arial" w:hAnsi="Arial" w:cs="Arial"/>
          <w:sz w:val="22"/>
          <w:szCs w:val="22"/>
        </w:rPr>
        <w:t xml:space="preserve">a new metric reflecting the distance between a molecule and the model’s learned data distribution. This unfamiliarity score proves highly informative for detecting </w:t>
      </w:r>
      <w:r w:rsidR="007967FB">
        <w:rPr>
          <w:rFonts w:ascii="Arial" w:hAnsi="Arial" w:cs="Arial"/>
          <w:sz w:val="22"/>
          <w:szCs w:val="22"/>
        </w:rPr>
        <w:t>poorly learned</w:t>
      </w:r>
      <w:r w:rsidR="007967FB" w:rsidRPr="007967FB">
        <w:rPr>
          <w:rFonts w:ascii="Arial" w:hAnsi="Arial" w:cs="Arial"/>
          <w:sz w:val="22"/>
          <w:szCs w:val="22"/>
        </w:rPr>
        <w:t xml:space="preserve"> compounds and complements uncertainty-based methods for estimating prediction reliability.</w:t>
      </w:r>
    </w:p>
    <w:p w14:paraId="1073959A" w14:textId="0E98F739" w:rsidR="00D66512" w:rsidRPr="00420759" w:rsidRDefault="00C5375B" w:rsidP="00452994">
      <w:pPr>
        <w:jc w:val="both"/>
        <w:rPr>
          <w:rFonts w:ascii="Arial" w:hAnsi="Arial" w:cs="Arial"/>
          <w:sz w:val="22"/>
          <w:szCs w:val="22"/>
        </w:rPr>
      </w:pPr>
      <w:r w:rsidRPr="00420759">
        <w:rPr>
          <w:rFonts w:ascii="Arial" w:hAnsi="Arial" w:cs="Arial"/>
          <w:sz w:val="22"/>
          <w:szCs w:val="22"/>
        </w:rPr>
        <w:t xml:space="preserve">Finally, </w:t>
      </w:r>
      <w:r w:rsidRPr="00420759">
        <w:rPr>
          <w:rFonts w:ascii="Arial" w:hAnsi="Arial" w:cs="Arial"/>
          <w:b/>
          <w:bCs/>
          <w:sz w:val="22"/>
          <w:szCs w:val="22"/>
        </w:rPr>
        <w:t>chapter 7</w:t>
      </w:r>
      <w:r w:rsidRPr="00420759">
        <w:rPr>
          <w:rFonts w:ascii="Arial" w:hAnsi="Arial" w:cs="Arial"/>
          <w:sz w:val="22"/>
          <w:szCs w:val="22"/>
        </w:rPr>
        <w:t xml:space="preserve"> synthesizes </w:t>
      </w:r>
      <w:r w:rsidR="008E2275" w:rsidRPr="00420759">
        <w:rPr>
          <w:rFonts w:ascii="Arial" w:hAnsi="Arial" w:cs="Arial"/>
          <w:sz w:val="22"/>
          <w:szCs w:val="22"/>
        </w:rPr>
        <w:t xml:space="preserve">practical </w:t>
      </w:r>
      <w:r w:rsidRPr="00420759">
        <w:rPr>
          <w:rFonts w:ascii="Arial" w:hAnsi="Arial" w:cs="Arial"/>
          <w:sz w:val="22"/>
          <w:szCs w:val="22"/>
        </w:rPr>
        <w:t xml:space="preserve">recommendations and guidelines </w:t>
      </w:r>
      <w:r w:rsidR="007967FB">
        <w:rPr>
          <w:rFonts w:ascii="Arial" w:hAnsi="Arial" w:cs="Arial"/>
          <w:sz w:val="22"/>
          <w:szCs w:val="22"/>
        </w:rPr>
        <w:t>derived from the</w:t>
      </w:r>
      <w:r w:rsidRPr="00420759">
        <w:rPr>
          <w:rFonts w:ascii="Arial" w:hAnsi="Arial" w:cs="Arial"/>
          <w:sz w:val="22"/>
          <w:szCs w:val="22"/>
        </w:rPr>
        <w:t xml:space="preserve"> findings </w:t>
      </w:r>
      <w:r w:rsidR="007967FB">
        <w:rPr>
          <w:rFonts w:ascii="Arial" w:hAnsi="Arial" w:cs="Arial"/>
          <w:sz w:val="22"/>
          <w:szCs w:val="22"/>
        </w:rPr>
        <w:t>of</w:t>
      </w:r>
      <w:r w:rsidRPr="00420759">
        <w:rPr>
          <w:rFonts w:ascii="Arial" w:hAnsi="Arial" w:cs="Arial"/>
          <w:sz w:val="22"/>
          <w:szCs w:val="22"/>
        </w:rPr>
        <w:t xml:space="preserve"> this thesis</w:t>
      </w:r>
      <w:r w:rsidR="007967FB">
        <w:rPr>
          <w:rFonts w:ascii="Arial" w:hAnsi="Arial" w:cs="Arial"/>
          <w:sz w:val="22"/>
          <w:szCs w:val="22"/>
        </w:rPr>
        <w:t>, offering strategies</w:t>
      </w:r>
      <w:r w:rsidRPr="00420759">
        <w:rPr>
          <w:rFonts w:ascii="Arial" w:hAnsi="Arial" w:cs="Arial"/>
          <w:sz w:val="22"/>
          <w:szCs w:val="22"/>
        </w:rPr>
        <w:t xml:space="preserve"> </w:t>
      </w:r>
      <w:r w:rsidR="007967FB">
        <w:rPr>
          <w:rFonts w:ascii="Arial" w:hAnsi="Arial" w:cs="Arial"/>
          <w:sz w:val="22"/>
          <w:szCs w:val="22"/>
        </w:rPr>
        <w:t>t</w:t>
      </w:r>
      <w:r w:rsidR="008E2275" w:rsidRPr="00420759">
        <w:rPr>
          <w:rFonts w:ascii="Arial" w:hAnsi="Arial" w:cs="Arial"/>
          <w:sz w:val="22"/>
          <w:szCs w:val="22"/>
        </w:rPr>
        <w:t>o support the reliable application of molecular machine learning in prospective drug discovery.</w:t>
      </w:r>
      <w:r w:rsidR="00052E25" w:rsidRPr="00420759">
        <w:rPr>
          <w:rFonts w:ascii="Arial" w:hAnsi="Arial" w:cs="Arial"/>
          <w:sz w:val="22"/>
          <w:szCs w:val="22"/>
        </w:rPr>
        <w:t xml:space="preserve"> </w:t>
      </w:r>
      <w:r w:rsidR="007967FB" w:rsidRPr="007967FB">
        <w:rPr>
          <w:rFonts w:ascii="Arial" w:hAnsi="Arial" w:cs="Arial"/>
          <w:sz w:val="22"/>
          <w:szCs w:val="22"/>
        </w:rPr>
        <w:t>Collectively, the findings in this thesis chart a path toward more robust, data-efficient, and generalizable machine learning systems</w:t>
      </w:r>
      <w:r w:rsidR="007967FB">
        <w:rPr>
          <w:rFonts w:ascii="Arial" w:hAnsi="Arial" w:cs="Arial"/>
          <w:sz w:val="22"/>
          <w:szCs w:val="22"/>
        </w:rPr>
        <w:t xml:space="preserve"> – </w:t>
      </w:r>
      <w:r w:rsidR="007967FB" w:rsidRPr="007967FB">
        <w:rPr>
          <w:rFonts w:ascii="Arial" w:hAnsi="Arial" w:cs="Arial"/>
          <w:sz w:val="22"/>
          <w:szCs w:val="22"/>
        </w:rPr>
        <w:t>capable of operating beyond the current boundaries of chemical knowledge.</w:t>
      </w:r>
    </w:p>
    <w:sectPr w:rsidR="00D66512" w:rsidRPr="00420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447FD"/>
    <w:multiLevelType w:val="hybridMultilevel"/>
    <w:tmpl w:val="57B2DD74"/>
    <w:lvl w:ilvl="0" w:tplc="0024E164">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37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A6"/>
    <w:rsid w:val="00040BA6"/>
    <w:rsid w:val="00052E25"/>
    <w:rsid w:val="002B5ECB"/>
    <w:rsid w:val="00420759"/>
    <w:rsid w:val="00452994"/>
    <w:rsid w:val="005E75F9"/>
    <w:rsid w:val="00777601"/>
    <w:rsid w:val="007967FB"/>
    <w:rsid w:val="007F0740"/>
    <w:rsid w:val="008E2275"/>
    <w:rsid w:val="00B22F51"/>
    <w:rsid w:val="00B65341"/>
    <w:rsid w:val="00C2427B"/>
    <w:rsid w:val="00C5375B"/>
    <w:rsid w:val="00C9693D"/>
    <w:rsid w:val="00D66512"/>
    <w:rsid w:val="00E80EA1"/>
    <w:rsid w:val="00F5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2A40C"/>
  <w15:chartTrackingRefBased/>
  <w15:docId w15:val="{8C1DA5FD-899D-1E4C-A4D1-45CD4329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0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BA6"/>
    <w:rPr>
      <w:rFonts w:eastAsiaTheme="majorEastAsia" w:cstheme="majorBidi"/>
      <w:color w:val="272727" w:themeColor="text1" w:themeTint="D8"/>
    </w:rPr>
  </w:style>
  <w:style w:type="paragraph" w:styleId="Title">
    <w:name w:val="Title"/>
    <w:basedOn w:val="Normal"/>
    <w:next w:val="Normal"/>
    <w:link w:val="TitleChar"/>
    <w:uiPriority w:val="10"/>
    <w:qFormat/>
    <w:rsid w:val="0004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BA6"/>
    <w:pPr>
      <w:spacing w:before="160"/>
      <w:jc w:val="center"/>
    </w:pPr>
    <w:rPr>
      <w:i/>
      <w:iCs/>
      <w:color w:val="404040" w:themeColor="text1" w:themeTint="BF"/>
    </w:rPr>
  </w:style>
  <w:style w:type="character" w:customStyle="1" w:styleId="QuoteChar">
    <w:name w:val="Quote Char"/>
    <w:basedOn w:val="DefaultParagraphFont"/>
    <w:link w:val="Quote"/>
    <w:uiPriority w:val="29"/>
    <w:rsid w:val="00040BA6"/>
    <w:rPr>
      <w:i/>
      <w:iCs/>
      <w:color w:val="404040" w:themeColor="text1" w:themeTint="BF"/>
    </w:rPr>
  </w:style>
  <w:style w:type="paragraph" w:styleId="ListParagraph">
    <w:name w:val="List Paragraph"/>
    <w:basedOn w:val="Normal"/>
    <w:uiPriority w:val="34"/>
    <w:qFormat/>
    <w:rsid w:val="00040BA6"/>
    <w:pPr>
      <w:ind w:left="720"/>
      <w:contextualSpacing/>
    </w:pPr>
  </w:style>
  <w:style w:type="character" w:styleId="IntenseEmphasis">
    <w:name w:val="Intense Emphasis"/>
    <w:basedOn w:val="DefaultParagraphFont"/>
    <w:uiPriority w:val="21"/>
    <w:qFormat/>
    <w:rsid w:val="00040BA6"/>
    <w:rPr>
      <w:i/>
      <w:iCs/>
      <w:color w:val="0F4761" w:themeColor="accent1" w:themeShade="BF"/>
    </w:rPr>
  </w:style>
  <w:style w:type="paragraph" w:styleId="IntenseQuote">
    <w:name w:val="Intense Quote"/>
    <w:basedOn w:val="Normal"/>
    <w:next w:val="Normal"/>
    <w:link w:val="IntenseQuoteChar"/>
    <w:uiPriority w:val="30"/>
    <w:qFormat/>
    <w:rsid w:val="0004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BA6"/>
    <w:rPr>
      <w:i/>
      <w:iCs/>
      <w:color w:val="0F4761" w:themeColor="accent1" w:themeShade="BF"/>
    </w:rPr>
  </w:style>
  <w:style w:type="character" w:styleId="IntenseReference">
    <w:name w:val="Intense Reference"/>
    <w:basedOn w:val="DefaultParagraphFont"/>
    <w:uiPriority w:val="32"/>
    <w:qFormat/>
    <w:rsid w:val="00040BA6"/>
    <w:rPr>
      <w:b/>
      <w:bCs/>
      <w:smallCaps/>
      <w:color w:val="0F4761" w:themeColor="accent1" w:themeShade="BF"/>
      <w:spacing w:val="5"/>
    </w:rPr>
  </w:style>
  <w:style w:type="paragraph" w:customStyle="1" w:styleId="p1">
    <w:name w:val="p1"/>
    <w:basedOn w:val="Normal"/>
    <w:rsid w:val="00040B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40B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3004">
      <w:bodyDiv w:val="1"/>
      <w:marLeft w:val="0"/>
      <w:marRight w:val="0"/>
      <w:marTop w:val="0"/>
      <w:marBottom w:val="0"/>
      <w:divBdr>
        <w:top w:val="none" w:sz="0" w:space="0" w:color="auto"/>
        <w:left w:val="none" w:sz="0" w:space="0" w:color="auto"/>
        <w:bottom w:val="none" w:sz="0" w:space="0" w:color="auto"/>
        <w:right w:val="none" w:sz="0" w:space="0" w:color="auto"/>
      </w:divBdr>
    </w:div>
    <w:div w:id="181671856">
      <w:bodyDiv w:val="1"/>
      <w:marLeft w:val="0"/>
      <w:marRight w:val="0"/>
      <w:marTop w:val="0"/>
      <w:marBottom w:val="0"/>
      <w:divBdr>
        <w:top w:val="none" w:sz="0" w:space="0" w:color="auto"/>
        <w:left w:val="none" w:sz="0" w:space="0" w:color="auto"/>
        <w:bottom w:val="none" w:sz="0" w:space="0" w:color="auto"/>
        <w:right w:val="none" w:sz="0" w:space="0" w:color="auto"/>
      </w:divBdr>
    </w:div>
    <w:div w:id="521630920">
      <w:bodyDiv w:val="1"/>
      <w:marLeft w:val="0"/>
      <w:marRight w:val="0"/>
      <w:marTop w:val="0"/>
      <w:marBottom w:val="0"/>
      <w:divBdr>
        <w:top w:val="none" w:sz="0" w:space="0" w:color="auto"/>
        <w:left w:val="none" w:sz="0" w:space="0" w:color="auto"/>
        <w:bottom w:val="none" w:sz="0" w:space="0" w:color="auto"/>
        <w:right w:val="none" w:sz="0" w:space="0" w:color="auto"/>
      </w:divBdr>
    </w:div>
    <w:div w:id="814295146">
      <w:bodyDiv w:val="1"/>
      <w:marLeft w:val="0"/>
      <w:marRight w:val="0"/>
      <w:marTop w:val="0"/>
      <w:marBottom w:val="0"/>
      <w:divBdr>
        <w:top w:val="none" w:sz="0" w:space="0" w:color="auto"/>
        <w:left w:val="none" w:sz="0" w:space="0" w:color="auto"/>
        <w:bottom w:val="none" w:sz="0" w:space="0" w:color="auto"/>
        <w:right w:val="none" w:sz="0" w:space="0" w:color="auto"/>
      </w:divBdr>
    </w:div>
    <w:div w:id="1345744114">
      <w:bodyDiv w:val="1"/>
      <w:marLeft w:val="0"/>
      <w:marRight w:val="0"/>
      <w:marTop w:val="0"/>
      <w:marBottom w:val="0"/>
      <w:divBdr>
        <w:top w:val="none" w:sz="0" w:space="0" w:color="auto"/>
        <w:left w:val="none" w:sz="0" w:space="0" w:color="auto"/>
        <w:bottom w:val="none" w:sz="0" w:space="0" w:color="auto"/>
        <w:right w:val="none" w:sz="0" w:space="0" w:color="auto"/>
      </w:divBdr>
    </w:div>
    <w:div w:id="1455446759">
      <w:bodyDiv w:val="1"/>
      <w:marLeft w:val="0"/>
      <w:marRight w:val="0"/>
      <w:marTop w:val="0"/>
      <w:marBottom w:val="0"/>
      <w:divBdr>
        <w:top w:val="none" w:sz="0" w:space="0" w:color="auto"/>
        <w:left w:val="none" w:sz="0" w:space="0" w:color="auto"/>
        <w:bottom w:val="none" w:sz="0" w:space="0" w:color="auto"/>
        <w:right w:val="none" w:sz="0" w:space="0" w:color="auto"/>
      </w:divBdr>
    </w:div>
    <w:div w:id="180947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3</cp:revision>
  <dcterms:created xsi:type="dcterms:W3CDTF">2025-04-29T09:52:00Z</dcterms:created>
  <dcterms:modified xsi:type="dcterms:W3CDTF">2025-04-29T13:11:00Z</dcterms:modified>
</cp:coreProperties>
</file>