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comments.xml" ContentType="application/vnd.openxmlformats-officedocument.wordprocessingml.comments+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sz w:val="30"/>
          <w:szCs w:val="30"/>
        </w:rPr>
        <w:t>Eimeria falciformis</w:t>
      </w:r>
      <w:r>
        <w:rPr>
          <w:rFonts w:ascii="Times New Roman" w:hAnsi="Times New Roman"/>
          <w:bCs w:val="false"/>
          <w:sz w:val="30"/>
          <w:szCs w:val="30"/>
        </w:rPr>
        <w:t xml:space="preserve">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rFonts w:ascii="Times New Roman" w:hAnsi="Times New Roman" w:cs="Times New Roman"/>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oocystes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rPr>
      </w:pPr>
      <w:r>
        <w:rPr>
          <w:rFonts w:ascii="Times new roman" w:hAnsi="Times new roman"/>
          <w:b/>
          <w:bCs/>
        </w:rPr>
        <w:t>2. Material and Methods</w:t>
      </w:r>
    </w:p>
    <w:p>
      <w:pPr>
        <w:pStyle w:val="Normal"/>
        <w:spacing w:lineRule="auto" w:line="360"/>
        <w:jc w:val="both"/>
        <w:rPr>
          <w:rFonts w:ascii="Times new roman" w:hAnsi="Times new roman"/>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0"/>
      <w:r>
        <w:rPr/>
        <w:t>14 days</w:t>
      </w:r>
      <w:r>
        <w:rPr/>
      </w:r>
      <w:commentRangeEnd w:id="0"/>
      <w:r>
        <w:commentReference w:id="0"/>
      </w:r>
      <w:r>
        <w:rPr/>
        <w:t xml:space="preserve">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3175g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420"/>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1"/>
      <w:r>
        <w:rPr>
          <w:rFonts w:ascii="Times New Roman" w:hAnsi="Times New Roman"/>
          <w:highlight w:val="yellow"/>
        </w:rPr>
        <w:t xml:space="preserve">The number of copies was calculated by taking the antilog for some examples in the text. </w:t>
      </w:r>
      <w:commentRangeEnd w:id="1"/>
      <w:r>
        <w:commentReference w:id="1"/>
      </w:r>
      <w:r>
        <w:rPr>
          <w:rFonts w:ascii="Times New Roman" w:hAnsi="Times New Roman"/>
          <w:highlight w:val="yellow"/>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bookmarkStart w:id="12"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2"/>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2 µl Oligo (dT)18 primers (100 µM, 0.5 µg/µl) were added to 1 µg template RNA to a total volume of 22 µl. Denaturation of potential secondary structures was achieved by heating the mixture to 65°C for 5 min using the 2720 Thermal Cycler (Applied Biosystems; Foster City, USA) and cooling on ice afterwards to prevent renaturation. </w:t>
      </w:r>
    </w:p>
    <w:p>
      <w:pPr>
        <w:pStyle w:val="Normal"/>
        <w:spacing w:lineRule="auto" w:line="360"/>
        <w:jc w:val="both"/>
        <w:rPr/>
      </w:pPr>
      <w:r>
        <w:rPr>
          <w:rFonts w:ascii="Times New Roman" w:hAnsi="Times New Roman"/>
        </w:rPr>
        <w:t>Reverse transcription was carried out according to the manufacturer protocol. Excess lysates, RNA and cDNA were stored at -80</w:t>
      </w:r>
      <w:r>
        <w:rPr>
          <w:rFonts w:eastAsia="Times New Roman" w:cs="Times New Roman" w:ascii="Times New Roman" w:hAnsi="Times New Roman"/>
        </w:rPr>
        <w:t>℃</w:t>
      </w:r>
      <w:r>
        <w:rPr>
          <w:rFonts w:eastAsia="SimSun" w:cs="Lucida Sans" w:ascii="Times New Roman" w:hAnsi="Times New Roman"/>
        </w:rPr>
        <w:t>.</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Il-10</w:t>
      </w:r>
      <w:r>
        <w:rPr>
          <w:rFonts w:ascii="Times New Roman" w:hAnsi="Times New Roman"/>
          <w:color w:val="000000"/>
        </w:rPr>
        <w:t xml:space="preserve">, </w:t>
      </w:r>
      <w:r>
        <w:rPr>
          <w:rFonts w:ascii="Times New Roman" w:hAnsi="Times New Roman"/>
          <w:i/>
          <w:iCs/>
          <w:color w:val="000000"/>
        </w:rPr>
        <w:t>Il-12</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INF-γ.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rimers are given in Table 1. All cDNA samples were standardized to 1 μg/μl by adding corresponding amount of molecular grade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Table 1: Primer-pairs used for RT-qPCR analysis of gene expression.</w:t>
      </w:r>
    </w:p>
    <w:tbl>
      <w:tblPr>
        <w:tblW w:w="10035" w:type="dxa"/>
        <w:jc w:val="left"/>
        <w:tblInd w:w="116" w:type="dxa"/>
        <w:tblCellMar>
          <w:top w:w="55" w:type="dxa"/>
          <w:left w:w="45" w:type="dxa"/>
          <w:bottom w:w="55" w:type="dxa"/>
          <w:right w:w="55" w:type="dxa"/>
        </w:tblCellMar>
        <w:tblLook w:noVBand="1" w:val="04a0" w:noHBand="0" w:lastColumn="0" w:firstColumn="1" w:lastRow="0" w:firstRow="1"/>
      </w:tblPr>
      <w:tblGrid>
        <w:gridCol w:w="1471"/>
        <w:gridCol w:w="4140"/>
        <w:gridCol w:w="1875"/>
        <w:gridCol w:w="2548"/>
      </w:tblGrid>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Amplicon size(nt)</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96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198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CAAAGACACCAATGGCTCAC</w:t>
            </w:r>
          </w:p>
          <w:p>
            <w:pPr>
              <w:pStyle w:val="TableContents"/>
              <w:spacing w:lineRule="auto" w:line="360"/>
              <w:jc w:val="both"/>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161</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ACAGCAAGGCGAAAAAGGATG </w:t>
            </w:r>
          </w:p>
          <w:p>
            <w:pPr>
              <w:pStyle w:val="TableContents"/>
              <w:spacing w:lineRule="auto" w:line="360"/>
              <w:jc w:val="both"/>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TAGTCCTTCCTACCCCAATTTCC </w:t>
            </w:r>
          </w:p>
          <w:p>
            <w:pPr>
              <w:pStyle w:val="Normal"/>
              <w:spacing w:lineRule="auto" w:line="360"/>
              <w:jc w:val="both"/>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CCCATTCCTCGTCACGATCTC</w:t>
            </w:r>
          </w:p>
          <w:p>
            <w:pPr>
              <w:pStyle w:val="Normal"/>
              <w:spacing w:lineRule="auto" w:line="360"/>
              <w:jc w:val="both"/>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110</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ATGGCTGCTGCGTTGAGAA</w:t>
            </w:r>
          </w:p>
          <w:p>
            <w:pPr>
              <w:pStyle w:val="Normal"/>
              <w:spacing w:lineRule="auto" w:line="360"/>
              <w:jc w:val="both"/>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TACGTCAGACATTCGGGAAGCAGT </w:t>
            </w:r>
          </w:p>
          <w:p>
            <w:pPr>
              <w:pStyle w:val="Normal"/>
              <w:spacing w:lineRule="auto" w:line="360"/>
              <w:jc w:val="both"/>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186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GGAGTTCGAGGAACCCTAGTG</w:t>
            </w:r>
          </w:p>
          <w:p>
            <w:pPr>
              <w:pStyle w:val="Normal"/>
              <w:spacing w:lineRule="auto" w:line="360"/>
              <w:jc w:val="both"/>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82</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CTCTGTGGGGCCTAATTTCCA</w:t>
            </w:r>
          </w:p>
          <w:p>
            <w:pPr>
              <w:pStyle w:val="Normal"/>
              <w:spacing w:lineRule="auto" w:line="360"/>
              <w:jc w:val="both"/>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135</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1 μl of 10 μM forward and reverse primers (2 μl total), and 4 μl of 1 μg/μl template cDNA. qPCR amplifications were performed using Bio-Rad CFX96, Thermalcycler1000 system as follows: initial denaturation for 3 min at 95°C, followed by 40 cycles of 10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420"/>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420"/>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3" w:name="__UnoMark__10537_2905672918"/>
      <w:r>
        <w:rPr>
          <w:rFonts w:ascii="Times New Roman" w:hAnsi="Times New Roman"/>
          <w:color w:val="000000"/>
        </w:rPr>
        <w:t>(R Development Core Team, 2008)</w:t>
      </w:r>
      <w:bookmarkEnd w:id="13"/>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sz w:val="24"/>
          <w:szCs w:val="24"/>
        </w:rPr>
      </w:pPr>
      <w:r>
        <w:rPr>
          <w:rFonts w:ascii="Times New Roman" w:hAnsi="Times New Roman"/>
          <w:b/>
          <w:bCs/>
          <w:color w:val="000000"/>
          <w:sz w:val="24"/>
          <w:szCs w:val="24"/>
        </w:rPr>
        <w:t>3. Results</w:t>
      </w:r>
    </w:p>
    <w:p>
      <w:pPr>
        <w:pStyle w:val="Heading3"/>
        <w:spacing w:lineRule="auto" w:line="360"/>
        <w:jc w:val="both"/>
        <w:rPr>
          <w:sz w:val="24"/>
          <w:szCs w:val="24"/>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4" w:name="__DdeLink__1636_3010982077"/>
      <w:r>
        <w:rPr>
          <w:rFonts w:ascii="Times New Roman" w:hAnsi="Times New Roman"/>
        </w:rPr>
        <w:t>weight</w:t>
      </w:r>
      <w:bookmarkEnd w:id="14"/>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color="auto"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i/>
          <w:iCs/>
          <w:highlight w:val="white"/>
        </w:rPr>
        <w:t>cdc42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5"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5"/>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color="auto"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TextBody"/>
        <w:shd w:val="clear" w:color="auto" w:fill="FFFFFF"/>
        <w:spacing w:lineRule="auto" w:line="360"/>
        <w:jc w:val="both"/>
        <w:rPr>
          <w:sz w:val="26"/>
          <w:szCs w:val="26"/>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dpis,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IL-10</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color w:val="000000"/>
        </w:rPr>
        <w:t>), tumour growth factor beta (</w:t>
      </w:r>
      <w:r>
        <w:rPr>
          <w:rFonts w:ascii="Times New Roman" w:hAnsi="Times New Roman"/>
          <w:i/>
          <w:iCs/>
          <w:color w:val="000000"/>
        </w:rPr>
        <w:t>TGF-β</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6" w:name="move5153646681"/>
      <w:bookmarkEnd w:id="16"/>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 xml:space="preserve">(Table 2).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rPr>
        <w:t xml:space="preserve">, </w:t>
      </w:r>
      <w:r>
        <w:rPr>
          <w:rFonts w:ascii="Times New Roman" w:hAnsi="Times New Roman"/>
          <w:i/>
          <w:iCs/>
        </w:rPr>
        <w:t>IL-12</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bookmarkStart w:id="17" w:name="__DdeLink__2606_96653672"/>
      <w:r>
        <w:rPr>
          <w:rFonts w:ascii="Times New Roman" w:hAnsi="Times New Roman"/>
          <w:i/>
          <w:iCs/>
          <w:color w:val="000000"/>
          <w:highlight w:val="white"/>
        </w:rPr>
        <w:t>E. falciformis</w:t>
      </w:r>
      <w:r>
        <w:rPr>
          <w:rFonts w:ascii="Times New Roman" w:hAnsi="Times New Roman"/>
          <w:color w:val="000000"/>
          <w:highlight w:val="white"/>
        </w:rPr>
        <w:t xml:space="preserve"> BayerHaberkorn</w:t>
      </w:r>
      <w:bookmarkEnd w:id="17"/>
      <w:r>
        <w:rPr>
          <w:rFonts w:ascii="Times New Roman" w:hAnsi="Times New Roman"/>
          <w:color w:val="000000"/>
          <w:highlight w:val="white"/>
        </w:rPr>
        <w:t xml:space="preserve">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on a systemic level</w:t>
      </w:r>
      <w:r>
        <w:rPr>
          <w:rFonts w:ascii="Times New Roman" w:hAnsi="Times New Roman"/>
          <w:color w:val="000000"/>
          <w:highlight w:val="white"/>
        </w:rPr>
        <w:t xml:space="preserve">. </w:t>
      </w:r>
    </w:p>
    <w:p>
      <w:pPr>
        <w:pStyle w:val="TextBodyIndent"/>
        <w:spacing w:lineRule="auto" w:line="360"/>
        <w:jc w:val="left"/>
        <w:rPr/>
      </w:pPr>
      <w:r>
        <w:rPr>
          <w:rFonts w:ascii="Times New Roman" w:hAnsi="Times New Roman"/>
          <w:i w:val="false"/>
          <w:iCs w:val="false"/>
          <w:color w:val="000000"/>
          <w:highlight w:val="white"/>
          <w:highlight w:val="white"/>
        </w:rPr>
        <w:t>Expression levels in the crude caecum tissue show</w:t>
      </w:r>
      <w:r>
        <w:rPr>
          <w:rFonts w:ascii="Times New Roman" w:hAnsi="Times New Roman"/>
          <w:i w:val="false"/>
          <w:iCs w:val="false"/>
          <w:color w:val="000000"/>
          <w:highlight w:val="white"/>
          <w:highlight w:val="white"/>
        </w:rPr>
        <w:t>ed</w:t>
      </w:r>
      <w:r>
        <w:rPr>
          <w:rFonts w:ascii="Times New Roman" w:hAnsi="Times New Roman"/>
          <w:i w:val="false"/>
          <w:iCs w:val="false"/>
          <w:color w:val="000000"/>
          <w:highlight w:val="white"/>
          <w:highlight w:val="white"/>
        </w:rPr>
        <w:t xml:space="preserve"> </w:t>
      </w:r>
      <w:r>
        <w:rPr>
          <w:rFonts w:ascii="Times New Roman" w:hAnsi="Times New Roman"/>
          <w:i w:val="false"/>
          <w:iCs w:val="false"/>
          <w:color w:val="000000"/>
          <w:highlight w:val="white"/>
          <w:highlight w:val="white"/>
        </w:rPr>
        <w:t>significant</w:t>
      </w:r>
      <w:r>
        <w:rPr>
          <w:rFonts w:ascii="Times New Roman" w:hAnsi="Times New Roman"/>
          <w:i w:val="false"/>
          <w:iCs w:val="false"/>
          <w:color w:val="000000"/>
          <w:highlight w:val="white"/>
          <w:highlight w:val="white"/>
        </w:rPr>
        <w:t xml:space="preserve"> differences between uninfected controls and </w:t>
      </w:r>
      <w:r>
        <w:rPr>
          <w:rFonts w:ascii="Times New Roman" w:hAnsi="Times New Roman"/>
          <w:i w:val="false"/>
          <w:iCs w:val="false"/>
          <w:color w:val="000000"/>
          <w:highlight w:val="white"/>
          <w:highlight w:val="white"/>
        </w:rPr>
        <w:t xml:space="preserve">mice infected with </w:t>
      </w:r>
      <w:r>
        <w:rPr>
          <w:rFonts w:ascii="Times New Roman" w:hAnsi="Times New Roman"/>
          <w:i/>
          <w:iCs/>
          <w:color w:val="000000"/>
          <w:highlight w:val="white"/>
          <w:highlight w:val="white"/>
        </w:rPr>
        <w:t>E. falciformis</w:t>
      </w:r>
      <w:r>
        <w:rPr>
          <w:rFonts w:ascii="Times New Roman" w:hAnsi="Times New Roman"/>
          <w:i w:val="false"/>
          <w:iCs w:val="false"/>
          <w:color w:val="000000"/>
          <w:highlight w:val="white"/>
          <w:highlight w:val="white"/>
        </w:rPr>
        <w:t xml:space="preserve"> Brandenburg88 for the CXCL9 (p=0.020) and IL-6 (p=0.042) targets. There were no observed significant differences between the expression values of </w:t>
      </w:r>
      <w:r>
        <w:rPr>
          <w:rFonts w:ascii="Times New Roman" w:hAnsi="Times New Roman"/>
          <w:i w:val="false"/>
          <w:iCs w:val="false"/>
          <w:color w:val="000000"/>
          <w:highlight w:val="white"/>
          <w:highlight w:val="white"/>
        </w:rPr>
        <w:t xml:space="preserve">the remaining targets in caecum when compared to either uninfected controls or the  </w:t>
      </w:r>
      <w:r>
        <w:rPr>
          <w:rFonts w:ascii="Times New Roman" w:hAnsi="Times New Roman"/>
          <w:i/>
          <w:iCs/>
          <w:color w:val="000000"/>
          <w:highlight w:val="white"/>
          <w:highlight w:val="white"/>
        </w:rPr>
        <w:t>E. falciformis</w:t>
      </w:r>
      <w:r>
        <w:rPr>
          <w:rFonts w:ascii="Times New Roman" w:hAnsi="Times New Roman"/>
          <w:i w:val="false"/>
          <w:iCs w:val="false"/>
          <w:color w:val="000000"/>
          <w:highlight w:val="white"/>
          <w:highlight w:val="white"/>
        </w:rPr>
        <w:t xml:space="preserve"> BayerHaberkorn categories. </w:t>
      </w:r>
    </w:p>
    <w:p>
      <w:pPr>
        <w:pStyle w:val="Normal"/>
        <w:spacing w:lineRule="auto" w:line="360"/>
        <w:jc w:val="both"/>
        <w:rPr>
          <w:rFonts w:ascii="Times New Roman" w:hAnsi="Times New Roman"/>
          <w:i w:val="false"/>
          <w:i w:val="false"/>
          <w:iCs w:val="false"/>
          <w:color w:val="000000"/>
          <w:highlight w:val="white"/>
        </w:rPr>
      </w:pPr>
      <w:r>
        <w:rPr>
          <w:rFonts w:ascii="Times New Roman" w:hAnsi="Times New Roman"/>
          <w:color w:val="000000"/>
          <w:highlight w:val="white"/>
        </w:rPr>
        <w:t xml:space="preserve">In summary host </w:t>
      </w:r>
      <w:r>
        <w:rPr>
          <w:rFonts w:ascii="Times New Roman" w:hAnsi="Times New Roman"/>
          <w:color w:val="000000"/>
          <w:highlight w:val="white"/>
        </w:rPr>
        <w:t xml:space="preserve">caecum and splenic </w:t>
      </w:r>
      <w:r>
        <w:rPr>
          <w:rFonts w:ascii="Times New Roman" w:hAnsi="Times New Roman"/>
          <w:color w:val="000000"/>
          <w:highlight w:val="white"/>
        </w:rPr>
        <w:t>gene expression of genes relevant for immune responses does not differ significantly from uninfected controls during infection with wild derived isolat</w:t>
      </w:r>
      <w:r>
        <w:rPr>
          <w:rFonts w:ascii="Times New Roman" w:hAnsi="Times New Roman"/>
          <w:color w:val="000000"/>
          <w:highlight w:val="white"/>
        </w:rPr>
        <w:t>e of</w:t>
      </w:r>
      <w:r>
        <w:rPr>
          <w:rFonts w:ascii="Times New Roman" w:hAnsi="Times New Roman"/>
          <w:color w:val="000000"/>
          <w:highlight w:val="white"/>
        </w:rPr>
        <w:t xml:space="preserve"> </w:t>
      </w:r>
      <w:r>
        <w:rPr>
          <w:rFonts w:ascii="Times New Roman" w:hAnsi="Times New Roman"/>
          <w:i/>
          <w:iCs/>
          <w:color w:val="000000"/>
          <w:highlight w:val="white"/>
        </w:rPr>
        <w:t>E. ferrisi.</w:t>
      </w:r>
      <w:r>
        <w:rPr>
          <w:rFonts w:ascii="Times New Roman" w:hAnsi="Times New Roman"/>
          <w:i w:val="false"/>
          <w:iCs w:val="false"/>
          <w:color w:val="000000"/>
          <w:highlight w:val="white"/>
        </w:rPr>
        <w:t xml:space="preserve"> </w:t>
      </w:r>
      <w:r>
        <w:rPr>
          <w:rFonts w:ascii="Times New Roman" w:hAnsi="Times New Roman"/>
          <w:color w:val="000000"/>
          <w:highlight w:val="white"/>
        </w:rPr>
        <w:t xml:space="preserve">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r>
        <w:rPr>
          <w:rFonts w:ascii="Times New Roman" w:hAnsi="Times New Roman"/>
          <w:i w:val="false"/>
          <w:iCs w:val="false"/>
          <w:color w:val="000000"/>
          <w:highlight w:val="white"/>
        </w:rPr>
        <w:t xml:space="preserve">This more so in splenic expression profiles as crude caecum samples confirm significantly higher expression of CXCL9 in both tissue cases. </w:t>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TextBodyIndent"/>
        <w:spacing w:lineRule="auto" w:line="360"/>
        <w:jc w:val="both"/>
        <w:rPr/>
      </w:pPr>
      <w:r>
        <w:rPr>
          <w:rFonts w:ascii="Times New Roman" w:hAnsi="Times New Roman"/>
          <w:i/>
          <w:iCs/>
          <w:color w:val="000000"/>
          <w:highlight w:val="white"/>
        </w:rPr>
        <w:t xml:space="preserve"> </w:t>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color w:val="000000"/>
        </w:rPr>
        <w:t xml:space="preserve"> – Generalized linear mixed effect models show gene expression differences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93"/>
        <w:gridCol w:w="76"/>
        <w:gridCol w:w="572"/>
        <w:gridCol w:w="1235"/>
        <w:gridCol w:w="572"/>
        <w:gridCol w:w="9"/>
        <w:gridCol w:w="44"/>
        <w:gridCol w:w="11"/>
        <w:gridCol w:w="549"/>
        <w:gridCol w:w="1133"/>
        <w:gridCol w:w="687"/>
        <w:gridCol w:w="14"/>
        <w:gridCol w:w="32"/>
        <w:gridCol w:w="9"/>
        <w:gridCol w:w="563"/>
        <w:gridCol w:w="1186"/>
        <w:gridCol w:w="572"/>
        <w:gridCol w:w="17"/>
        <w:gridCol w:w="37"/>
        <w:gridCol w:w="14"/>
        <w:gridCol w:w="536"/>
        <w:gridCol w:w="1148"/>
        <w:gridCol w:w="563"/>
        <w:gridCol w:w="15"/>
        <w:gridCol w:w="43"/>
        <w:gridCol w:w="17"/>
        <w:gridCol w:w="599"/>
        <w:gridCol w:w="1195"/>
        <w:gridCol w:w="506"/>
        <w:gridCol w:w="22"/>
        <w:gridCol w:w="53"/>
        <w:gridCol w:w="25"/>
        <w:gridCol w:w="572"/>
        <w:gridCol w:w="1133"/>
        <w:gridCol w:w="795"/>
        <w:gridCol w:w="36"/>
        <w:gridCol w:w="18"/>
        <w:gridCol w:w="36"/>
        <w:gridCol w:w="469"/>
        <w:gridCol w:w="1300"/>
        <w:gridCol w:w="668"/>
      </w:tblGrid>
      <w:tr>
        <w:trPr/>
        <w:tc>
          <w:tcPr>
            <w:tcW w:w="1793" w:type="dxa"/>
            <w:tcBorders>
              <w:top w:val="double" w:sz="2" w:space="0" w:color="000001"/>
            </w:tcBorders>
            <w:shd w:fill="auto" w:val="clear"/>
            <w:vAlign w:val="center"/>
          </w:tcPr>
          <w:p>
            <w:pPr>
              <w:pStyle w:val="TableContents"/>
              <w:rPr/>
            </w:pPr>
            <w:r>
              <w:rPr/>
            </w:r>
          </w:p>
        </w:tc>
        <w:tc>
          <w:tcPr>
            <w:tcW w:w="76"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8"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CXCL9</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3"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IL-10</w:t>
            </w:r>
          </w:p>
        </w:tc>
        <w:tc>
          <w:tcPr>
            <w:tcW w:w="4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8"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IL-12</w:t>
            </w:r>
          </w:p>
        </w:tc>
        <w:tc>
          <w:tcPr>
            <w:tcW w:w="5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IL-6</w:t>
            </w:r>
          </w:p>
        </w:tc>
        <w:tc>
          <w:tcPr>
            <w:tcW w:w="60"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2"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IFN-γ</w:t>
            </w:r>
          </w:p>
        </w:tc>
        <w:tc>
          <w:tcPr>
            <w:tcW w:w="78"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6"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STAT6</w:t>
            </w:r>
          </w:p>
        </w:tc>
        <w:tc>
          <w:tcPr>
            <w:tcW w:w="54"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37" w:type="dxa"/>
            <w:gridSpan w:val="3"/>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TGF-β</w:t>
            </w:r>
          </w:p>
        </w:tc>
      </w:tr>
      <w:tr>
        <w:trPr/>
        <w:tc>
          <w:tcPr>
            <w:tcW w:w="1793" w:type="dxa"/>
            <w:tcBorders/>
            <w:shd w:fill="auto" w:val="clear"/>
            <w:tcMar>
              <w:top w:w="0" w:type="dxa"/>
            </w:tcMar>
            <w:vAlign w:val="center"/>
          </w:tcPr>
          <w:p>
            <w:pPr>
              <w:pStyle w:val="TableContents"/>
              <w:rPr/>
            </w:pPr>
            <w:r>
              <w:rPr/>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i/>
                <w:i/>
              </w:rPr>
            </w:pPr>
            <w:r>
              <w:rPr>
                <w:i/>
              </w:rPr>
              <w:t>B</w:t>
            </w:r>
          </w:p>
        </w:tc>
        <w:tc>
          <w:tcPr>
            <w:tcW w:w="1235"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3"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687" w:type="dxa"/>
            <w:tcBorders/>
            <w:shd w:fill="auto" w:val="clear"/>
            <w:tcMar>
              <w:top w:w="0" w:type="dxa"/>
            </w:tcMar>
            <w:vAlign w:val="center"/>
          </w:tcPr>
          <w:p>
            <w:pPr>
              <w:pStyle w:val="TableContents"/>
              <w:jc w:val="center"/>
              <w:rPr>
                <w:i/>
                <w:i/>
              </w:rPr>
            </w:pPr>
            <w:r>
              <w:rPr>
                <w:i/>
              </w:rPr>
              <w:t>p</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i/>
                <w:i/>
              </w:rPr>
            </w:pPr>
            <w:r>
              <w:rPr>
                <w:i/>
              </w:rPr>
              <w:t>B</w:t>
            </w:r>
          </w:p>
        </w:tc>
        <w:tc>
          <w:tcPr>
            <w:tcW w:w="1186"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4"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i/>
                <w:i/>
              </w:rPr>
            </w:pPr>
            <w:r>
              <w:rPr>
                <w:i/>
              </w:rPr>
              <w:t>B</w:t>
            </w:r>
          </w:p>
        </w:tc>
        <w:tc>
          <w:tcPr>
            <w:tcW w:w="1148" w:type="dxa"/>
            <w:tcBorders/>
            <w:shd w:fill="auto" w:val="clear"/>
            <w:tcMar>
              <w:top w:w="0" w:type="dxa"/>
            </w:tcMar>
            <w:vAlign w:val="center"/>
          </w:tcPr>
          <w:p>
            <w:pPr>
              <w:pStyle w:val="TableContents"/>
              <w:jc w:val="center"/>
              <w:rPr>
                <w:i/>
                <w:i/>
              </w:rPr>
            </w:pPr>
            <w:r>
              <w:rPr>
                <w:i/>
              </w:rPr>
              <w:t>CI</w:t>
            </w:r>
          </w:p>
        </w:tc>
        <w:tc>
          <w:tcPr>
            <w:tcW w:w="563" w:type="dxa"/>
            <w:tcBorders/>
            <w:shd w:fill="auto" w:val="clear"/>
            <w:tcMar>
              <w:top w:w="0" w:type="dxa"/>
            </w:tcMar>
            <w:vAlign w:val="center"/>
          </w:tcPr>
          <w:p>
            <w:pPr>
              <w:pStyle w:val="TableContents"/>
              <w:jc w:val="center"/>
              <w:rPr>
                <w:i/>
                <w:i/>
              </w:rPr>
            </w:pPr>
            <w:r>
              <w:rPr>
                <w:i/>
              </w:rPr>
              <w:t>p</w:t>
            </w:r>
          </w:p>
        </w:tc>
        <w:tc>
          <w:tcPr>
            <w:tcW w:w="58" w:type="dxa"/>
            <w:gridSpan w:val="2"/>
            <w:tcBorders/>
            <w:shd w:fill="auto" w:val="clear"/>
            <w:tcMar>
              <w:top w:w="0" w:type="dxa"/>
            </w:tcMar>
            <w:vAlign w:val="center"/>
          </w:tcPr>
          <w:p>
            <w:pPr>
              <w:pStyle w:val="TableContents"/>
              <w:rPr/>
            </w:pPr>
            <w:r>
              <w:rPr/>
            </w:r>
          </w:p>
        </w:tc>
        <w:tc>
          <w:tcPr>
            <w:tcW w:w="616" w:type="dxa"/>
            <w:gridSpan w:val="2"/>
            <w:tcBorders/>
            <w:shd w:fill="auto" w:val="clear"/>
            <w:tcMar>
              <w:top w:w="0" w:type="dxa"/>
            </w:tcMar>
            <w:vAlign w:val="center"/>
          </w:tcPr>
          <w:p>
            <w:pPr>
              <w:pStyle w:val="TableContents"/>
              <w:jc w:val="center"/>
              <w:rPr>
                <w:i/>
                <w:i/>
              </w:rPr>
            </w:pPr>
            <w:r>
              <w:rPr>
                <w:i/>
              </w:rPr>
              <w:t>B</w:t>
            </w:r>
          </w:p>
        </w:tc>
        <w:tc>
          <w:tcPr>
            <w:tcW w:w="1195" w:type="dxa"/>
            <w:tcBorders/>
            <w:shd w:fill="auto" w:val="clear"/>
            <w:tcMar>
              <w:top w:w="0" w:type="dxa"/>
            </w:tcMar>
            <w:vAlign w:val="center"/>
          </w:tcPr>
          <w:p>
            <w:pPr>
              <w:pStyle w:val="TableContents"/>
              <w:jc w:val="center"/>
              <w:rPr>
                <w:i/>
                <w:i/>
              </w:rPr>
            </w:pPr>
            <w:r>
              <w:rPr>
                <w:i/>
              </w:rPr>
              <w:t>CI</w:t>
            </w:r>
          </w:p>
        </w:tc>
        <w:tc>
          <w:tcPr>
            <w:tcW w:w="506" w:type="dxa"/>
            <w:tcBorders/>
            <w:shd w:fill="auto" w:val="clear"/>
            <w:tcMar>
              <w:top w:w="0" w:type="dxa"/>
            </w:tcMar>
            <w:vAlign w:val="center"/>
          </w:tcPr>
          <w:p>
            <w:pPr>
              <w:pStyle w:val="TableContents"/>
              <w:jc w:val="center"/>
              <w:rPr>
                <w:i/>
                <w:i/>
              </w:rPr>
            </w:pPr>
            <w:r>
              <w:rPr>
                <w:i/>
              </w:rPr>
              <w:t>p</w:t>
            </w:r>
          </w:p>
        </w:tc>
        <w:tc>
          <w:tcPr>
            <w:tcW w:w="75"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795" w:type="dxa"/>
            <w:tcBorders/>
            <w:shd w:fill="auto" w:val="clear"/>
            <w:tcMar>
              <w:top w:w="0" w:type="dxa"/>
            </w:tcMar>
            <w:vAlign w:val="center"/>
          </w:tcPr>
          <w:p>
            <w:pPr>
              <w:pStyle w:val="TableContents"/>
              <w:jc w:val="center"/>
              <w:rPr>
                <w:i/>
                <w:i/>
              </w:rPr>
            </w:pPr>
            <w:r>
              <w:rPr>
                <w:i/>
              </w:rPr>
              <w:t>p</w:t>
            </w:r>
          </w:p>
        </w:tc>
        <w:tc>
          <w:tcPr>
            <w:tcW w:w="54"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i/>
                <w:i/>
              </w:rPr>
            </w:pPr>
            <w:r>
              <w:rPr>
                <w:i/>
              </w:rPr>
              <w:t>B</w:t>
            </w:r>
          </w:p>
        </w:tc>
        <w:tc>
          <w:tcPr>
            <w:tcW w:w="1300" w:type="dxa"/>
            <w:tcBorders/>
            <w:shd w:fill="auto" w:val="clear"/>
            <w:tcMar>
              <w:top w:w="0" w:type="dxa"/>
            </w:tcMar>
            <w:vAlign w:val="center"/>
          </w:tcPr>
          <w:p>
            <w:pPr>
              <w:pStyle w:val="TableContents"/>
              <w:jc w:val="center"/>
              <w:rPr>
                <w:i/>
                <w:i/>
              </w:rPr>
            </w:pPr>
            <w:r>
              <w:rPr>
                <w:i/>
              </w:rPr>
              <w:t>CI</w:t>
            </w:r>
          </w:p>
        </w:tc>
        <w:tc>
          <w:tcPr>
            <w:tcW w:w="668"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b/>
                <w:b/>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3" w:type="dxa"/>
            <w:tcBorders/>
            <w:shd w:fill="auto" w:val="clear"/>
            <w:tcMar>
              <w:top w:w="0" w:type="dxa"/>
            </w:tcMar>
            <w:vAlign w:val="center"/>
          </w:tcPr>
          <w:p>
            <w:pPr>
              <w:pStyle w:val="TableContents"/>
              <w:jc w:val="left"/>
              <w:rPr/>
            </w:pPr>
            <w:r>
              <w:rPr/>
              <w:t>(Intercept)</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0.39</w:t>
            </w:r>
          </w:p>
        </w:tc>
        <w:tc>
          <w:tcPr>
            <w:tcW w:w="1235" w:type="dxa"/>
            <w:tcBorders/>
            <w:shd w:fill="auto" w:val="clear"/>
            <w:tcMar>
              <w:top w:w="0" w:type="dxa"/>
            </w:tcMar>
            <w:vAlign w:val="center"/>
          </w:tcPr>
          <w:p>
            <w:pPr>
              <w:pStyle w:val="TableContents"/>
              <w:jc w:val="center"/>
              <w:rPr/>
            </w:pPr>
            <w:r>
              <w:rPr/>
              <w:t>-0.15–0.92</w:t>
            </w:r>
          </w:p>
        </w:tc>
        <w:tc>
          <w:tcPr>
            <w:tcW w:w="572" w:type="dxa"/>
            <w:tcBorders/>
            <w:shd w:fill="auto" w:val="clear"/>
            <w:tcMar>
              <w:top w:w="0" w:type="dxa"/>
            </w:tcMar>
            <w:vAlign w:val="center"/>
          </w:tcPr>
          <w:p>
            <w:pPr>
              <w:pStyle w:val="TableContents"/>
              <w:jc w:val="center"/>
              <w:rPr/>
            </w:pPr>
            <w:r>
              <w:rPr/>
              <w:t>.194</w:t>
            </w:r>
          </w:p>
        </w:tc>
        <w:tc>
          <w:tcPr>
            <w:tcW w:w="53"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0.04</w:t>
            </w:r>
          </w:p>
        </w:tc>
        <w:tc>
          <w:tcPr>
            <w:tcW w:w="1133" w:type="dxa"/>
            <w:tcBorders/>
            <w:shd w:fill="auto" w:val="clear"/>
            <w:tcMar>
              <w:top w:w="0" w:type="dxa"/>
            </w:tcMar>
            <w:vAlign w:val="center"/>
          </w:tcPr>
          <w:p>
            <w:pPr>
              <w:pStyle w:val="TableContents"/>
              <w:jc w:val="center"/>
              <w:rPr/>
            </w:pPr>
            <w:r>
              <w:rPr/>
              <w:t>0.01–0.07</w:t>
            </w:r>
          </w:p>
        </w:tc>
        <w:tc>
          <w:tcPr>
            <w:tcW w:w="687" w:type="dxa"/>
            <w:tcBorders/>
            <w:shd w:fill="auto" w:val="clear"/>
            <w:tcMar>
              <w:top w:w="0" w:type="dxa"/>
            </w:tcMar>
            <w:vAlign w:val="center"/>
          </w:tcPr>
          <w:p>
            <w:pPr>
              <w:pStyle w:val="TableContents"/>
              <w:jc w:val="center"/>
              <w:rPr/>
            </w:pPr>
            <w:r>
              <w:rPr/>
              <w:t>.012</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.035</w:t>
            </w:r>
          </w:p>
        </w:tc>
        <w:tc>
          <w:tcPr>
            <w:tcW w:w="54"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0.13</w:t>
            </w:r>
          </w:p>
        </w:tc>
        <w:tc>
          <w:tcPr>
            <w:tcW w:w="1148" w:type="dxa"/>
            <w:tcBorders/>
            <w:shd w:fill="auto" w:val="clear"/>
            <w:tcMar>
              <w:top w:w="0" w:type="dxa"/>
            </w:tcMar>
            <w:vAlign w:val="center"/>
          </w:tcPr>
          <w:p>
            <w:pPr>
              <w:pStyle w:val="TableContents"/>
              <w:jc w:val="center"/>
              <w:rPr/>
            </w:pPr>
            <w:r>
              <w:rPr/>
              <w:t>0.00–0.26</w:t>
            </w:r>
          </w:p>
        </w:tc>
        <w:tc>
          <w:tcPr>
            <w:tcW w:w="563" w:type="dxa"/>
            <w:tcBorders/>
            <w:shd w:fill="auto" w:val="clear"/>
            <w:tcMar>
              <w:top w:w="0" w:type="dxa"/>
            </w:tcMar>
            <w:vAlign w:val="center"/>
          </w:tcPr>
          <w:p>
            <w:pPr>
              <w:pStyle w:val="TableContents"/>
              <w:jc w:val="center"/>
              <w:rPr/>
            </w:pPr>
            <w:r>
              <w:rPr/>
              <w:t>.087</w:t>
            </w:r>
          </w:p>
        </w:tc>
        <w:tc>
          <w:tcPr>
            <w:tcW w:w="58" w:type="dxa"/>
            <w:gridSpan w:val="2"/>
            <w:tcBorders/>
            <w:shd w:fill="auto" w:val="clear"/>
            <w:tcMar>
              <w:top w:w="0" w:type="dxa"/>
            </w:tcMar>
            <w:vAlign w:val="center"/>
          </w:tcPr>
          <w:p>
            <w:pPr>
              <w:pStyle w:val="TableContents"/>
              <w:rPr/>
            </w:pPr>
            <w:r>
              <w:rPr/>
            </w:r>
          </w:p>
        </w:tc>
        <w:tc>
          <w:tcPr>
            <w:tcW w:w="616" w:type="dxa"/>
            <w:gridSpan w:val="2"/>
            <w:tcBorders/>
            <w:shd w:fill="auto" w:val="clear"/>
            <w:tcMar>
              <w:top w:w="0" w:type="dxa"/>
            </w:tcMar>
            <w:vAlign w:val="center"/>
          </w:tcPr>
          <w:p>
            <w:pPr>
              <w:pStyle w:val="TableContents"/>
              <w:jc w:val="center"/>
              <w:rPr/>
            </w:pPr>
            <w:r>
              <w:rPr/>
              <w:t>0.04</w:t>
            </w:r>
          </w:p>
        </w:tc>
        <w:tc>
          <w:tcPr>
            <w:tcW w:w="1195" w:type="dxa"/>
            <w:tcBorders/>
            <w:shd w:fill="auto" w:val="clear"/>
            <w:tcMar>
              <w:top w:w="0" w:type="dxa"/>
            </w:tcMar>
            <w:vAlign w:val="center"/>
          </w:tcPr>
          <w:p>
            <w:pPr>
              <w:pStyle w:val="TableContents"/>
              <w:jc w:val="center"/>
              <w:rPr/>
            </w:pPr>
            <w:r>
              <w:rPr/>
              <w:t>-0.05–0.14</w:t>
            </w:r>
          </w:p>
        </w:tc>
        <w:tc>
          <w:tcPr>
            <w:tcW w:w="506" w:type="dxa"/>
            <w:tcBorders/>
            <w:shd w:fill="auto" w:val="clear"/>
            <w:tcMar>
              <w:top w:w="0" w:type="dxa"/>
            </w:tcMar>
            <w:vAlign w:val="center"/>
          </w:tcPr>
          <w:p>
            <w:pPr>
              <w:pStyle w:val="TableContents"/>
              <w:jc w:val="center"/>
              <w:rPr/>
            </w:pPr>
            <w:r>
              <w:rPr/>
              <w:t>.400</w:t>
            </w:r>
          </w:p>
        </w:tc>
        <w:tc>
          <w:tcPr>
            <w:tcW w:w="75"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0.07</w:t>
            </w:r>
          </w:p>
        </w:tc>
        <w:tc>
          <w:tcPr>
            <w:tcW w:w="1133" w:type="dxa"/>
            <w:tcBorders/>
            <w:shd w:fill="auto" w:val="clear"/>
            <w:tcMar>
              <w:top w:w="0" w:type="dxa"/>
            </w:tcMar>
            <w:vAlign w:val="center"/>
          </w:tcPr>
          <w:p>
            <w:pPr>
              <w:pStyle w:val="TableContents"/>
              <w:jc w:val="center"/>
              <w:rPr/>
            </w:pPr>
            <w:r>
              <w:rPr/>
              <w:t>0.01–0.13</w:t>
            </w:r>
          </w:p>
        </w:tc>
        <w:tc>
          <w:tcPr>
            <w:tcW w:w="795" w:type="dxa"/>
            <w:tcBorders/>
            <w:shd w:fill="auto" w:val="clear"/>
            <w:tcMar>
              <w:top w:w="0" w:type="dxa"/>
            </w:tcMar>
            <w:vAlign w:val="center"/>
          </w:tcPr>
          <w:p>
            <w:pPr>
              <w:pStyle w:val="TableContents"/>
              <w:jc w:val="center"/>
              <w:rPr/>
            </w:pPr>
            <w:r>
              <w:rPr/>
              <w:t>.045</w:t>
            </w:r>
          </w:p>
        </w:tc>
        <w:tc>
          <w:tcPr>
            <w:tcW w:w="54"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1.11</w:t>
            </w:r>
          </w:p>
        </w:tc>
        <w:tc>
          <w:tcPr>
            <w:tcW w:w="1300" w:type="dxa"/>
            <w:tcBorders/>
            <w:shd w:fill="auto" w:val="clear"/>
            <w:tcMar>
              <w:top w:w="0" w:type="dxa"/>
            </w:tcMar>
            <w:vAlign w:val="center"/>
          </w:tcPr>
          <w:p>
            <w:pPr>
              <w:pStyle w:val="TableContents"/>
              <w:jc w:val="center"/>
              <w:rPr/>
            </w:pPr>
            <w:r>
              <w:rPr/>
              <w:t>0.61–1.60</w:t>
            </w:r>
          </w:p>
        </w:tc>
        <w:tc>
          <w:tcPr>
            <w:tcW w:w="668" w:type="dxa"/>
            <w:tcBorders/>
            <w:shd w:fill="auto" w:val="clear"/>
            <w:tcMar>
              <w:top w:w="0" w:type="dxa"/>
            </w:tcMar>
            <w:vAlign w:val="center"/>
          </w:tcPr>
          <w:p>
            <w:pPr>
              <w:pStyle w:val="TableContents"/>
              <w:jc w:val="center"/>
              <w:rPr/>
            </w:pPr>
            <w:r>
              <w:rPr/>
              <w:t>&lt;.001</w:t>
            </w:r>
          </w:p>
        </w:tc>
      </w:tr>
      <w:tr>
        <w:trPr/>
        <w:tc>
          <w:tcPr>
            <w:tcW w:w="1793" w:type="dxa"/>
            <w:tcBorders/>
            <w:shd w:fill="auto" w:val="clear"/>
            <w:tcMar>
              <w:top w:w="0" w:type="dxa"/>
            </w:tcMar>
            <w:vAlign w:val="center"/>
          </w:tcPr>
          <w:p>
            <w:pPr>
              <w:pStyle w:val="TableContents"/>
              <w:jc w:val="left"/>
              <w:rPr/>
            </w:pPr>
            <w:r>
              <w:rPr/>
              <w:t>inf.strain (EfalL)</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0.87</w:t>
            </w:r>
          </w:p>
        </w:tc>
        <w:tc>
          <w:tcPr>
            <w:tcW w:w="1235" w:type="dxa"/>
            <w:tcBorders/>
            <w:shd w:fill="auto" w:val="clear"/>
            <w:tcMar>
              <w:top w:w="0" w:type="dxa"/>
            </w:tcMar>
            <w:vAlign w:val="center"/>
          </w:tcPr>
          <w:p>
            <w:pPr>
              <w:pStyle w:val="TableContents"/>
              <w:jc w:val="center"/>
              <w:rPr/>
            </w:pPr>
            <w:r>
              <w:rPr/>
              <w:t>0.38–1.36</w:t>
            </w:r>
          </w:p>
        </w:tc>
        <w:tc>
          <w:tcPr>
            <w:tcW w:w="572" w:type="dxa"/>
            <w:tcBorders/>
            <w:shd w:fill="auto" w:val="clear"/>
            <w:tcMar>
              <w:top w:w="0" w:type="dxa"/>
            </w:tcMar>
            <w:vAlign w:val="center"/>
          </w:tcPr>
          <w:p>
            <w:pPr>
              <w:pStyle w:val="TableContents"/>
              <w:jc w:val="center"/>
              <w:rPr>
                <w:b/>
                <w:b/>
              </w:rPr>
            </w:pPr>
            <w:r>
              <w:rPr>
                <w:b/>
              </w:rPr>
              <w:t>.001</w:t>
            </w:r>
          </w:p>
        </w:tc>
        <w:tc>
          <w:tcPr>
            <w:tcW w:w="53"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0.06</w:t>
            </w:r>
          </w:p>
        </w:tc>
        <w:tc>
          <w:tcPr>
            <w:tcW w:w="1133" w:type="dxa"/>
            <w:tcBorders/>
            <w:shd w:fill="auto" w:val="clear"/>
            <w:tcMar>
              <w:top w:w="0" w:type="dxa"/>
            </w:tcMar>
            <w:vAlign w:val="center"/>
          </w:tcPr>
          <w:p>
            <w:pPr>
              <w:pStyle w:val="TableContents"/>
              <w:jc w:val="center"/>
              <w:rPr/>
            </w:pPr>
            <w:r>
              <w:rPr/>
              <w:t>0.03–0.08</w:t>
            </w:r>
          </w:p>
        </w:tc>
        <w:tc>
          <w:tcPr>
            <w:tcW w:w="687" w:type="dxa"/>
            <w:tcBorders/>
            <w:shd w:fill="auto" w:val="clear"/>
            <w:tcMar>
              <w:top w:w="0" w:type="dxa"/>
            </w:tcMar>
            <w:vAlign w:val="center"/>
          </w:tcPr>
          <w:p>
            <w:pPr>
              <w:pStyle w:val="TableContents"/>
              <w:jc w:val="center"/>
              <w:rPr>
                <w:b/>
                <w:b/>
              </w:rPr>
            </w:pPr>
            <w:r>
              <w:rPr>
                <w:b/>
              </w:rPr>
              <w:t>&lt;.001</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0.00–0.02</w:t>
            </w:r>
          </w:p>
        </w:tc>
        <w:tc>
          <w:tcPr>
            <w:tcW w:w="572" w:type="dxa"/>
            <w:tcBorders/>
            <w:shd w:fill="auto" w:val="clear"/>
            <w:tcMar>
              <w:top w:w="0" w:type="dxa"/>
            </w:tcMar>
            <w:vAlign w:val="center"/>
          </w:tcPr>
          <w:p>
            <w:pPr>
              <w:pStyle w:val="TableContents"/>
              <w:jc w:val="center"/>
              <w:rPr>
                <w:b/>
                <w:b/>
              </w:rPr>
            </w:pPr>
            <w:r>
              <w:rPr>
                <w:b/>
              </w:rPr>
              <w:t>&lt;.001</w:t>
            </w:r>
          </w:p>
        </w:tc>
        <w:tc>
          <w:tcPr>
            <w:tcW w:w="54"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0.03</w:t>
            </w:r>
          </w:p>
        </w:tc>
        <w:tc>
          <w:tcPr>
            <w:tcW w:w="1148" w:type="dxa"/>
            <w:tcBorders/>
            <w:shd w:fill="auto" w:val="clear"/>
            <w:tcMar>
              <w:top w:w="0" w:type="dxa"/>
            </w:tcMar>
            <w:vAlign w:val="center"/>
          </w:tcPr>
          <w:p>
            <w:pPr>
              <w:pStyle w:val="TableContents"/>
              <w:jc w:val="center"/>
              <w:rPr/>
            </w:pPr>
            <w:r>
              <w:rPr/>
              <w:t>-0.06–0.13</w:t>
            </w:r>
          </w:p>
        </w:tc>
        <w:tc>
          <w:tcPr>
            <w:tcW w:w="563" w:type="dxa"/>
            <w:tcBorders/>
            <w:shd w:fill="auto" w:val="clear"/>
            <w:tcMar>
              <w:top w:w="0" w:type="dxa"/>
            </w:tcMar>
            <w:vAlign w:val="center"/>
          </w:tcPr>
          <w:p>
            <w:pPr>
              <w:pStyle w:val="TableContents"/>
              <w:jc w:val="center"/>
              <w:rPr/>
            </w:pPr>
            <w:r>
              <w:rPr/>
              <w:t>.499</w:t>
            </w:r>
          </w:p>
        </w:tc>
        <w:tc>
          <w:tcPr>
            <w:tcW w:w="58" w:type="dxa"/>
            <w:gridSpan w:val="2"/>
            <w:tcBorders/>
            <w:shd w:fill="auto" w:val="clear"/>
            <w:tcMar>
              <w:top w:w="0" w:type="dxa"/>
            </w:tcMar>
            <w:vAlign w:val="center"/>
          </w:tcPr>
          <w:p>
            <w:pPr>
              <w:pStyle w:val="TableContents"/>
              <w:rPr/>
            </w:pPr>
            <w:r>
              <w:rPr/>
            </w:r>
          </w:p>
        </w:tc>
        <w:tc>
          <w:tcPr>
            <w:tcW w:w="616" w:type="dxa"/>
            <w:gridSpan w:val="2"/>
            <w:tcBorders/>
            <w:shd w:fill="auto" w:val="clear"/>
            <w:tcMar>
              <w:top w:w="0" w:type="dxa"/>
            </w:tcMar>
            <w:vAlign w:val="center"/>
          </w:tcPr>
          <w:p>
            <w:pPr>
              <w:pStyle w:val="TableContents"/>
              <w:jc w:val="center"/>
              <w:rPr/>
            </w:pPr>
            <w:r>
              <w:rPr/>
              <w:t>0.08</w:t>
            </w:r>
          </w:p>
        </w:tc>
        <w:tc>
          <w:tcPr>
            <w:tcW w:w="1195" w:type="dxa"/>
            <w:tcBorders/>
            <w:shd w:fill="auto" w:val="clear"/>
            <w:tcMar>
              <w:top w:w="0" w:type="dxa"/>
            </w:tcMar>
            <w:vAlign w:val="center"/>
          </w:tcPr>
          <w:p>
            <w:pPr>
              <w:pStyle w:val="TableContents"/>
              <w:jc w:val="center"/>
              <w:rPr/>
            </w:pPr>
            <w:r>
              <w:rPr/>
              <w:t>-0.04–0.20</w:t>
            </w:r>
          </w:p>
        </w:tc>
        <w:tc>
          <w:tcPr>
            <w:tcW w:w="506" w:type="dxa"/>
            <w:tcBorders/>
            <w:shd w:fill="auto" w:val="clear"/>
            <w:tcMar>
              <w:top w:w="0" w:type="dxa"/>
            </w:tcMar>
            <w:vAlign w:val="center"/>
          </w:tcPr>
          <w:p>
            <w:pPr>
              <w:pStyle w:val="TableContents"/>
              <w:jc w:val="center"/>
              <w:rPr/>
            </w:pPr>
            <w:r>
              <w:rPr/>
              <w:t>.194</w:t>
            </w:r>
          </w:p>
        </w:tc>
        <w:tc>
          <w:tcPr>
            <w:tcW w:w="75"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0.06–0.21</w:t>
            </w:r>
          </w:p>
        </w:tc>
        <w:tc>
          <w:tcPr>
            <w:tcW w:w="795" w:type="dxa"/>
            <w:tcBorders/>
            <w:shd w:fill="auto" w:val="clear"/>
            <w:tcMar>
              <w:top w:w="0" w:type="dxa"/>
            </w:tcMar>
            <w:vAlign w:val="center"/>
          </w:tcPr>
          <w:p>
            <w:pPr>
              <w:pStyle w:val="TableContents"/>
              <w:jc w:val="center"/>
              <w:rPr>
                <w:b/>
                <w:b/>
              </w:rPr>
            </w:pPr>
            <w:r>
              <w:rPr>
                <w:b/>
              </w:rPr>
              <w:t>&lt;.001</w:t>
            </w:r>
          </w:p>
        </w:tc>
        <w:tc>
          <w:tcPr>
            <w:tcW w:w="54"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0.81</w:t>
            </w:r>
          </w:p>
        </w:tc>
        <w:tc>
          <w:tcPr>
            <w:tcW w:w="1300" w:type="dxa"/>
            <w:tcBorders/>
            <w:shd w:fill="auto" w:val="clear"/>
            <w:tcMar>
              <w:top w:w="0" w:type="dxa"/>
            </w:tcMar>
            <w:vAlign w:val="center"/>
          </w:tcPr>
          <w:p>
            <w:pPr>
              <w:pStyle w:val="TableContents"/>
              <w:jc w:val="center"/>
              <w:rPr/>
            </w:pPr>
            <w:r>
              <w:rPr/>
              <w:t>0.14–1.48</w:t>
            </w:r>
          </w:p>
        </w:tc>
        <w:tc>
          <w:tcPr>
            <w:tcW w:w="668" w:type="dxa"/>
            <w:tcBorders/>
            <w:shd w:fill="auto" w:val="clear"/>
            <w:tcMar>
              <w:top w:w="0" w:type="dxa"/>
            </w:tcMar>
            <w:vAlign w:val="center"/>
          </w:tcPr>
          <w:p>
            <w:pPr>
              <w:pStyle w:val="TableContents"/>
              <w:jc w:val="center"/>
              <w:rPr>
                <w:b/>
                <w:b/>
              </w:rPr>
            </w:pPr>
            <w:r>
              <w:rPr>
                <w:b/>
              </w:rPr>
              <w:t>.021</w:t>
            </w:r>
          </w:p>
        </w:tc>
      </w:tr>
      <w:tr>
        <w:trPr/>
        <w:tc>
          <w:tcPr>
            <w:tcW w:w="1793" w:type="dxa"/>
            <w:tcBorders/>
            <w:shd w:fill="auto" w:val="clear"/>
            <w:tcMar>
              <w:top w:w="0" w:type="dxa"/>
            </w:tcMar>
            <w:vAlign w:val="center"/>
          </w:tcPr>
          <w:p>
            <w:pPr>
              <w:pStyle w:val="TableContents"/>
              <w:jc w:val="left"/>
              <w:rPr/>
            </w:pPr>
            <w:r>
              <w:rPr/>
              <w:t>inf.strain (EfalW)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0.24</w:t>
            </w:r>
          </w:p>
        </w:tc>
        <w:tc>
          <w:tcPr>
            <w:tcW w:w="1235" w:type="dxa"/>
            <w:tcBorders/>
            <w:shd w:fill="auto" w:val="clear"/>
            <w:tcMar>
              <w:top w:w="0" w:type="dxa"/>
            </w:tcMar>
            <w:vAlign w:val="center"/>
          </w:tcPr>
          <w:p>
            <w:pPr>
              <w:pStyle w:val="TableContents"/>
              <w:jc w:val="center"/>
              <w:rPr/>
            </w:pPr>
            <w:r>
              <w:rPr/>
              <w:t>-0.25–0.73</w:t>
            </w:r>
          </w:p>
        </w:tc>
        <w:tc>
          <w:tcPr>
            <w:tcW w:w="572" w:type="dxa"/>
            <w:tcBorders/>
            <w:shd w:fill="auto" w:val="clear"/>
            <w:tcMar>
              <w:top w:w="0" w:type="dxa"/>
            </w:tcMar>
            <w:vAlign w:val="center"/>
          </w:tcPr>
          <w:p>
            <w:pPr>
              <w:pStyle w:val="TableContents"/>
              <w:jc w:val="center"/>
              <w:rPr/>
            </w:pPr>
            <w:r>
              <w:rPr/>
              <w:t>.334</w:t>
            </w:r>
          </w:p>
        </w:tc>
        <w:tc>
          <w:tcPr>
            <w:tcW w:w="53"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-0.00</w:t>
            </w:r>
          </w:p>
        </w:tc>
        <w:tc>
          <w:tcPr>
            <w:tcW w:w="1133" w:type="dxa"/>
            <w:tcBorders/>
            <w:shd w:fill="auto" w:val="clear"/>
            <w:tcMar>
              <w:top w:w="0" w:type="dxa"/>
            </w:tcMar>
            <w:vAlign w:val="center"/>
          </w:tcPr>
          <w:p>
            <w:pPr>
              <w:pStyle w:val="TableContents"/>
              <w:jc w:val="center"/>
              <w:rPr/>
            </w:pPr>
            <w:r>
              <w:rPr/>
              <w:t>-0.03–0.03</w:t>
            </w:r>
          </w:p>
        </w:tc>
        <w:tc>
          <w:tcPr>
            <w:tcW w:w="687" w:type="dxa"/>
            <w:tcBorders/>
            <w:shd w:fill="auto" w:val="clear"/>
            <w:tcMar>
              <w:top w:w="0" w:type="dxa"/>
            </w:tcMar>
            <w:vAlign w:val="center"/>
          </w:tcPr>
          <w:p>
            <w:pPr>
              <w:pStyle w:val="TableContents"/>
              <w:jc w:val="center"/>
              <w:rPr/>
            </w:pPr>
            <w:r>
              <w:rPr/>
              <w:t>.918</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6"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.606</w:t>
            </w:r>
          </w:p>
        </w:tc>
        <w:tc>
          <w:tcPr>
            <w:tcW w:w="54"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0.08</w:t>
            </w:r>
          </w:p>
        </w:tc>
        <w:tc>
          <w:tcPr>
            <w:tcW w:w="1148" w:type="dxa"/>
            <w:tcBorders/>
            <w:shd w:fill="auto" w:val="clear"/>
            <w:tcMar>
              <w:top w:w="0" w:type="dxa"/>
            </w:tcMar>
            <w:vAlign w:val="center"/>
          </w:tcPr>
          <w:p>
            <w:pPr>
              <w:pStyle w:val="TableContents"/>
              <w:jc w:val="center"/>
              <w:rPr/>
            </w:pPr>
            <w:r>
              <w:rPr/>
              <w:t>-0.02–0.17</w:t>
            </w:r>
          </w:p>
        </w:tc>
        <w:tc>
          <w:tcPr>
            <w:tcW w:w="563" w:type="dxa"/>
            <w:tcBorders/>
            <w:shd w:fill="auto" w:val="clear"/>
            <w:tcMar>
              <w:top w:w="0" w:type="dxa"/>
            </w:tcMar>
            <w:vAlign w:val="center"/>
          </w:tcPr>
          <w:p>
            <w:pPr>
              <w:pStyle w:val="TableContents"/>
              <w:jc w:val="center"/>
              <w:rPr/>
            </w:pPr>
            <w:r>
              <w:rPr/>
              <w:t>.109</w:t>
            </w:r>
          </w:p>
        </w:tc>
        <w:tc>
          <w:tcPr>
            <w:tcW w:w="58" w:type="dxa"/>
            <w:gridSpan w:val="2"/>
            <w:tcBorders/>
            <w:shd w:fill="auto" w:val="clear"/>
            <w:tcMar>
              <w:top w:w="0" w:type="dxa"/>
            </w:tcMar>
            <w:vAlign w:val="center"/>
          </w:tcPr>
          <w:p>
            <w:pPr>
              <w:pStyle w:val="TableContents"/>
              <w:rPr/>
            </w:pPr>
            <w:r>
              <w:rPr/>
            </w:r>
          </w:p>
        </w:tc>
        <w:tc>
          <w:tcPr>
            <w:tcW w:w="616" w:type="dxa"/>
            <w:gridSpan w:val="2"/>
            <w:tcBorders/>
            <w:shd w:fill="auto" w:val="clear"/>
            <w:tcMar>
              <w:top w:w="0" w:type="dxa"/>
            </w:tcMar>
            <w:vAlign w:val="center"/>
          </w:tcPr>
          <w:p>
            <w:pPr>
              <w:pStyle w:val="TableContents"/>
              <w:jc w:val="center"/>
              <w:rPr/>
            </w:pPr>
            <w:r>
              <w:rPr/>
              <w:t>0.00</w:t>
            </w:r>
          </w:p>
        </w:tc>
        <w:tc>
          <w:tcPr>
            <w:tcW w:w="1195" w:type="dxa"/>
            <w:tcBorders/>
            <w:shd w:fill="auto" w:val="clear"/>
            <w:tcMar>
              <w:top w:w="0" w:type="dxa"/>
            </w:tcMar>
            <w:vAlign w:val="center"/>
          </w:tcPr>
          <w:p>
            <w:pPr>
              <w:pStyle w:val="TableContents"/>
              <w:jc w:val="center"/>
              <w:rPr/>
            </w:pPr>
            <w:r>
              <w:rPr/>
              <w:t>-0.12–0.13</w:t>
            </w:r>
          </w:p>
        </w:tc>
        <w:tc>
          <w:tcPr>
            <w:tcW w:w="506" w:type="dxa"/>
            <w:tcBorders/>
            <w:shd w:fill="auto" w:val="clear"/>
            <w:tcMar>
              <w:top w:w="0" w:type="dxa"/>
            </w:tcMar>
            <w:vAlign w:val="center"/>
          </w:tcPr>
          <w:p>
            <w:pPr>
              <w:pStyle w:val="TableContents"/>
              <w:jc w:val="center"/>
              <w:rPr/>
            </w:pPr>
            <w:r>
              <w:rPr/>
              <w:t>.955</w:t>
            </w:r>
          </w:p>
        </w:tc>
        <w:tc>
          <w:tcPr>
            <w:tcW w:w="75"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-0.04–0.11</w:t>
            </w:r>
          </w:p>
        </w:tc>
        <w:tc>
          <w:tcPr>
            <w:tcW w:w="795" w:type="dxa"/>
            <w:tcBorders/>
            <w:shd w:fill="auto" w:val="clear"/>
            <w:tcMar>
              <w:top w:w="0" w:type="dxa"/>
            </w:tcMar>
            <w:vAlign w:val="center"/>
          </w:tcPr>
          <w:p>
            <w:pPr>
              <w:pStyle w:val="TableContents"/>
              <w:jc w:val="center"/>
              <w:rPr/>
            </w:pPr>
            <w:r>
              <w:rPr/>
              <w:t>.380</w:t>
            </w:r>
          </w:p>
        </w:tc>
        <w:tc>
          <w:tcPr>
            <w:tcW w:w="54"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0.24</w:t>
            </w:r>
          </w:p>
        </w:tc>
        <w:tc>
          <w:tcPr>
            <w:tcW w:w="1300" w:type="dxa"/>
            <w:tcBorders/>
            <w:shd w:fill="auto" w:val="clear"/>
            <w:tcMar>
              <w:top w:w="0" w:type="dxa"/>
            </w:tcMar>
            <w:vAlign w:val="center"/>
          </w:tcPr>
          <w:p>
            <w:pPr>
              <w:pStyle w:val="TableContents"/>
              <w:jc w:val="center"/>
              <w:rPr/>
            </w:pPr>
            <w:r>
              <w:rPr/>
              <w:t>-0.43–0.91</w:t>
            </w:r>
          </w:p>
        </w:tc>
        <w:tc>
          <w:tcPr>
            <w:tcW w:w="668" w:type="dxa"/>
            <w:tcBorders/>
            <w:shd w:fill="auto" w:val="clear"/>
            <w:tcMar>
              <w:top w:w="0" w:type="dxa"/>
            </w:tcMar>
            <w:vAlign w:val="center"/>
          </w:tcPr>
          <w:p>
            <w:pPr>
              <w:pStyle w:val="TableContents"/>
              <w:jc w:val="center"/>
              <w:rPr/>
            </w:pPr>
            <w:r>
              <w:rPr/>
              <w:t>.480</w:t>
            </w:r>
          </w:p>
        </w:tc>
      </w:tr>
      <w:tr>
        <w:trPr/>
        <w:tc>
          <w:tcPr>
            <w:tcW w:w="1793" w:type="dxa"/>
            <w:tcBorders/>
            <w:shd w:fill="auto" w:val="clear"/>
            <w:tcMar>
              <w:top w:w="0" w:type="dxa"/>
            </w:tcMar>
            <w:vAlign w:val="center"/>
          </w:tcPr>
          <w:p>
            <w:pPr>
              <w:pStyle w:val="TableContents"/>
              <w:jc w:val="left"/>
              <w:rPr/>
            </w:pPr>
            <w:r>
              <w:rPr/>
              <w:t>inf.strain (EferW)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0.10</w:t>
            </w:r>
          </w:p>
        </w:tc>
        <w:tc>
          <w:tcPr>
            <w:tcW w:w="1235" w:type="dxa"/>
            <w:tcBorders/>
            <w:shd w:fill="auto" w:val="clear"/>
            <w:tcMar>
              <w:top w:w="0" w:type="dxa"/>
            </w:tcMar>
            <w:vAlign w:val="center"/>
          </w:tcPr>
          <w:p>
            <w:pPr>
              <w:pStyle w:val="TableContents"/>
              <w:jc w:val="center"/>
              <w:rPr/>
            </w:pPr>
            <w:r>
              <w:rPr/>
              <w:t>-0.38–0.58</w:t>
            </w:r>
          </w:p>
        </w:tc>
        <w:tc>
          <w:tcPr>
            <w:tcW w:w="572" w:type="dxa"/>
            <w:tcBorders/>
            <w:shd w:fill="auto" w:val="clear"/>
            <w:tcMar>
              <w:top w:w="0" w:type="dxa"/>
            </w:tcMar>
            <w:vAlign w:val="center"/>
          </w:tcPr>
          <w:p>
            <w:pPr>
              <w:pStyle w:val="TableContents"/>
              <w:jc w:val="center"/>
              <w:rPr/>
            </w:pPr>
            <w:r>
              <w:rPr/>
              <w:t>.694</w:t>
            </w:r>
          </w:p>
        </w:tc>
        <w:tc>
          <w:tcPr>
            <w:tcW w:w="53"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0.01</w:t>
            </w:r>
          </w:p>
        </w:tc>
        <w:tc>
          <w:tcPr>
            <w:tcW w:w="1133" w:type="dxa"/>
            <w:tcBorders/>
            <w:shd w:fill="auto" w:val="clear"/>
            <w:tcMar>
              <w:top w:w="0" w:type="dxa"/>
            </w:tcMar>
            <w:vAlign w:val="center"/>
          </w:tcPr>
          <w:p>
            <w:pPr>
              <w:pStyle w:val="TableContents"/>
              <w:jc w:val="center"/>
              <w:rPr/>
            </w:pPr>
            <w:r>
              <w:rPr/>
              <w:t>-0.01–0.04</w:t>
            </w:r>
          </w:p>
        </w:tc>
        <w:tc>
          <w:tcPr>
            <w:tcW w:w="687" w:type="dxa"/>
            <w:tcBorders/>
            <w:shd w:fill="auto" w:val="clear"/>
            <w:tcMar>
              <w:top w:w="0" w:type="dxa"/>
            </w:tcMar>
            <w:vAlign w:val="center"/>
          </w:tcPr>
          <w:p>
            <w:pPr>
              <w:pStyle w:val="TableContents"/>
              <w:jc w:val="center"/>
              <w:rPr/>
            </w:pPr>
            <w:r>
              <w:rPr/>
              <w:t>.374</w:t>
            </w:r>
          </w:p>
        </w:tc>
        <w:tc>
          <w:tcPr>
            <w:tcW w:w="46"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6"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.403</w:t>
            </w:r>
          </w:p>
        </w:tc>
        <w:tc>
          <w:tcPr>
            <w:tcW w:w="54" w:type="dxa"/>
            <w:gridSpan w:val="2"/>
            <w:tcBorders/>
            <w:shd w:fill="auto" w:val="clear"/>
            <w:tcMar>
              <w:top w:w="0" w:type="dxa"/>
            </w:tcMar>
            <w:vAlign w:val="center"/>
          </w:tcPr>
          <w:p>
            <w:pPr>
              <w:pStyle w:val="TableContents"/>
              <w:rPr/>
            </w:pPr>
            <w:r>
              <w:rPr/>
            </w:r>
          </w:p>
        </w:tc>
        <w:tc>
          <w:tcPr>
            <w:tcW w:w="550" w:type="dxa"/>
            <w:gridSpan w:val="2"/>
            <w:tcBorders/>
            <w:shd w:fill="auto" w:val="clear"/>
            <w:tcMar>
              <w:top w:w="0" w:type="dxa"/>
            </w:tcMar>
            <w:vAlign w:val="center"/>
          </w:tcPr>
          <w:p>
            <w:pPr>
              <w:pStyle w:val="TableContents"/>
              <w:jc w:val="center"/>
              <w:rPr/>
            </w:pPr>
            <w:r>
              <w:rPr/>
              <w:t>0.02</w:t>
            </w:r>
          </w:p>
        </w:tc>
        <w:tc>
          <w:tcPr>
            <w:tcW w:w="1148" w:type="dxa"/>
            <w:tcBorders/>
            <w:shd w:fill="auto" w:val="clear"/>
            <w:tcMar>
              <w:top w:w="0" w:type="dxa"/>
            </w:tcMar>
            <w:vAlign w:val="center"/>
          </w:tcPr>
          <w:p>
            <w:pPr>
              <w:pStyle w:val="TableContents"/>
              <w:jc w:val="center"/>
              <w:rPr/>
            </w:pPr>
            <w:r>
              <w:rPr/>
              <w:t>-0.08–0.11</w:t>
            </w:r>
          </w:p>
        </w:tc>
        <w:tc>
          <w:tcPr>
            <w:tcW w:w="563" w:type="dxa"/>
            <w:tcBorders/>
            <w:shd w:fill="auto" w:val="clear"/>
            <w:tcMar>
              <w:top w:w="0" w:type="dxa"/>
            </w:tcMar>
            <w:vAlign w:val="center"/>
          </w:tcPr>
          <w:p>
            <w:pPr>
              <w:pStyle w:val="TableContents"/>
              <w:jc w:val="center"/>
              <w:rPr/>
            </w:pPr>
            <w:r>
              <w:rPr/>
              <w:t>.721</w:t>
            </w:r>
          </w:p>
        </w:tc>
        <w:tc>
          <w:tcPr>
            <w:tcW w:w="58" w:type="dxa"/>
            <w:gridSpan w:val="2"/>
            <w:tcBorders/>
            <w:shd w:fill="auto" w:val="clear"/>
            <w:tcMar>
              <w:top w:w="0" w:type="dxa"/>
            </w:tcMar>
            <w:vAlign w:val="center"/>
          </w:tcPr>
          <w:p>
            <w:pPr>
              <w:pStyle w:val="TableContents"/>
              <w:rPr/>
            </w:pPr>
            <w:r>
              <w:rPr/>
            </w:r>
          </w:p>
        </w:tc>
        <w:tc>
          <w:tcPr>
            <w:tcW w:w="616" w:type="dxa"/>
            <w:gridSpan w:val="2"/>
            <w:tcBorders/>
            <w:shd w:fill="auto" w:val="clear"/>
            <w:tcMar>
              <w:top w:w="0" w:type="dxa"/>
            </w:tcMar>
            <w:vAlign w:val="center"/>
          </w:tcPr>
          <w:p>
            <w:pPr>
              <w:pStyle w:val="TableContents"/>
              <w:jc w:val="center"/>
              <w:rPr/>
            </w:pPr>
            <w:r>
              <w:rPr/>
              <w:t>0.06</w:t>
            </w:r>
          </w:p>
        </w:tc>
        <w:tc>
          <w:tcPr>
            <w:tcW w:w="1195" w:type="dxa"/>
            <w:tcBorders/>
            <w:shd w:fill="auto" w:val="clear"/>
            <w:tcMar>
              <w:top w:w="0" w:type="dxa"/>
            </w:tcMar>
            <w:vAlign w:val="center"/>
          </w:tcPr>
          <w:p>
            <w:pPr>
              <w:pStyle w:val="TableContents"/>
              <w:jc w:val="center"/>
              <w:rPr/>
            </w:pPr>
            <w:r>
              <w:rPr/>
              <w:t>-0.06–0.18</w:t>
            </w:r>
          </w:p>
        </w:tc>
        <w:tc>
          <w:tcPr>
            <w:tcW w:w="506" w:type="dxa"/>
            <w:tcBorders/>
            <w:shd w:fill="auto" w:val="clear"/>
            <w:tcMar>
              <w:top w:w="0" w:type="dxa"/>
            </w:tcMar>
            <w:vAlign w:val="center"/>
          </w:tcPr>
          <w:p>
            <w:pPr>
              <w:pStyle w:val="TableContents"/>
              <w:jc w:val="center"/>
              <w:rPr/>
            </w:pPr>
            <w:r>
              <w:rPr/>
              <w:t>.353</w:t>
            </w:r>
          </w:p>
        </w:tc>
        <w:tc>
          <w:tcPr>
            <w:tcW w:w="75"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-0.05–0.09</w:t>
            </w:r>
          </w:p>
        </w:tc>
        <w:tc>
          <w:tcPr>
            <w:tcW w:w="795" w:type="dxa"/>
            <w:tcBorders/>
            <w:shd w:fill="auto" w:val="clear"/>
            <w:tcMar>
              <w:top w:w="0" w:type="dxa"/>
            </w:tcMar>
            <w:vAlign w:val="center"/>
          </w:tcPr>
          <w:p>
            <w:pPr>
              <w:pStyle w:val="TableContents"/>
              <w:jc w:val="center"/>
              <w:rPr/>
            </w:pPr>
            <w:r>
              <w:rPr/>
              <w:t>.622</w:t>
            </w:r>
          </w:p>
        </w:tc>
        <w:tc>
          <w:tcPr>
            <w:tcW w:w="54" w:type="dxa"/>
            <w:gridSpan w:val="2"/>
            <w:tcBorders/>
            <w:shd w:fill="auto" w:val="clear"/>
            <w:tcMar>
              <w:top w:w="0" w:type="dxa"/>
            </w:tcMar>
            <w:vAlign w:val="center"/>
          </w:tcPr>
          <w:p>
            <w:pPr>
              <w:pStyle w:val="TableContents"/>
              <w:rPr/>
            </w:pPr>
            <w:r>
              <w:rPr/>
            </w:r>
          </w:p>
        </w:tc>
        <w:tc>
          <w:tcPr>
            <w:tcW w:w="505" w:type="dxa"/>
            <w:gridSpan w:val="2"/>
            <w:tcBorders/>
            <w:shd w:fill="auto" w:val="clear"/>
            <w:tcMar>
              <w:top w:w="0" w:type="dxa"/>
            </w:tcMar>
            <w:vAlign w:val="center"/>
          </w:tcPr>
          <w:p>
            <w:pPr>
              <w:pStyle w:val="TableContents"/>
              <w:jc w:val="center"/>
              <w:rPr/>
            </w:pPr>
            <w:r>
              <w:rPr/>
              <w:t>0.61</w:t>
            </w:r>
          </w:p>
        </w:tc>
        <w:tc>
          <w:tcPr>
            <w:tcW w:w="1300" w:type="dxa"/>
            <w:tcBorders/>
            <w:shd w:fill="auto" w:val="clear"/>
            <w:tcMar>
              <w:top w:w="0" w:type="dxa"/>
            </w:tcMar>
            <w:vAlign w:val="center"/>
          </w:tcPr>
          <w:p>
            <w:pPr>
              <w:pStyle w:val="TableContents"/>
              <w:jc w:val="center"/>
              <w:rPr/>
            </w:pPr>
            <w:r>
              <w:rPr/>
              <w:t>-0.04–1.27</w:t>
            </w:r>
          </w:p>
        </w:tc>
        <w:tc>
          <w:tcPr>
            <w:tcW w:w="668"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93" w:type="dxa"/>
            <w:tcBorders/>
            <w:shd w:fill="auto" w:val="clear"/>
            <w:tcMar>
              <w:top w:w="0" w:type="dxa"/>
            </w:tcMar>
            <w:vAlign w:val="center"/>
          </w:tcPr>
          <w:p>
            <w:pPr>
              <w:pStyle w:val="TableContents"/>
              <w:jc w:val="left"/>
              <w:rPr/>
            </w:pPr>
            <w:r>
              <w:rPr/>
              <w:t>σ</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0.437</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0.001</w:t>
            </w:r>
          </w:p>
        </w:tc>
        <w:tc>
          <w:tcPr>
            <w:tcW w:w="41"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60"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0.027</w:t>
            </w:r>
          </w:p>
        </w:tc>
        <w:tc>
          <w:tcPr>
            <w:tcW w:w="78"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0.010</w:t>
            </w:r>
          </w:p>
        </w:tc>
        <w:tc>
          <w:tcPr>
            <w:tcW w:w="54" w:type="dxa"/>
            <w:gridSpan w:val="2"/>
            <w:tcBorders/>
            <w:shd w:fill="auto" w:val="clear"/>
            <w:tcMar>
              <w:top w:w="0" w:type="dxa"/>
            </w:tcMar>
            <w:vAlign w:val="center"/>
          </w:tcPr>
          <w:p>
            <w:pPr>
              <w:pStyle w:val="TableContents"/>
              <w:rPr/>
            </w:pPr>
            <w:r>
              <w:rPr/>
            </w:r>
          </w:p>
        </w:tc>
        <w:tc>
          <w:tcPr>
            <w:tcW w:w="2437" w:type="dxa"/>
            <w:gridSpan w:val="3"/>
            <w:tcBorders/>
            <w:shd w:fill="auto" w:val="clear"/>
            <w:tcMar>
              <w:top w:w="0" w:type="dxa"/>
            </w:tcMar>
            <w:vAlign w:val="center"/>
          </w:tcPr>
          <w:p>
            <w:pPr>
              <w:pStyle w:val="TableContents"/>
              <w:jc w:val="center"/>
              <w:rPr/>
            </w:pPr>
            <w:r>
              <w:rPr/>
              <w:t>0.814</w:t>
            </w:r>
          </w:p>
        </w:tc>
      </w:tr>
      <w:tr>
        <w:trPr>
          <w:trHeight w:val="397" w:hRule="exact"/>
        </w:trPr>
        <w:tc>
          <w:tcPr>
            <w:tcW w:w="1793" w:type="dxa"/>
            <w:tcBorders/>
            <w:shd w:fill="auto" w:val="clear"/>
            <w:tcMar>
              <w:top w:w="0" w:type="dxa"/>
            </w:tcMar>
            <w:vAlign w:val="center"/>
          </w:tcPr>
          <w:p>
            <w:pPr>
              <w:pStyle w:val="TableContents"/>
              <w:jc w:val="left"/>
              <w:rPr/>
            </w:pPr>
            <w:r>
              <w:rPr/>
              <w:t>τ</w:t>
            </w:r>
            <w:r>
              <w:rPr>
                <w:sz w:val="19"/>
              </w:rPr>
              <w:t>00, 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0.216</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0.000</w:t>
            </w:r>
          </w:p>
        </w:tc>
        <w:tc>
          <w:tcPr>
            <w:tcW w:w="41"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60"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0.003</w:t>
            </w:r>
          </w:p>
        </w:tc>
        <w:tc>
          <w:tcPr>
            <w:tcW w:w="78"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0.002</w:t>
            </w:r>
          </w:p>
        </w:tc>
        <w:tc>
          <w:tcPr>
            <w:tcW w:w="54" w:type="dxa"/>
            <w:gridSpan w:val="2"/>
            <w:tcBorders/>
            <w:shd w:fill="auto" w:val="clear"/>
            <w:tcMar>
              <w:top w:w="0" w:type="dxa"/>
            </w:tcMar>
            <w:vAlign w:val="center"/>
          </w:tcPr>
          <w:p>
            <w:pPr>
              <w:pStyle w:val="TableContents"/>
              <w:rPr/>
            </w:pPr>
            <w:r>
              <w:rPr/>
            </w:r>
          </w:p>
        </w:tc>
        <w:tc>
          <w:tcPr>
            <w:tcW w:w="2437" w:type="dxa"/>
            <w:gridSpan w:val="3"/>
            <w:tcBorders/>
            <w:shd w:fill="auto" w:val="clear"/>
            <w:tcMar>
              <w:top w:w="0" w:type="dxa"/>
            </w:tcMar>
            <w:vAlign w:val="center"/>
          </w:tcPr>
          <w:p>
            <w:pPr>
              <w:pStyle w:val="TableContents"/>
              <w:jc w:val="center"/>
              <w:rPr/>
            </w:pPr>
            <w:r>
              <w:rPr/>
              <w:t>0.028</w:t>
            </w:r>
          </w:p>
        </w:tc>
      </w:tr>
      <w:tr>
        <w:trPr>
          <w:trHeight w:val="397" w:hRule="exact"/>
        </w:trPr>
        <w:tc>
          <w:tcPr>
            <w:tcW w:w="1793" w:type="dxa"/>
            <w:tcBorders/>
            <w:shd w:fill="auto" w:val="clear"/>
            <w:tcMar>
              <w:top w:w="0" w:type="dxa"/>
            </w:tcMar>
            <w:vAlign w:val="center"/>
          </w:tcPr>
          <w:p>
            <w:pPr>
              <w:pStyle w:val="TableContents"/>
              <w:jc w:val="left"/>
              <w:rPr/>
            </w:pPr>
            <w:r>
              <w:rPr/>
              <w:t>N</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5</w:t>
            </w:r>
          </w:p>
        </w:tc>
        <w:tc>
          <w:tcPr>
            <w:tcW w:w="41"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5</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60"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5</w:t>
            </w:r>
          </w:p>
        </w:tc>
        <w:tc>
          <w:tcPr>
            <w:tcW w:w="78"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5</w:t>
            </w:r>
          </w:p>
        </w:tc>
        <w:tc>
          <w:tcPr>
            <w:tcW w:w="54" w:type="dxa"/>
            <w:gridSpan w:val="2"/>
            <w:tcBorders/>
            <w:shd w:fill="auto" w:val="clear"/>
            <w:tcMar>
              <w:top w:w="0" w:type="dxa"/>
            </w:tcMar>
            <w:vAlign w:val="center"/>
          </w:tcPr>
          <w:p>
            <w:pPr>
              <w:pStyle w:val="TableContents"/>
              <w:rPr/>
            </w:pPr>
            <w:r>
              <w:rPr/>
            </w:r>
          </w:p>
        </w:tc>
        <w:tc>
          <w:tcPr>
            <w:tcW w:w="2437" w:type="dxa"/>
            <w:gridSpan w:val="3"/>
            <w:tcBorders/>
            <w:shd w:fill="auto" w:val="clear"/>
            <w:tcMar>
              <w:top w:w="0" w:type="dxa"/>
            </w:tcMar>
            <w:vAlign w:val="center"/>
          </w:tcPr>
          <w:p>
            <w:pPr>
              <w:pStyle w:val="TableContents"/>
              <w:jc w:val="center"/>
              <w:rPr/>
            </w:pPr>
            <w:r>
              <w:rPr/>
              <w:t>5</w:t>
            </w:r>
          </w:p>
        </w:tc>
      </w:tr>
      <w:tr>
        <w:trPr>
          <w:trHeight w:val="397" w:hRule="exact"/>
        </w:trPr>
        <w:tc>
          <w:tcPr>
            <w:tcW w:w="1793" w:type="dxa"/>
            <w:tcBorders/>
            <w:shd w:fill="auto" w:val="clear"/>
            <w:tcMar>
              <w:top w:w="0" w:type="dxa"/>
            </w:tcMar>
            <w:vAlign w:val="center"/>
          </w:tcPr>
          <w:p>
            <w:pPr>
              <w:pStyle w:val="TableContents"/>
              <w:jc w:val="left"/>
              <w:rPr/>
            </w:pPr>
            <w:r>
              <w:rPr/>
              <w:t>ICC</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0.331</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0.227</w:t>
            </w:r>
          </w:p>
        </w:tc>
        <w:tc>
          <w:tcPr>
            <w:tcW w:w="41"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0.270</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60"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0.084</w:t>
            </w:r>
          </w:p>
        </w:tc>
        <w:tc>
          <w:tcPr>
            <w:tcW w:w="78"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0.140</w:t>
            </w:r>
          </w:p>
        </w:tc>
        <w:tc>
          <w:tcPr>
            <w:tcW w:w="54" w:type="dxa"/>
            <w:gridSpan w:val="2"/>
            <w:tcBorders/>
            <w:shd w:fill="auto" w:val="clear"/>
            <w:tcMar>
              <w:top w:w="0" w:type="dxa"/>
            </w:tcMar>
            <w:vAlign w:val="center"/>
          </w:tcPr>
          <w:p>
            <w:pPr>
              <w:pStyle w:val="TableContents"/>
              <w:rPr/>
            </w:pPr>
            <w:r>
              <w:rPr/>
            </w:r>
          </w:p>
        </w:tc>
        <w:tc>
          <w:tcPr>
            <w:tcW w:w="2437" w:type="dxa"/>
            <w:gridSpan w:val="3"/>
            <w:tcBorders/>
            <w:shd w:fill="auto" w:val="clear"/>
            <w:tcMar>
              <w:top w:w="0" w:type="dxa"/>
            </w:tcMar>
            <w:vAlign w:val="center"/>
          </w:tcPr>
          <w:p>
            <w:pPr>
              <w:pStyle w:val="TableContents"/>
              <w:jc w:val="center"/>
              <w:rPr/>
            </w:pPr>
            <w:r>
              <w:rPr/>
              <w:t>0.033</w:t>
            </w:r>
          </w:p>
        </w:tc>
      </w:tr>
      <w:tr>
        <w:trPr>
          <w:trHeight w:val="397" w:hRule="exact"/>
        </w:trPr>
        <w:tc>
          <w:tcPr>
            <w:tcW w:w="1793" w:type="dxa"/>
            <w:tcBorders>
              <w:top w:val="single" w:sz="2" w:space="0" w:color="000001"/>
            </w:tcBorders>
            <w:shd w:fill="auto" w:val="clear"/>
            <w:tcMar>
              <w:top w:w="57" w:type="dxa"/>
            </w:tcMar>
            <w:vAlign w:val="center"/>
          </w:tcPr>
          <w:p>
            <w:pPr>
              <w:pStyle w:val="TableContents"/>
              <w:jc w:val="left"/>
              <w:rPr/>
            </w:pPr>
            <w:r>
              <w:rPr/>
              <w:t>Observations</w:t>
            </w:r>
          </w:p>
        </w:tc>
        <w:tc>
          <w:tcPr>
            <w:tcW w:w="76" w:type="dxa"/>
            <w:tcBorders>
              <w:top w:val="single" w:sz="2" w:space="0" w:color="000001"/>
            </w:tcBorders>
            <w:shd w:fill="auto" w:val="clear"/>
            <w:tcMar>
              <w:top w:w="28" w:type="dxa"/>
            </w:tcMar>
            <w:vAlign w:val="center"/>
          </w:tcPr>
          <w:p>
            <w:pPr>
              <w:pStyle w:val="TableContents"/>
              <w:rPr/>
            </w:pPr>
            <w:r>
              <w:rPr/>
            </w:r>
          </w:p>
        </w:tc>
        <w:tc>
          <w:tcPr>
            <w:tcW w:w="2388"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383" w:type="dxa"/>
            <w:gridSpan w:val="4"/>
            <w:tcBorders>
              <w:top w:val="single" w:sz="2" w:space="0" w:color="000001"/>
            </w:tcBorders>
            <w:shd w:fill="auto" w:val="clear"/>
            <w:tcMar>
              <w:top w:w="57" w:type="dxa"/>
            </w:tcMar>
            <w:vAlign w:val="center"/>
          </w:tcPr>
          <w:p>
            <w:pPr>
              <w:pStyle w:val="TableContents"/>
              <w:jc w:val="center"/>
              <w:rPr/>
            </w:pPr>
            <w:r>
              <w:rPr/>
              <w:t>57</w:t>
            </w:r>
          </w:p>
        </w:tc>
        <w:tc>
          <w:tcPr>
            <w:tcW w:w="41" w:type="dxa"/>
            <w:gridSpan w:val="2"/>
            <w:tcBorders>
              <w:top w:val="single" w:sz="2" w:space="0" w:color="000001"/>
            </w:tcBorders>
            <w:shd w:fill="auto" w:val="clear"/>
            <w:tcMar>
              <w:top w:w="28" w:type="dxa"/>
            </w:tcMar>
            <w:vAlign w:val="center"/>
          </w:tcPr>
          <w:p>
            <w:pPr>
              <w:pStyle w:val="TableContents"/>
              <w:rPr/>
            </w:pPr>
            <w:r>
              <w:rPr/>
            </w:r>
          </w:p>
        </w:tc>
        <w:tc>
          <w:tcPr>
            <w:tcW w:w="2338" w:type="dxa"/>
            <w:gridSpan w:val="4"/>
            <w:tcBorders>
              <w:top w:val="single" w:sz="2" w:space="0" w:color="000001"/>
            </w:tcBorders>
            <w:shd w:fill="auto" w:val="clear"/>
            <w:tcMar>
              <w:top w:w="57" w:type="dxa"/>
            </w:tcMar>
            <w:vAlign w:val="center"/>
          </w:tcPr>
          <w:p>
            <w:pPr>
              <w:pStyle w:val="TableContents"/>
              <w:jc w:val="center"/>
              <w:rPr/>
            </w:pPr>
            <w:r>
              <w:rPr/>
              <w:t>57</w:t>
            </w:r>
          </w:p>
        </w:tc>
        <w:tc>
          <w:tcPr>
            <w:tcW w:w="51"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60" w:type="dxa"/>
            <w:gridSpan w:val="2"/>
            <w:tcBorders>
              <w:top w:val="single" w:sz="2" w:space="0" w:color="000001"/>
            </w:tcBorders>
            <w:shd w:fill="auto" w:val="clear"/>
            <w:tcMar>
              <w:top w:w="28" w:type="dxa"/>
            </w:tcMar>
            <w:vAlign w:val="center"/>
          </w:tcPr>
          <w:p>
            <w:pPr>
              <w:pStyle w:val="TableContents"/>
              <w:rPr/>
            </w:pPr>
            <w:r>
              <w:rPr/>
            </w:r>
          </w:p>
        </w:tc>
        <w:tc>
          <w:tcPr>
            <w:tcW w:w="2322" w:type="dxa"/>
            <w:gridSpan w:val="4"/>
            <w:tcBorders>
              <w:top w:val="single" w:sz="2" w:space="0" w:color="000001"/>
            </w:tcBorders>
            <w:shd w:fill="auto" w:val="clear"/>
            <w:tcMar>
              <w:top w:w="57" w:type="dxa"/>
            </w:tcMar>
            <w:vAlign w:val="center"/>
          </w:tcPr>
          <w:p>
            <w:pPr>
              <w:pStyle w:val="TableContents"/>
              <w:jc w:val="center"/>
              <w:rPr/>
            </w:pPr>
            <w:r>
              <w:rPr/>
              <w:t>57</w:t>
            </w:r>
          </w:p>
        </w:tc>
        <w:tc>
          <w:tcPr>
            <w:tcW w:w="78" w:type="dxa"/>
            <w:gridSpan w:val="2"/>
            <w:tcBorders>
              <w:top w:val="single" w:sz="2" w:space="0" w:color="000001"/>
            </w:tcBorders>
            <w:shd w:fill="auto" w:val="clear"/>
            <w:tcMar>
              <w:top w:w="28" w:type="dxa"/>
            </w:tcMar>
            <w:vAlign w:val="center"/>
          </w:tcPr>
          <w:p>
            <w:pPr>
              <w:pStyle w:val="TableContents"/>
              <w:rPr/>
            </w:pPr>
            <w:r>
              <w:rPr/>
            </w:r>
          </w:p>
        </w:tc>
        <w:tc>
          <w:tcPr>
            <w:tcW w:w="2536" w:type="dxa"/>
            <w:gridSpan w:val="4"/>
            <w:tcBorders>
              <w:top w:val="single" w:sz="2" w:space="0" w:color="000001"/>
            </w:tcBorders>
            <w:shd w:fill="auto" w:val="clear"/>
            <w:tcMar>
              <w:top w:w="57" w:type="dxa"/>
            </w:tcMar>
            <w:vAlign w:val="center"/>
          </w:tcPr>
          <w:p>
            <w:pPr>
              <w:pStyle w:val="TableContents"/>
              <w:jc w:val="center"/>
              <w:rPr/>
            </w:pPr>
            <w:r>
              <w:rPr/>
              <w:t>57</w:t>
            </w:r>
          </w:p>
        </w:tc>
        <w:tc>
          <w:tcPr>
            <w:tcW w:w="54" w:type="dxa"/>
            <w:gridSpan w:val="2"/>
            <w:tcBorders>
              <w:top w:val="single" w:sz="2" w:space="0" w:color="000001"/>
            </w:tcBorders>
            <w:shd w:fill="auto" w:val="clear"/>
            <w:tcMar>
              <w:top w:w="28" w:type="dxa"/>
            </w:tcMar>
            <w:vAlign w:val="center"/>
          </w:tcPr>
          <w:p>
            <w:pPr>
              <w:pStyle w:val="TableContents"/>
              <w:rPr/>
            </w:pPr>
            <w:r>
              <w:rPr/>
            </w:r>
          </w:p>
        </w:tc>
        <w:tc>
          <w:tcPr>
            <w:tcW w:w="2437"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3"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.456 / .453</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.440 / .437</w:t>
            </w:r>
          </w:p>
        </w:tc>
        <w:tc>
          <w:tcPr>
            <w:tcW w:w="41"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.421 / .417</w:t>
            </w:r>
          </w:p>
        </w:tc>
        <w:tc>
          <w:tcPr>
            <w:tcW w:w="51"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60"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.162 / .147</w:t>
            </w:r>
          </w:p>
        </w:tc>
        <w:tc>
          <w:tcPr>
            <w:tcW w:w="78"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.342 / .338</w:t>
            </w:r>
          </w:p>
        </w:tc>
        <w:tc>
          <w:tcPr>
            <w:tcW w:w="54" w:type="dxa"/>
            <w:gridSpan w:val="2"/>
            <w:tcBorders/>
            <w:shd w:fill="auto" w:val="clear"/>
            <w:tcMar>
              <w:top w:w="0" w:type="dxa"/>
            </w:tcMar>
            <w:vAlign w:val="center"/>
          </w:tcPr>
          <w:p>
            <w:pPr>
              <w:pStyle w:val="TableContents"/>
              <w:rPr/>
            </w:pPr>
            <w:r>
              <w:rPr/>
            </w:r>
          </w:p>
        </w:tc>
        <w:tc>
          <w:tcPr>
            <w:tcW w:w="2437"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3"/>
        <w:gridCol w:w="68"/>
        <w:gridCol w:w="557"/>
        <w:gridCol w:w="1248"/>
        <w:gridCol w:w="572"/>
        <w:gridCol w:w="51"/>
        <w:gridCol w:w="562"/>
        <w:gridCol w:w="1131"/>
        <w:gridCol w:w="680"/>
        <w:gridCol w:w="55"/>
        <w:gridCol w:w="559"/>
        <w:gridCol w:w="1189"/>
        <w:gridCol w:w="625"/>
        <w:gridCol w:w="55"/>
        <w:gridCol w:w="506"/>
        <w:gridCol w:w="1131"/>
        <w:gridCol w:w="627"/>
        <w:gridCol w:w="54"/>
        <w:gridCol w:w="559"/>
        <w:gridCol w:w="1192"/>
        <w:gridCol w:w="506"/>
        <w:gridCol w:w="77"/>
        <w:gridCol w:w="595"/>
        <w:gridCol w:w="1133"/>
        <w:gridCol w:w="795"/>
        <w:gridCol w:w="56"/>
        <w:gridCol w:w="506"/>
        <w:gridCol w:w="1301"/>
        <w:gridCol w:w="681"/>
      </w:tblGrid>
      <w:tr>
        <w:trPr/>
        <w:tc>
          <w:tcPr>
            <w:tcW w:w="18874" w:type="dxa"/>
            <w:gridSpan w:val="29"/>
            <w:tcBorders>
              <w:top w:val="single" w:sz="2" w:space="0" w:color="000001"/>
            </w:tcBorders>
            <w:shd w:fill="auto" w:val="clear"/>
            <w:vAlign w:val="center"/>
          </w:tcPr>
          <w:p>
            <w:pPr>
              <w:pStyle w:val="TableContents"/>
              <w:jc w:val="left"/>
              <w:rPr>
                <w:b/>
                <w:b/>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57" w:type="dxa"/>
            <w:tcBorders/>
            <w:shd w:fill="auto" w:val="clear"/>
            <w:tcMar>
              <w:top w:w="0" w:type="dxa"/>
            </w:tcMar>
            <w:vAlign w:val="center"/>
          </w:tcPr>
          <w:p>
            <w:pPr>
              <w:pStyle w:val="TableContents"/>
              <w:jc w:val="center"/>
              <w:rPr/>
            </w:pPr>
            <w:r>
              <w:rPr/>
              <w:t>1.26</w:t>
            </w:r>
          </w:p>
        </w:tc>
        <w:tc>
          <w:tcPr>
            <w:tcW w:w="1248"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1" w:type="dxa"/>
            <w:tcBorders>
              <w:top w:val="double" w:sz="2" w:space="0" w:color="000001"/>
            </w:tcBorders>
            <w:shd w:fill="auto" w:val="clear"/>
            <w:tcMar>
              <w:top w:w="28"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0.10</w:t>
            </w:r>
          </w:p>
        </w:tc>
        <w:tc>
          <w:tcPr>
            <w:tcW w:w="1131" w:type="dxa"/>
            <w:tcBorders/>
            <w:shd w:fill="auto" w:val="clear"/>
            <w:tcMar>
              <w:top w:w="0" w:type="dxa"/>
            </w:tcMar>
            <w:vAlign w:val="center"/>
          </w:tcPr>
          <w:p>
            <w:pPr>
              <w:pStyle w:val="TableContents"/>
              <w:jc w:val="center"/>
              <w:rPr/>
            </w:pPr>
            <w:r>
              <w:rPr/>
              <w:t>0.07–0.12</w:t>
            </w:r>
          </w:p>
        </w:tc>
        <w:tc>
          <w:tcPr>
            <w:tcW w:w="680"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89" w:type="dxa"/>
            <w:tcBorders/>
            <w:shd w:fill="auto" w:val="clear"/>
            <w:tcMar>
              <w:top w:w="0" w:type="dxa"/>
            </w:tcMar>
            <w:vAlign w:val="center"/>
          </w:tcPr>
          <w:p>
            <w:pPr>
              <w:pStyle w:val="TableContents"/>
              <w:jc w:val="center"/>
              <w:rPr/>
            </w:pPr>
            <w:r>
              <w:rPr/>
              <w:t>0.01–0.02</w:t>
            </w:r>
          </w:p>
        </w:tc>
        <w:tc>
          <w:tcPr>
            <w:tcW w:w="625"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1" w:type="dxa"/>
            <w:tcBorders/>
            <w:shd w:fill="auto" w:val="clear"/>
            <w:tcMar>
              <w:top w:w="0" w:type="dxa"/>
            </w:tcMar>
            <w:vAlign w:val="center"/>
          </w:tcPr>
          <w:p>
            <w:pPr>
              <w:pStyle w:val="TableContents"/>
              <w:jc w:val="center"/>
              <w:rPr/>
            </w:pPr>
            <w:r>
              <w:rPr/>
              <w:t>0.04–0.29</w:t>
            </w:r>
          </w:p>
        </w:tc>
        <w:tc>
          <w:tcPr>
            <w:tcW w:w="627" w:type="dxa"/>
            <w:tcBorders/>
            <w:shd w:fill="auto" w:val="clear"/>
            <w:tcMar>
              <w:top w:w="0" w:type="dxa"/>
            </w:tcMar>
            <w:vAlign w:val="center"/>
          </w:tcPr>
          <w:p>
            <w:pPr>
              <w:pStyle w:val="TableContents"/>
              <w:jc w:val="center"/>
              <w:rPr/>
            </w:pPr>
            <w:r>
              <w:rPr/>
              <w:t>.042</w:t>
            </w:r>
          </w:p>
        </w:tc>
        <w:tc>
          <w:tcPr>
            <w:tcW w:w="54"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0.12</w:t>
            </w:r>
          </w:p>
        </w:tc>
        <w:tc>
          <w:tcPr>
            <w:tcW w:w="1192"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77" w:type="dxa"/>
            <w:tcBorders>
              <w:top w:val="double" w:sz="2" w:space="0" w:color="000001"/>
            </w:tcBorders>
            <w:shd w:fill="auto" w:val="clear"/>
            <w:tcMar>
              <w:top w:w="28"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0.20</w:t>
            </w:r>
          </w:p>
        </w:tc>
        <w:tc>
          <w:tcPr>
            <w:tcW w:w="1133" w:type="dxa"/>
            <w:tcBorders/>
            <w:shd w:fill="auto" w:val="clear"/>
            <w:tcMar>
              <w:top w:w="0" w:type="dxa"/>
            </w:tcMar>
            <w:vAlign w:val="center"/>
          </w:tcPr>
          <w:p>
            <w:pPr>
              <w:pStyle w:val="TableContents"/>
              <w:jc w:val="center"/>
              <w:rPr/>
            </w:pPr>
            <w:r>
              <w:rPr/>
              <w:t>0.14–0.26</w:t>
            </w:r>
          </w:p>
        </w:tc>
        <w:tc>
          <w:tcPr>
            <w:tcW w:w="795" w:type="dxa"/>
            <w:tcBorders/>
            <w:shd w:fill="auto" w:val="clear"/>
            <w:tcMar>
              <w:top w:w="0" w:type="dxa"/>
            </w:tcMar>
            <w:vAlign w:val="center"/>
          </w:tcPr>
          <w:p>
            <w:pPr>
              <w:pStyle w:val="TableContents"/>
              <w:jc w:val="center"/>
              <w:rPr/>
            </w:pPr>
            <w:r>
              <w:rPr/>
              <w:t>&lt;.001</w:t>
            </w:r>
          </w:p>
        </w:tc>
        <w:tc>
          <w:tcPr>
            <w:tcW w:w="56"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1" w:type="dxa"/>
            <w:tcBorders/>
            <w:shd w:fill="auto" w:val="clear"/>
            <w:tcMar>
              <w:top w:w="0" w:type="dxa"/>
            </w:tcMar>
            <w:vAlign w:val="center"/>
          </w:tcPr>
          <w:p>
            <w:pPr>
              <w:pStyle w:val="TableContents"/>
              <w:jc w:val="center"/>
              <w:rPr/>
            </w:pPr>
            <w:r>
              <w:rPr/>
              <w:t>1.43–2.42</w:t>
            </w:r>
          </w:p>
        </w:tc>
        <w:tc>
          <w:tcPr>
            <w:tcW w:w="681"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57" w:type="dxa"/>
            <w:tcBorders/>
            <w:shd w:fill="auto" w:val="clear"/>
            <w:tcMar>
              <w:top w:w="0" w:type="dxa"/>
            </w:tcMar>
            <w:vAlign w:val="center"/>
          </w:tcPr>
          <w:p>
            <w:pPr>
              <w:pStyle w:val="TableContents"/>
              <w:jc w:val="center"/>
              <w:rPr/>
            </w:pPr>
            <w:r>
              <w:rPr/>
              <w:t>-0.63</w:t>
            </w:r>
          </w:p>
        </w:tc>
        <w:tc>
          <w:tcPr>
            <w:tcW w:w="1248"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1"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0"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5"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1" w:type="dxa"/>
            <w:tcBorders/>
            <w:shd w:fill="auto" w:val="clear"/>
            <w:tcMar>
              <w:top w:w="0" w:type="dxa"/>
            </w:tcMar>
            <w:vAlign w:val="center"/>
          </w:tcPr>
          <w:p>
            <w:pPr>
              <w:pStyle w:val="TableContents"/>
              <w:jc w:val="center"/>
              <w:rPr/>
            </w:pPr>
            <w:r>
              <w:rPr/>
              <w:t>-0.05–0.14</w:t>
            </w:r>
          </w:p>
        </w:tc>
        <w:tc>
          <w:tcPr>
            <w:tcW w:w="627" w:type="dxa"/>
            <w:tcBorders/>
            <w:shd w:fill="auto" w:val="clear"/>
            <w:tcMar>
              <w:top w:w="0" w:type="dxa"/>
            </w:tcMar>
            <w:vAlign w:val="center"/>
          </w:tcPr>
          <w:p>
            <w:pPr>
              <w:pStyle w:val="TableContents"/>
              <w:jc w:val="center"/>
              <w:rPr/>
            </w:pPr>
            <w:r>
              <w:rPr/>
              <w:t>.347</w:t>
            </w:r>
          </w:p>
        </w:tc>
        <w:tc>
          <w:tcPr>
            <w:tcW w:w="54"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2"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77"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-0.10</w:t>
            </w:r>
          </w:p>
        </w:tc>
        <w:tc>
          <w:tcPr>
            <w:tcW w:w="1133" w:type="dxa"/>
            <w:tcBorders/>
            <w:shd w:fill="auto" w:val="clear"/>
            <w:tcMar>
              <w:top w:w="0" w:type="dxa"/>
            </w:tcMar>
            <w:vAlign w:val="center"/>
          </w:tcPr>
          <w:p>
            <w:pPr>
              <w:pStyle w:val="TableContents"/>
              <w:jc w:val="center"/>
              <w:rPr/>
            </w:pPr>
            <w:r>
              <w:rPr/>
              <w:t>-0.17–-0.03</w:t>
            </w:r>
          </w:p>
        </w:tc>
        <w:tc>
          <w:tcPr>
            <w:tcW w:w="795" w:type="dxa"/>
            <w:tcBorders/>
            <w:shd w:fill="auto" w:val="clear"/>
            <w:tcMar>
              <w:top w:w="0" w:type="dxa"/>
            </w:tcMar>
            <w:vAlign w:val="center"/>
          </w:tcPr>
          <w:p>
            <w:pPr>
              <w:pStyle w:val="TableContents"/>
              <w:jc w:val="center"/>
              <w:rPr>
                <w:b/>
                <w:b/>
              </w:rPr>
            </w:pPr>
            <w:r>
              <w:rPr>
                <w:b/>
              </w:rPr>
              <w:t>.010</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1" w:type="dxa"/>
            <w:tcBorders/>
            <w:shd w:fill="auto" w:val="clear"/>
            <w:tcMar>
              <w:top w:w="0" w:type="dxa"/>
            </w:tcMar>
            <w:vAlign w:val="center"/>
          </w:tcPr>
          <w:p>
            <w:pPr>
              <w:pStyle w:val="TableContents"/>
              <w:jc w:val="center"/>
              <w:rPr/>
            </w:pPr>
            <w:r>
              <w:rPr/>
              <w:t>-1.24–0.10</w:t>
            </w:r>
          </w:p>
        </w:tc>
        <w:tc>
          <w:tcPr>
            <w:tcW w:w="681"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57" w:type="dxa"/>
            <w:tcBorders/>
            <w:shd w:fill="auto" w:val="clear"/>
            <w:tcMar>
              <w:top w:w="0" w:type="dxa"/>
            </w:tcMar>
            <w:vAlign w:val="center"/>
          </w:tcPr>
          <w:p>
            <w:pPr>
              <w:pStyle w:val="TableContents"/>
              <w:jc w:val="center"/>
              <w:rPr/>
            </w:pPr>
            <w:r>
              <w:rPr/>
              <w:t>-0.78</w:t>
            </w:r>
          </w:p>
        </w:tc>
        <w:tc>
          <w:tcPr>
            <w:tcW w:w="1248"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1"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-0.07–-0.02</w:t>
            </w:r>
          </w:p>
        </w:tc>
        <w:tc>
          <w:tcPr>
            <w:tcW w:w="680"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5" w:type="dxa"/>
            <w:tcBorders/>
            <w:shd w:fill="auto" w:val="clear"/>
            <w:tcMar>
              <w:top w:w="0" w:type="dxa"/>
            </w:tcMar>
            <w:vAlign w:val="center"/>
          </w:tcPr>
          <w:p>
            <w:pPr>
              <w:pStyle w:val="TableContents"/>
              <w:jc w:val="center"/>
              <w:rPr>
                <w:b/>
                <w:b/>
              </w:rPr>
            </w:pPr>
            <w:r>
              <w:rPr>
                <w:b/>
              </w:rPr>
              <w:t>.006</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1" w:type="dxa"/>
            <w:tcBorders/>
            <w:shd w:fill="auto" w:val="clear"/>
            <w:tcMar>
              <w:top w:w="0" w:type="dxa"/>
            </w:tcMar>
            <w:vAlign w:val="center"/>
          </w:tcPr>
          <w:p>
            <w:pPr>
              <w:pStyle w:val="TableContents"/>
              <w:jc w:val="center"/>
              <w:rPr/>
            </w:pPr>
            <w:r>
              <w:rPr/>
              <w:t>-0.11–0.08</w:t>
            </w:r>
          </w:p>
        </w:tc>
        <w:tc>
          <w:tcPr>
            <w:tcW w:w="627" w:type="dxa"/>
            <w:tcBorders/>
            <w:shd w:fill="auto" w:val="clear"/>
            <w:tcMar>
              <w:top w:w="0" w:type="dxa"/>
            </w:tcMar>
            <w:vAlign w:val="center"/>
          </w:tcPr>
          <w:p>
            <w:pPr>
              <w:pStyle w:val="TableContents"/>
              <w:jc w:val="center"/>
              <w:rPr/>
            </w:pPr>
            <w:r>
              <w:rPr/>
              <w:t>.741</w:t>
            </w:r>
          </w:p>
        </w:tc>
        <w:tc>
          <w:tcPr>
            <w:tcW w:w="54"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92"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77"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-0.12</w:t>
            </w:r>
          </w:p>
        </w:tc>
        <w:tc>
          <w:tcPr>
            <w:tcW w:w="1133" w:type="dxa"/>
            <w:tcBorders/>
            <w:shd w:fill="auto" w:val="clear"/>
            <w:tcMar>
              <w:top w:w="0" w:type="dxa"/>
            </w:tcMar>
            <w:vAlign w:val="center"/>
          </w:tcPr>
          <w:p>
            <w:pPr>
              <w:pStyle w:val="TableContents"/>
              <w:jc w:val="center"/>
              <w:rPr/>
            </w:pPr>
            <w:r>
              <w:rPr/>
              <w:t>-0.19–-0.04</w:t>
            </w:r>
          </w:p>
        </w:tc>
        <w:tc>
          <w:tcPr>
            <w:tcW w:w="795"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1" w:type="dxa"/>
            <w:tcBorders/>
            <w:shd w:fill="auto" w:val="clear"/>
            <w:tcMar>
              <w:top w:w="0" w:type="dxa"/>
            </w:tcMar>
            <w:vAlign w:val="center"/>
          </w:tcPr>
          <w:p>
            <w:pPr>
              <w:pStyle w:val="TableContents"/>
              <w:jc w:val="center"/>
              <w:rPr/>
            </w:pPr>
            <w:r>
              <w:rPr/>
              <w:t>-0.86–0.46</w:t>
            </w:r>
          </w:p>
        </w:tc>
        <w:tc>
          <w:tcPr>
            <w:tcW w:w="681"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57" w:type="dxa"/>
            <w:tcBorders/>
            <w:shd w:fill="auto" w:val="clear"/>
            <w:tcMar>
              <w:top w:w="0" w:type="dxa"/>
            </w:tcMar>
            <w:vAlign w:val="center"/>
          </w:tcPr>
          <w:p>
            <w:pPr>
              <w:pStyle w:val="TableContents"/>
              <w:jc w:val="center"/>
              <w:rPr/>
            </w:pPr>
            <w:r>
              <w:rPr/>
              <w:t>-0.87</w:t>
            </w:r>
          </w:p>
        </w:tc>
        <w:tc>
          <w:tcPr>
            <w:tcW w:w="1248"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1"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0"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-0.02–-0.00</w:t>
            </w:r>
          </w:p>
        </w:tc>
        <w:tc>
          <w:tcPr>
            <w:tcW w:w="625"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1" w:type="dxa"/>
            <w:tcBorders/>
            <w:shd w:fill="auto" w:val="clear"/>
            <w:tcMar>
              <w:top w:w="0" w:type="dxa"/>
            </w:tcMar>
            <w:vAlign w:val="center"/>
          </w:tcPr>
          <w:p>
            <w:pPr>
              <w:pStyle w:val="TableContents"/>
              <w:jc w:val="center"/>
              <w:rPr/>
            </w:pPr>
            <w:r>
              <w:rPr/>
              <w:t>-0.13–0.06</w:t>
            </w:r>
          </w:p>
        </w:tc>
        <w:tc>
          <w:tcPr>
            <w:tcW w:w="627" w:type="dxa"/>
            <w:tcBorders/>
            <w:shd w:fill="auto" w:val="clear"/>
            <w:tcMar>
              <w:top w:w="0" w:type="dxa"/>
            </w:tcMar>
            <w:vAlign w:val="center"/>
          </w:tcPr>
          <w:p>
            <w:pPr>
              <w:pStyle w:val="TableContents"/>
              <w:jc w:val="center"/>
              <w:rPr/>
            </w:pPr>
            <w:r>
              <w:rPr/>
              <w:t>.499</w:t>
            </w:r>
          </w:p>
        </w:tc>
        <w:tc>
          <w:tcPr>
            <w:tcW w:w="54"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2"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77"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-0.21–-0.06</w:t>
            </w:r>
          </w:p>
        </w:tc>
        <w:tc>
          <w:tcPr>
            <w:tcW w:w="795"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-1.48–-0.14</w:t>
            </w:r>
          </w:p>
        </w:tc>
        <w:tc>
          <w:tcPr>
            <w:tcW w:w="681"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240" w:charSpace="0"/>
        </w:sectPr>
      </w:pPr>
    </w:p>
    <w:p>
      <w:pPr>
        <w:pStyle w:val="Normal"/>
        <w:spacing w:lineRule="auto" w:line="360"/>
        <w:jc w:val="both"/>
        <w:rPr>
          <w:sz w:val="24"/>
          <w:szCs w:val="24"/>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420"/>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420"/>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420"/>
          <w:tab w:val="left" w:pos="1080" w:leader="none"/>
        </w:tabs>
        <w:spacing w:lineRule="auto" w:line="360"/>
        <w:jc w:val="both"/>
        <w:rPr/>
      </w:pPr>
      <w:r>
        <w:rPr/>
      </w:r>
    </w:p>
    <w:p>
      <w:pPr>
        <w:pStyle w:val="TextBody"/>
        <w:tabs>
          <w:tab w:val="clear" w:pos="420"/>
          <w:tab w:val="left" w:pos="1080" w:leader="none"/>
        </w:tabs>
        <w:spacing w:lineRule="auto" w:line="360"/>
        <w:jc w:val="both"/>
        <w:rPr/>
      </w:pPr>
      <w:bookmarkStart w:id="18" w:name="23017853"/>
      <w:bookmarkEnd w:id="18"/>
      <w:r>
        <w:rPr>
          <w:rFonts w:ascii="Times New Roman" w:hAnsi="Times New Roman"/>
          <w:b/>
          <w:bCs/>
          <w:color w:val="000000"/>
          <w:sz w:val="24"/>
          <w:szCs w:val="24"/>
        </w:rPr>
        <w:t xml:space="preserve">Table 3 - Score for the relative severity of leukocyte infiltration in histologic sections from the mid-part of the caecum from NMRI mice infected with </w:t>
      </w:r>
      <w:r>
        <w:rPr>
          <w:rStyle w:val="Emphasis"/>
          <w:rFonts w:ascii="Times New Roman" w:hAnsi="Times New Roman"/>
          <w:b/>
          <w:bCs/>
          <w:color w:val="000000"/>
          <w:sz w:val="24"/>
          <w:szCs w:val="24"/>
        </w:rPr>
        <w:t xml:space="preserve">Eimeria </w:t>
      </w:r>
      <w:r>
        <w:rPr>
          <w:rStyle w:val="Emphasis"/>
          <w:rFonts w:ascii="Times New Roman" w:hAnsi="Times New Roman"/>
          <w:b/>
          <w:bCs/>
          <w:i w:val="false"/>
          <w:iCs w:val="false"/>
          <w:color w:val="000000"/>
          <w:sz w:val="24"/>
          <w:szCs w:val="24"/>
        </w:rPr>
        <w:t>spp.</w:t>
      </w:r>
      <w:r>
        <w:rPr>
          <w:rStyle w:val="Emphasis"/>
          <w:rFonts w:ascii="Times New Roman" w:hAnsi="Times New Roman"/>
          <w:b/>
          <w:bCs/>
          <w:i w:val="false"/>
          <w:iCs w:val="false"/>
          <w:color w:val="000000"/>
          <w:sz w:val="26"/>
          <w:szCs w:val="26"/>
        </w:rPr>
        <w:t xml:space="preserve"> </w:t>
      </w:r>
    </w:p>
    <w:tbl>
      <w:tblPr>
        <w:tblW w:w="9972" w:type="dxa"/>
        <w:jc w:val="left"/>
        <w:tblInd w:w="0" w:type="dxa"/>
        <w:tblCellMar>
          <w:top w:w="55" w:type="dxa"/>
          <w:left w:w="37" w:type="dxa"/>
          <w:bottom w:w="55" w:type="dxa"/>
          <w:right w:w="55" w:type="dxa"/>
        </w:tblCellMar>
        <w:tblLook w:noVBand="1" w:val="04a0" w:noHBand="0" w:lastColumn="0" w:firstColumn="1" w:lastRow="0" w:firstRow="1"/>
      </w:tblPr>
      <w:tblGrid>
        <w:gridCol w:w="3508"/>
        <w:gridCol w:w="1369"/>
        <w:gridCol w:w="1232"/>
        <w:gridCol w:w="1256"/>
        <w:gridCol w:w="1356"/>
        <w:gridCol w:w="1250"/>
      </w:tblGrid>
      <w:tr>
        <w:trPr/>
        <w:tc>
          <w:tcPr>
            <w:tcW w:w="3508"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pPr>
            <w:r>
              <w:rPr>
                <w:rFonts w:ascii="Times New Roman" w:hAnsi="Times New Roman"/>
                <w:sz w:val="26"/>
                <w:szCs w:val="26"/>
              </w:rPr>
              <w:t>Infection</w:t>
            </w:r>
          </w:p>
        </w:tc>
        <w:tc>
          <w:tcPr>
            <w:tcW w:w="6463"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8" w:type="dxa"/>
            <w:vMerge w:val="continue"/>
            <w:tcBorders>
              <w:top w:val="single" w:sz="2" w:space="0" w:color="000001"/>
              <w:left w:val="single" w:sz="2" w:space="0" w:color="000001"/>
              <w:bottom w:val="single" w:sz="2" w:space="0" w:color="000001"/>
            </w:tcBorders>
            <w:shd w:fill="auto" w:val="clear"/>
          </w:tcPr>
          <w:p>
            <w:pPr>
              <w:pStyle w:val="Normal"/>
              <w:spacing w:lineRule="auto" w:line="360"/>
              <w:jc w:val="both"/>
              <w:rPr/>
            </w:pPr>
            <w:r>
              <w:rPr/>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50"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50"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3, 2, 3</w:t>
            </w:r>
          </w:p>
        </w:tc>
        <w:tc>
          <w:tcPr>
            <w:tcW w:w="1250"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1, 2, 1</w:t>
            </w:r>
          </w:p>
        </w:tc>
        <w:tc>
          <w:tcPr>
            <w:tcW w:w="1232"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50"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420"/>
          <w:tab w:val="left" w:pos="6382" w:leader="none"/>
        </w:tabs>
        <w:spacing w:lineRule="auto" w:line="360" w:before="57" w:after="57"/>
        <w:jc w:val="both"/>
        <w:rPr>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19" w:name="__UnoMark__10568_2905672918"/>
      <w:r>
        <w:rPr>
          <w:rStyle w:val="Emphasis"/>
          <w:rFonts w:ascii="Times New Roman" w:hAnsi="Times New Roman"/>
          <w:i w:val="false"/>
          <w:iCs w:val="false"/>
          <w:color w:val="222222"/>
        </w:rPr>
        <w:t>(Haberkorn, 1970)</w:t>
      </w:r>
      <w:bookmarkEnd w:id="19"/>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20" w:name="__UnoMark__10567_2905672918"/>
      <w:r>
        <w:rPr>
          <w:rStyle w:val="Emphasis"/>
          <w:rFonts w:ascii="Times New Roman" w:hAnsi="Times New Roman"/>
          <w:i w:val="false"/>
          <w:iCs w:val="false"/>
        </w:rPr>
        <w:t>(Stange et al., 2012; Schmid et al., 2012, 2014; Ehret et al., 2017)</w:t>
      </w:r>
      <w:bookmarkEnd w:id="20"/>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1" w:name="__UnoMark__10566_2905672918"/>
      <w:r>
        <w:rPr>
          <w:rStyle w:val="Emphasis"/>
          <w:rFonts w:ascii="Times New Roman" w:hAnsi="Times New Roman"/>
          <w:bCs/>
          <w:i w:val="false"/>
          <w:iCs w:val="false"/>
          <w:color w:val="000000"/>
        </w:rPr>
        <w:t>(Mesfin et al., 1978; Kasai et al., 1991)</w:t>
      </w:r>
      <w:bookmarkEnd w:id="21"/>
      <w:r>
        <w:rPr>
          <w:rStyle w:val="Emphasis"/>
          <w:rFonts w:ascii="Times New Roman" w:hAnsi="Times New Roman"/>
          <w:bCs/>
          <w:i w:val="false"/>
          <w:iCs w:val="false"/>
          <w:color w:val="000000"/>
        </w:rPr>
        <w:t xml:space="preserve">, but </w:t>
      </w:r>
      <w:bookmarkStart w:id="22" w:name="__UnoMark__10565_2905672918"/>
      <w:r>
        <w:rPr>
          <w:rStyle w:val="Emphasis"/>
          <w:rFonts w:ascii="Times New Roman" w:hAnsi="Times New Roman"/>
          <w:bCs/>
          <w:i w:val="false"/>
          <w:iCs w:val="false"/>
          <w:color w:val="000000"/>
        </w:rPr>
        <w:t>Mahrt and Shi (1988) and Schito et al. (1996)</w:t>
      </w:r>
      <w:bookmarkEnd w:id="22"/>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3" w:name="__UnoMark__10564_2905672918"/>
      <w:bookmarkEnd w:id="23"/>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4" w:name="__UnoMark__10563_2905672918"/>
      <w:r>
        <w:rPr>
          <w:rStyle w:val="Emphasis"/>
          <w:rFonts w:ascii="Times New Roman" w:hAnsi="Times New Roman"/>
          <w:bCs/>
          <w:i w:val="false"/>
          <w:iCs w:val="false"/>
          <w:color w:val="000000"/>
        </w:rPr>
        <w:t>(Ankrom et al., 1975)</w:t>
      </w:r>
      <w:bookmarkEnd w:id="24"/>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 especially when compared to </w:t>
      </w:r>
      <w:r>
        <w:rPr>
          <w:rFonts w:ascii="Times New Roman" w:hAnsi="Times New Roman"/>
          <w:bCs/>
          <w:i/>
          <w:iCs/>
          <w:color w:val="000000"/>
        </w:rPr>
        <w:t>E. falciformis -</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5" w:name="__UnoMark__10562_2905672918"/>
      <w:r>
        <w:rPr>
          <w:rStyle w:val="Emphasis"/>
          <w:rFonts w:ascii="Times New Roman" w:hAnsi="Times New Roman"/>
          <w:i w:val="false"/>
          <w:iCs w:val="false"/>
        </w:rPr>
        <w:t>(Schmid et al., 2012; Stange et al., 2012; Ehret et al., 2017)</w:t>
      </w:r>
      <w:bookmarkEnd w:id="25"/>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intensity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was very similar throughout the infection. We can conclude that we report results from a strong infection relative to previous studies, which was consistent between innocula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either due to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6" w:name="__UnoMark__10539_2905672918"/>
      <w:r>
        <w:rPr>
          <w:rStyle w:val="Emphasis"/>
          <w:rFonts w:ascii="Times New Roman" w:hAnsi="Times New Roman"/>
          <w:bCs/>
          <w:i w:val="false"/>
          <w:iCs w:val="false"/>
          <w:color w:val="000000"/>
        </w:rPr>
        <w:t>(McDonald and Ballingall, 1983; Shirley and Bellatti, 1988</w:t>
      </w:r>
      <w:bookmarkEnd w:id="26"/>
      <w:r>
        <w:rPr>
          <w:rStyle w:val="Emphasis"/>
          <w:rFonts w:ascii="Times New Roman" w:hAnsi="Times New Roman"/>
          <w:bCs/>
          <w:i w:val="false"/>
          <w:iCs w:val="false"/>
          <w:color w:val="000000"/>
        </w:rPr>
        <w:t>;  Shirley and Long, 19</w:t>
      </w:r>
      <w:bookmarkStart w:id="27" w:name="__UnoMark__10561_2905672918"/>
      <w:bookmarkEnd w:id="27"/>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8" w:name="__UnoMark__10558_2905672918"/>
      <w:bookmarkEnd w:id="28"/>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29" w:name="__UnoMark__10559_2905672918"/>
      <w:bookmarkEnd w:id="29"/>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30" w:name="__UnoMark__10557_2905672918"/>
      <w:r>
        <w:rPr>
          <w:rFonts w:ascii="Times New Roman" w:hAnsi="Times New Roman"/>
          <w:color w:val="000000"/>
        </w:rPr>
        <w:t>(Mesfin et al., 1978; Rose et al., 1992; Laurent et al., 2001; Gadde et al., 2009; Muñoz-Caro et al., 2016)</w:t>
      </w:r>
      <w:bookmarkEnd w:id="30"/>
      <w:r>
        <w:rPr>
          <w:rFonts w:ascii="Times New Roman" w:hAnsi="Times New Roman"/>
          <w:color w:val="000000"/>
        </w:rPr>
        <w:t xml:space="preserve">.  </w:t>
      </w:r>
      <w:bookmarkStart w:id="31" w:name="__UnoMark__10555_2905672918"/>
      <w:r>
        <w:rPr>
          <w:rStyle w:val="Emphasis"/>
          <w:rFonts w:ascii="Times New Roman" w:hAnsi="Times New Roman"/>
          <w:i w:val="false"/>
          <w:iCs w:val="false"/>
          <w:color w:val="000000"/>
        </w:rPr>
        <w:t>Schmid et al. (2014</w:t>
      </w:r>
      <w:bookmarkEnd w:id="31"/>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iCs/>
          <w:color w:val="000000"/>
        </w:rPr>
        <w:t>IFN-γ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iCs/>
          <w:highlight w:val="white"/>
        </w:rPr>
        <w:t>IL-12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iCs/>
          <w:color w:val="000000"/>
        </w:rPr>
        <w:t>IL-12</w:t>
      </w:r>
      <w:r>
        <w:rPr>
          <w:rStyle w:val="Emphasis"/>
          <w:rFonts w:ascii="Times New Roman" w:hAnsi="Times New Roman"/>
          <w:bCs/>
          <w:i w:val="false"/>
          <w:iCs w:val="false"/>
          <w:color w:val="000000"/>
        </w:rPr>
        <w:t>/</w:t>
      </w:r>
      <w:r>
        <w:rPr>
          <w:rStyle w:val="Emphasis"/>
          <w:rFonts w:ascii="Times New Roman" w:hAnsi="Times New Roman"/>
          <w:bCs/>
          <w:i/>
          <w:iCs/>
          <w:color w:val="000000"/>
        </w:rPr>
        <w:t>Ifnγ</w:t>
      </w:r>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2" w:name="__UnoMark__10548_2905672918"/>
      <w:bookmarkEnd w:id="32"/>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Ifnγ</w:t>
      </w:r>
      <w:r>
        <w:rPr>
          <w:rStyle w:val="Emphasis"/>
          <w:rFonts w:ascii="Times New Roman" w:hAnsi="Times New Roman"/>
          <w:bCs/>
          <w:i w:val="false"/>
          <w:iCs w:val="false"/>
          <w:color w:val="000000"/>
          <w:highlight w:val="white"/>
        </w:rPr>
        <w:t xml:space="preserve"> significantly unregulated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Th1 cytokines </w:t>
      </w:r>
      <w:r>
        <w:rPr>
          <w:rStyle w:val="Emphasis"/>
          <w:rFonts w:ascii="Times New Roman" w:hAnsi="Times New Roman"/>
          <w:bCs/>
          <w:i/>
          <w:iCs/>
          <w:color w:val="000000"/>
        </w:rPr>
        <w:t>IL-10</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TGF-β</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3" w:name="__UnoMark__10547_2905672918"/>
      <w:bookmarkEnd w:id="33"/>
      <w:r>
        <w:rPr>
          <w:rStyle w:val="Emphasis"/>
          <w:rFonts w:ascii="Times New Roman" w:hAnsi="Times New Roman"/>
          <w:bCs/>
          <w:i w:val="false"/>
          <w:iCs w:val="false"/>
          <w:color w:val="000000"/>
        </w:rPr>
        <w:t>). IL-10 expression in the spleen could be indicative for an attempt to balance inflammation during infection. A failure to establish this inflammatory balance can lead to pronounced inflammation and immunopathology (Inagaki-Ohara et al., 2006</w:t>
      </w:r>
      <w:bookmarkStart w:id="34" w:name="__UnoMark__10546_2905672918"/>
      <w:bookmarkEnd w:id="34"/>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iCs/>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IFN-γ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5" w:name="__UnoMark__10541_2905672918"/>
      <w:bookmarkEnd w:id="35"/>
      <w:r>
        <w:rPr>
          <w:rStyle w:val="Emphasis"/>
          <w:rFonts w:ascii="Times New Roman" w:hAnsi="Times New Roman"/>
          <w:bCs/>
          <w:i w:val="false"/>
          <w:iCs w:val="false"/>
          <w:color w:val="000000"/>
        </w:rPr>
        <w:t xml:space="preserve">). </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6" w:name="__UnoMark__10572_2905672918"/>
      <w:r>
        <w:rPr>
          <w:rFonts w:ascii="Times New Roman" w:hAnsi="Times New Roman"/>
          <w:color w:val="000000"/>
        </w:rPr>
        <w:t>Steinfelder et al. (2005)</w:t>
      </w:r>
      <w:bookmarkEnd w:id="36"/>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7" w:name="__UnoMark__10571_2905672918"/>
      <w:bookmarkEnd w:id="37"/>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8" w:name="__UnoMark__10570_2905672918"/>
      <w:bookmarkEnd w:id="38"/>
      <w:r>
        <w:rPr>
          <w:rStyle w:val="Emphasis"/>
          <w:rFonts w:ascii="Times New Roman" w:hAnsi="Times New Roman"/>
          <w:i w:val="false"/>
          <w:iCs w:val="false"/>
          <w:color w:val="000000"/>
        </w:rPr>
        <w:t>(Zhou et al., 2014) and IFNy (Rot</w:t>
      </w:r>
      <w:bookmarkStart w:id="39" w:name="__UnoMark__10569_2905672918"/>
      <w:bookmarkEnd w:id="39"/>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detectable in the spleen based on elevated mRNA levels of cytokines previously associated with in </w:t>
      </w:r>
      <w:r>
        <w:rPr>
          <w:rFonts w:ascii="Times New Roman" w:hAnsi="Times New Roman"/>
          <w:i/>
          <w:iCs/>
          <w:color w:val="000000"/>
        </w:rPr>
        <w:t>Eimeria</w:t>
      </w:r>
      <w:r>
        <w:rPr>
          <w:rFonts w:ascii="Times New Roman" w:hAnsi="Times New Roman"/>
          <w:color w:val="000000"/>
        </w:rPr>
        <w:t xml:space="preserve"> infections. </w:t>
      </w:r>
    </w:p>
    <w:p>
      <w:pPr>
        <w:pStyle w:val="Normal"/>
        <w:tabs>
          <w:tab w:val="clear" w:pos="420"/>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the initial stage of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40" w:name="__UnoMark__10550_2905672918"/>
      <w:bookmarkEnd w:id="40"/>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TGF-β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i/>
          <w:iCs/>
          <w:color w:val="000000"/>
        </w:rPr>
        <w:t>TGF-β</w:t>
      </w:r>
      <w:r>
        <w:rPr>
          <w:rFonts w:ascii="Times New Roman" w:hAnsi="Times New Roman"/>
          <w:color w:val="000000"/>
        </w:rPr>
        <w:t xml:space="preserve"> and </w:t>
      </w:r>
      <w:r>
        <w:rPr>
          <w:rFonts w:ascii="Times New Roman" w:hAnsi="Times New Roman"/>
          <w:i/>
          <w:iCs/>
          <w:color w:val="000000"/>
        </w:rPr>
        <w:t>IL-6</w:t>
      </w:r>
      <w:r>
        <w:rPr>
          <w:rFonts w:ascii="Times New Roman" w:hAnsi="Times New Roman"/>
          <w:color w:val="000000"/>
        </w:rPr>
        <w:t xml:space="preserve"> play crucial roles in the induction of IL17 expression from naïve CD4+ T cells </w:t>
      </w:r>
      <w:bookmarkStart w:id="41" w:name="__tag_402675636"/>
      <w:bookmarkEnd w:id="41"/>
      <w:r>
        <w:rPr>
          <w:rFonts w:ascii="Times New Roman" w:hAnsi="Times New Roman"/>
          <w:color w:val="000000"/>
        </w:rPr>
        <w:t xml:space="preserve">of mouse </w:t>
      </w:r>
      <w:bookmarkStart w:id="42"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2"/>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3" w:name="__UnoMark__10544_2905672918"/>
      <w:r>
        <w:rPr>
          <w:rFonts w:ascii="Times New Roman" w:hAnsi="Times New Roman"/>
          <w:color w:val="000000"/>
        </w:rPr>
        <w:t>(Stange, 2013)</w:t>
      </w:r>
      <w:bookmarkEnd w:id="43"/>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4" w:name="__UnoMark__10540_2905672918"/>
      <w:r>
        <w:rPr>
          <w:rStyle w:val="Emphasis"/>
          <w:rFonts w:ascii="Times New Roman" w:hAnsi="Times New Roman"/>
          <w:bCs/>
          <w:i w:val="false"/>
          <w:iCs w:val="false"/>
          <w:color w:val="000000"/>
        </w:rPr>
        <w:t>(Ebert, 1998)</w:t>
      </w:r>
      <w:bookmarkEnd w:id="44"/>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b/>
          <w:b/>
          <w:bCs/>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b/>
          <w:b/>
          <w:bCs/>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b/>
          <w:b/>
          <w:bCs/>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1"/>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4T13:37:38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Changed this to 14 days after the group discussion</w:t>
      </w:r>
    </w:p>
  </w:comment>
  <w:comment w:id="1" w:author="Unknown Author" w:date="2019-08-14T13:3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don’t get this at all.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dvTT5235d5a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717875"/>
    </w:sdtPr>
    <w:sdtContent>
      <w:p>
        <w:pPr>
          <w:pStyle w:val="Footer"/>
          <w:jc w:val="right"/>
          <w:rPr/>
        </w:pPr>
        <w:r>
          <w:rPr/>
          <w:fldChar w:fldCharType="begin"/>
        </w:r>
        <w:r>
          <w:rPr/>
          <w:instrText> PAGE </w:instrText>
        </w:r>
        <w:r>
          <w:rPr/>
          <w:fldChar w:fldCharType="separate"/>
        </w:r>
        <w:r>
          <w:rPr/>
          <w:t>11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8025641"/>
    </w:sdtPr>
    <w:sdtContent>
      <w:p>
        <w:pPr>
          <w:pStyle w:val="Footer"/>
          <w:jc w:val="right"/>
          <w:rPr/>
        </w:pPr>
        <w:r>
          <w:rPr/>
          <w:fldChar w:fldCharType="begin"/>
        </w:r>
        <w:r>
          <w:rPr/>
          <w:instrText> PAGE </w:instrText>
        </w:r>
        <w:r>
          <w:rPr/>
          <w:fldChar w:fldCharType="separate"/>
        </w:r>
        <w:r>
          <w:rPr/>
          <w:t>14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6823460"/>
    </w:sdtPr>
    <w:sdtContent>
      <w:p>
        <w:pPr>
          <w:pStyle w:val="Footer"/>
          <w:jc w:val="right"/>
          <w:rPr/>
        </w:pPr>
        <w:r>
          <w:rPr/>
          <w:fldChar w:fldCharType="begin"/>
        </w:r>
        <w:r>
          <w:rPr/>
          <w:instrText> PAGE </w:instrText>
        </w:r>
        <w:r>
          <w:rPr/>
          <w:fldChar w:fldCharType="separate"/>
        </w:r>
        <w:r>
          <w:rPr/>
          <w:t>27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widowControl/>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jc w:val="left"/>
    </w:pPr>
    <w:rPr>
      <w:rFonts w:ascii="Liberation Serif" w:hAnsi="Liberation Serif" w:eastAsia="SimSun" w:cs="Lucida Sans"/>
      <w:color w:val="00000A"/>
      <w:kern w:val="0"/>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basedOn w:val="DefaultParagraphFont"/>
    <w:uiPriority w:val="99"/>
    <w:unhideWhenUsed/>
    <w:rsid w:val="00a63da6"/>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KommentartextZchn" w:customStyle="1">
    <w:name w:val="Kommentartext Zchn"/>
    <w:basedOn w:val="DefaultParagraphFont"/>
    <w:link w:val="Kommentar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1e5847"/>
    <w:rPr>
      <w:rFonts w:ascii="Times New Roman" w:hAnsi="Times New Roman" w:cs="Mangal"/>
      <w:sz w:val="18"/>
      <w:szCs w:val="16"/>
    </w:rPr>
  </w:style>
  <w:style w:type="character" w:styleId="KommentarthemaZchn" w:customStyle="1">
    <w:name w:val="Kommentarthema Zchn"/>
    <w:basedOn w:val="KommentartextZchn"/>
    <w:link w:val="Kommentarthema"/>
    <w:uiPriority w:val="99"/>
    <w:semiHidden/>
    <w:qFormat/>
    <w:rsid w:val="001e5847"/>
    <w:rPr>
      <w:rFonts w:cs="Mangal"/>
      <w:b/>
      <w:bCs/>
      <w:sz w:val="20"/>
      <w:szCs w:val="18"/>
    </w:rPr>
  </w:style>
  <w:style w:type="character" w:styleId="KopfzeileZchn" w:customStyle="1">
    <w:name w:val="Kopfzeile Zchn"/>
    <w:basedOn w:val="DefaultParagraphFont"/>
    <w:link w:val="Kopfzeile"/>
    <w:uiPriority w:val="99"/>
    <w:qFormat/>
    <w:rsid w:val="00b43efd"/>
    <w:rPr>
      <w:rFonts w:cs="Mangal"/>
      <w:szCs w:val="21"/>
    </w:rPr>
  </w:style>
  <w:style w:type="character" w:styleId="FuzeileZchn" w:customStyle="1">
    <w:name w:val="Fußzeile Zchn"/>
    <w:basedOn w:val="DefaultParagraphFont"/>
    <w:link w:val="Fuzeile"/>
    <w:uiPriority w:val="99"/>
    <w:qFormat/>
    <w:rsid w:val="00b43efd"/>
    <w:rPr>
      <w:rFonts w:cs="Mangal"/>
      <w:szCs w:val="21"/>
    </w:rPr>
  </w:style>
  <w:style w:type="character" w:styleId="Quotation" w:customStyle="1">
    <w:name w:val="Quotation"/>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qFormat/>
    <w:pPr/>
    <w:rPr/>
  </w:style>
  <w:style w:type="paragraph" w:styleId="TableContents" w:customStyle="1">
    <w:name w:val="Table Contents"/>
    <w:basedOn w:val="Normal"/>
    <w:qFormat/>
    <w:pPr>
      <w:suppressLineNumbers/>
    </w:pPr>
    <w:rPr/>
  </w:style>
  <w:style w:type="paragraph" w:styleId="Bibliography1" w:customStyle="1">
    <w:name w:val="Bibliography 1"/>
    <w:basedOn w:val="Index"/>
    <w:qFormat/>
    <w:pPr>
      <w:spacing w:lineRule="atLeast" w:line="240"/>
      <w:ind w:left="720" w:hanging="720"/>
    </w:pPr>
    <w:rPr/>
  </w:style>
  <w:style w:type="paragraph" w:styleId="Annotationtext">
    <w:name w:val="annotation text"/>
    <w:basedOn w:val="Normal"/>
    <w:link w:val="KommentartextZchn"/>
    <w:uiPriority w:val="99"/>
    <w:unhideWhenUsed/>
    <w:qFormat/>
    <w:pPr/>
    <w:rPr>
      <w:rFonts w:cs="Mangal"/>
      <w:sz w:val="20"/>
      <w:szCs w:val="18"/>
    </w:rPr>
  </w:style>
  <w:style w:type="paragraph" w:styleId="BalloonText">
    <w:name w:val="Balloon Text"/>
    <w:basedOn w:val="Normal"/>
    <w:link w:val="SprechblasentextZchn"/>
    <w:uiPriority w:val="99"/>
    <w:semiHidden/>
    <w:unhideWhenUsed/>
    <w:qFormat/>
    <w:rsid w:val="001e5847"/>
    <w:pPr/>
    <w:rPr>
      <w:rFonts w:ascii="Times New Roman" w:hAnsi="Times New Roman" w:cs="Mangal"/>
      <w:sz w:val="18"/>
      <w:szCs w:val="16"/>
    </w:rPr>
  </w:style>
  <w:style w:type="paragraph" w:styleId="Annotationsubject">
    <w:name w:val="annotation subject"/>
    <w:basedOn w:val="Annotationtext"/>
    <w:link w:val="KommentarthemaZchn"/>
    <w:uiPriority w:val="99"/>
    <w:semiHidden/>
    <w:unhideWhenUsed/>
    <w:qFormat/>
    <w:rsid w:val="001e5847"/>
    <w:pPr/>
    <w:rPr>
      <w:b/>
      <w:bCs/>
    </w:rPr>
  </w:style>
  <w:style w:type="paragraph" w:styleId="NormalWeb">
    <w:name w:val="Normal (Web)"/>
    <w:basedOn w:val="Normal"/>
    <w:uiPriority w:val="99"/>
    <w:semiHidden/>
    <w:unhideWhenUsed/>
    <w:qFormat/>
    <w:rsid w:val="00250340"/>
    <w:pPr>
      <w:spacing w:beforeAutospacing="1" w:afterAutospacing="1"/>
    </w:pPr>
    <w:rPr>
      <w:rFonts w:ascii="Times New Roman" w:hAnsi="Times New Roman" w:eastAsia="Times New Roman" w:cs="Times New Roman"/>
      <w:lang w:val="de-DE" w:eastAsia="en-US" w:bidi="ar-SA"/>
    </w:rPr>
  </w:style>
  <w:style w:type="paragraph" w:styleId="HeaderandFooter">
    <w:name w:val="Header and Footer"/>
    <w:basedOn w:val="Normal"/>
    <w:qFormat/>
    <w:pPr/>
    <w:rPr/>
  </w:style>
  <w:style w:type="paragraph" w:styleId="Header">
    <w:name w:val="Header"/>
    <w:basedOn w:val="Normal"/>
    <w:link w:val="KopfzeileZchn"/>
    <w:uiPriority w:val="99"/>
    <w:unhideWhenUsed/>
    <w:rsid w:val="00b43efd"/>
    <w:pPr>
      <w:tabs>
        <w:tab w:val="clear" w:pos="420"/>
        <w:tab w:val="center" w:pos="4536" w:leader="none"/>
        <w:tab w:val="right" w:pos="9072" w:leader="none"/>
      </w:tabs>
    </w:pPr>
    <w:rPr>
      <w:rFonts w:cs="Mangal"/>
      <w:szCs w:val="21"/>
    </w:rPr>
  </w:style>
  <w:style w:type="paragraph" w:styleId="Footer">
    <w:name w:val="Footer"/>
    <w:basedOn w:val="Normal"/>
    <w:link w:val="FuzeileZchn"/>
    <w:uiPriority w:val="99"/>
    <w:unhideWhenUsed/>
    <w:rsid w:val="00b43efd"/>
    <w:pPr>
      <w:tabs>
        <w:tab w:val="clear" w:pos="420"/>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30BF-CEB2-4149-8839-4E60B083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Application>LibreOffice/6.3.0.2$Linux_X86_64 LibreOffice_project/30$Build-2</Application>
  <Pages>27</Pages>
  <Words>10199</Words>
  <Characters>58343</Characters>
  <CharactersWithSpaces>68009</CharactersWithSpaces>
  <Paragraphs>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2019-08-15T15:35:29Z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