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0"/>
      <w:r>
        <w:rPr/>
        <w:t>14 days</w:t>
      </w:r>
      <w:r>
        <w:rPr/>
      </w:r>
      <w:commentRangeEnd w:id="0"/>
      <w:r>
        <w:commentReference w:id="0"/>
      </w:r>
      <w:r>
        <w:rPr/>
        <w:t xml:space="preserve">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20"/>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1"/>
      <w:r>
        <w:rPr>
          <w:rFonts w:ascii="Times New Roman" w:hAnsi="Times New Roman"/>
          <w:highlight w:val="yellow"/>
        </w:rPr>
        <w:t xml:space="preserve">The number of copies was calculated by taking the antilog for some examples in the text. </w:t>
      </w:r>
      <w:commentRangeEnd w:id="1"/>
      <w:r>
        <w:commentReference w:id="1"/>
      </w:r>
      <w:r>
        <w:rPr>
          <w:rFonts w:ascii="Times New Roman" w:hAnsi="Times New Roman"/>
          <w:highlight w:val="yellow"/>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Denaturation of potential secondary structures was achieved by heating the mixture to 65°C for 5 min using the 2720 Thermal Cycler (Applied Biosystems; Foster City, USA) and cooling on ice afterwards to prevent renaturation. </w:t>
      </w:r>
    </w:p>
    <w:p>
      <w:pPr>
        <w:pStyle w:val="Normal"/>
        <w:spacing w:lineRule="auto" w:line="360"/>
        <w:jc w:val="both"/>
        <w:rPr/>
      </w:pPr>
      <w:r>
        <w:rPr>
          <w:rFonts w:ascii="Times New Roman" w:hAnsi="Times New Roman"/>
        </w:rPr>
        <w:t>Reverse transcription was carried out according to the manufacturer protocol. 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molecular grade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Table 1: Primer-pairs used for RT-qPCR analysis of gene expression.</w:t>
      </w:r>
    </w:p>
    <w:tbl>
      <w:tblPr>
        <w:tblW w:w="10035" w:type="dxa"/>
        <w:jc w:val="left"/>
        <w:tblInd w:w="116" w:type="dxa"/>
        <w:tblCellMar>
          <w:top w:w="55" w:type="dxa"/>
          <w:left w:w="50" w:type="dxa"/>
          <w:bottom w:w="55" w:type="dxa"/>
          <w:right w:w="55" w:type="dxa"/>
        </w:tblCellMar>
        <w:tblLook w:firstRow="1" w:noVBand="1" w:lastRow="0" w:firstColumn="1" w:lastColumn="0" w:noHBand="0" w:val="04a0"/>
      </w:tblPr>
      <w:tblGrid>
        <w:gridCol w:w="1471"/>
        <w:gridCol w:w="4140"/>
        <w:gridCol w:w="1875"/>
        <w:gridCol w:w="2548"/>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and 4 μl of 1 μg/μl template cDNA. qPCR amplifications were performed using Bio-Rad CFX96, Thermalcycler1000 system as follows: initial denaturation for 3 min at 95°C, followed by 40 cycles of 10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20"/>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20"/>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w:t>
      </w:r>
      <w:r>
        <w:rPr>
          <w:rFonts w:ascii="Times New Roman" w:hAnsi="Times New Roman"/>
          <w:color w:val="000000"/>
        </w:rPr>
        <w:t>in the spleen</w:t>
      </w:r>
      <w:r>
        <w:rPr>
          <w:rFonts w:ascii="Times New Roman" w:hAnsi="Times New Roman"/>
          <w:color w:val="000000"/>
        </w:rPr>
        <w:t xml:space="preserve">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w:t>
      </w:r>
      <w:r>
        <w:rPr>
          <w:rFonts w:ascii="Times New Roman" w:hAnsi="Times New Roman"/>
          <w:color w:val="000000"/>
        </w:rPr>
        <w:t>s</w:t>
      </w:r>
      <w:r>
        <w:rPr>
          <w:rFonts w:ascii="Times New Roman" w:hAnsi="Times New Roman"/>
          <w:color w:val="000000"/>
        </w:rPr>
        <w:t xml:space="preserve">,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-10</w:t>
      </w:r>
      <w:r>
        <w:rPr>
          <w:rFonts w:ascii="Times New Roman" w:hAnsi="Times New Roman"/>
          <w:color w:val="000000"/>
        </w:rPr>
        <w:t xml:space="preserve"> and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-12</w:t>
      </w:r>
      <w:r>
        <w:rPr>
          <w:rFonts w:ascii="Times New Roman" w:hAnsi="Times New Roman"/>
          <w:color w:val="000000"/>
        </w:rPr>
        <w:t>), tumour growth factor beta (</w:t>
      </w:r>
      <w:r>
        <w:rPr>
          <w:rFonts w:ascii="Times New Roman" w:hAnsi="Times New Roman"/>
          <w:i/>
          <w:iCs/>
          <w:color w:val="000000"/>
        </w:rPr>
        <w:t>T</w:t>
      </w:r>
      <w:r>
        <w:rPr>
          <w:rFonts w:ascii="Times New Roman" w:hAnsi="Times New Roman"/>
          <w:i/>
          <w:iCs/>
          <w:color w:val="000000"/>
        </w:rPr>
        <w:t>GF-</w:t>
      </w:r>
      <w:r>
        <w:rPr>
          <w:rFonts w:ascii="Times New Roman" w:hAnsi="Times New Roman"/>
          <w:i/>
          <w:iCs/>
          <w:color w:val="000000"/>
        </w:rPr>
        <w:t>β</w:t>
      </w:r>
      <w:r>
        <w:rPr>
          <w:rFonts w:ascii="Times New Roman" w:hAnsi="Times New Roman"/>
          <w:color w:val="000000"/>
        </w:rPr>
        <w:t>), and signal transducer and activator of transcription 6 (</w:t>
      </w:r>
      <w:r>
        <w:rPr>
          <w:rFonts w:ascii="Times New Roman" w:hAnsi="Times New Roman"/>
          <w:i/>
          <w:iCs/>
          <w:color w:val="000000"/>
        </w:rPr>
        <w:t>S</w:t>
      </w:r>
      <w:r>
        <w:rPr>
          <w:rFonts w:ascii="Times New Roman" w:hAnsi="Times New Roman"/>
          <w:i/>
          <w:iCs/>
          <w:color w:val="000000"/>
        </w:rPr>
        <w:t>TAT</w:t>
      </w:r>
      <w:r>
        <w:rPr>
          <w:rFonts w:ascii="Times New Roman" w:hAnsi="Times New Roman"/>
          <w:i/>
          <w:iCs/>
          <w:color w:val="000000"/>
        </w:rPr>
        <w: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w:t>
      </w:r>
      <w:r>
        <w:rPr>
          <w:rFonts w:ascii="Times New Roman" w:hAnsi="Times New Roman"/>
          <w:color w:val="000000"/>
        </w:rPr>
        <w:t>) and interferon gamma (</w:t>
      </w:r>
      <w:r>
        <w:rPr>
          <w:rFonts w:ascii="Times New Roman" w:hAnsi="Times New Roman"/>
          <w:i/>
          <w:iCs/>
          <w:color w:val="000000"/>
        </w:rPr>
        <w:t>I</w:t>
      </w:r>
      <w:r>
        <w:rPr>
          <w:rFonts w:ascii="Times New Roman" w:hAnsi="Times New Roman"/>
          <w:i/>
          <w:iCs/>
          <w:color w:val="000000"/>
        </w:rPr>
        <w:t>FN</w:t>
      </w:r>
      <w:r>
        <w:rPr>
          <w:rFonts w:ascii="Times New Roman" w:hAnsi="Times New Roman"/>
          <w:i/>
          <w:iCs/>
          <w:color w:val="000000"/>
        </w:rPr>
        <w:t>-γ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1"/>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commentRangeStart w:id="2"/>
      <w:r>
        <w:rPr>
          <w:rFonts w:ascii="Times New Roman" w:hAnsi="Times New Roman"/>
          <w:color w:val="000000"/>
        </w:rPr>
        <w:t xml:space="preserve">Expression levels </w:t>
      </w:r>
      <w:r>
        <w:rPr>
          <w:rFonts w:ascii="Times New Roman" w:hAnsi="Times New Roman"/>
          <w:color w:val="000000"/>
        </w:rPr>
        <w:t>in the spleen</w:t>
      </w:r>
      <w:r>
        <w:rPr>
          <w:rFonts w:ascii="Times New Roman" w:hAnsi="Times New Roman"/>
          <w:color w:val="000000"/>
        </w:rPr>
        <w:t xml:space="preserve">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t>
      </w:r>
      <w:r>
        <w:rPr>
          <w:rFonts w:ascii="Times New Roman" w:hAnsi="Times New Roman"/>
          <w:color w:val="000000"/>
        </w:rPr>
      </w:r>
      <w:commentRangeEnd w:id="2"/>
      <w:r>
        <w:commentReference w:id="2"/>
      </w:r>
      <w:r>
        <w:rPr>
          <w:rFonts w:ascii="Times New Roman" w:hAnsi="Times New Roman"/>
          <w:color w:val="000000"/>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w:t>
      </w:r>
      <w:r>
        <w:rPr>
          <w:rFonts w:ascii="Times New Roman" w:hAnsi="Times New Roman"/>
          <w:i/>
          <w:iCs/>
        </w:rPr>
        <w:t>L</w:t>
      </w:r>
      <w:r>
        <w:rPr>
          <w:rFonts w:ascii="Times New Roman" w:hAnsi="Times New Roman"/>
          <w:i/>
          <w:iCs/>
        </w:rPr>
        <w:t>-6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w:t>
      </w:r>
      <w:r>
        <w:rPr>
          <w:rFonts w:ascii="Times New Roman" w:hAnsi="Times New Roman"/>
          <w:i/>
          <w:iCs/>
          <w:color w:val="000000"/>
          <w:highlight w:val="white"/>
        </w:rPr>
        <w:t>FN-</w:t>
      </w:r>
      <w:r>
        <w:rPr>
          <w:rFonts w:ascii="Times New Roman" w:hAnsi="Times New Roman"/>
          <w:i/>
          <w:iCs/>
          <w:color w:val="000000"/>
          <w:highlight w:val="white"/>
        </w:rPr>
        <w:t>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w:t>
      </w:r>
      <w:r>
        <w:rPr>
          <w:rFonts w:ascii="Times New Roman" w:hAnsi="Times New Roman"/>
          <w:i/>
          <w:iCs/>
        </w:rPr>
        <w:t>L</w:t>
      </w:r>
      <w:r>
        <w:rPr>
          <w:rFonts w:ascii="Times New Roman" w:hAnsi="Times New Roman"/>
          <w:i/>
          <w:iCs/>
        </w:rPr>
        <w:t>-10</w:t>
      </w:r>
      <w:r>
        <w:rPr>
          <w:rFonts w:ascii="Times New Roman" w:hAnsi="Times New Roman"/>
        </w:rPr>
        <w:t xml:space="preserve">, </w:t>
      </w:r>
      <w:r>
        <w:rPr>
          <w:rFonts w:ascii="Times New Roman" w:hAnsi="Times New Roman"/>
          <w:i/>
          <w:iCs/>
        </w:rPr>
        <w:t>I</w:t>
      </w:r>
      <w:r>
        <w:rPr>
          <w:rFonts w:ascii="Times New Roman" w:hAnsi="Times New Roman"/>
          <w:i/>
          <w:iCs/>
        </w:rPr>
        <w:t>L</w:t>
      </w:r>
      <w:r>
        <w:rPr>
          <w:rFonts w:ascii="Times New Roman" w:hAnsi="Times New Roman"/>
          <w:i/>
          <w:iCs/>
        </w:rPr>
        <w:t>-12</w:t>
      </w:r>
      <w:r>
        <w:rPr>
          <w:rFonts w:ascii="Times New Roman" w:hAnsi="Times New Roman"/>
        </w:rPr>
        <w:t xml:space="preserve">, </w:t>
      </w:r>
      <w:r>
        <w:rPr>
          <w:rFonts w:ascii="Times New Roman" w:hAnsi="Times New Roman"/>
          <w:i/>
          <w:iCs/>
        </w:rPr>
        <w:t>S</w:t>
      </w:r>
      <w:r>
        <w:rPr>
          <w:rFonts w:ascii="Times New Roman" w:hAnsi="Times New Roman"/>
          <w:i/>
          <w:iCs/>
        </w:rPr>
        <w:t>TAT</w:t>
      </w:r>
      <w:r>
        <w:rPr>
          <w:rFonts w:ascii="Times New Roman" w:hAnsi="Times New Roman"/>
          <w:i/>
          <w:iCs/>
        </w:rPr>
        <w: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w:t>
      </w:r>
      <w:r>
        <w:rPr>
          <w:rFonts w:ascii="Times New Roman" w:hAnsi="Times New Roman"/>
          <w:i/>
          <w:iCs/>
          <w:color w:val="000000"/>
          <w:highlight w:val="white"/>
        </w:rPr>
        <w:t>GF-</w:t>
      </w:r>
      <w:r>
        <w:rPr>
          <w:rFonts w:ascii="Times New Roman" w:hAnsi="Times New Roman"/>
          <w:i/>
          <w:iCs/>
          <w:color w:val="000000"/>
          <w:highlight w:val="white"/>
        </w:rPr>
        <w:t>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E. falciformis</w:t>
      </w:r>
      <w:r>
        <w:rPr>
          <w:rFonts w:ascii="Times New Roman" w:hAnsi="Times New Roman"/>
          <w:color w:val="000000"/>
          <w:highlight w:val="white"/>
        </w:rPr>
        <w:t xml:space="preserve">. </w:t>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TextBodyIndent"/>
        <w:spacing w:lineRule="auto" w:line="360"/>
        <w:jc w:val="both"/>
        <w:rPr/>
      </w:pPr>
      <w:r>
        <w:rPr>
          <w:rFonts w:ascii="Times New Roman" w:hAnsi="Times New Roman"/>
          <w:color w:val="000000"/>
          <w:highlight w:val="white"/>
        </w:rPr>
        <w:t xml:space="preserve">In summary host gene expression of genes relevant for immune responses does not differ significantly from uninfected controls during infection with wild derived isolates of both </w:t>
      </w:r>
      <w:r>
        <w:rPr>
          <w:rFonts w:ascii="Times New Roman" w:hAnsi="Times New Roman"/>
          <w:i/>
          <w:iCs/>
          <w:color w:val="000000"/>
          <w:highlight w:val="white"/>
        </w:rPr>
        <w:t>E. falciformis</w:t>
      </w:r>
      <w:r>
        <w:rPr>
          <w:rFonts w:ascii="Times New Roman" w:hAnsi="Times New Roman"/>
          <w:color w:val="000000"/>
          <w:highlight w:val="white"/>
        </w:rPr>
        <w:t xml:space="preserve"> and </w:t>
      </w:r>
      <w:r>
        <w:rPr>
          <w:rFonts w:ascii="Times New Roman" w:hAnsi="Times New Roman"/>
          <w:i/>
          <w:iCs/>
          <w:color w:val="000000"/>
          <w:highlight w:val="white"/>
        </w:rPr>
        <w:t>E. ferrisi</w:t>
      </w:r>
      <w:r>
        <w:rPr>
          <w:rFonts w:ascii="Times New Roman" w:hAnsi="Times New Roman"/>
          <w:color w:val="000000"/>
          <w:highlight w:val="white"/>
        </w:rPr>
        <w:t xml:space="preserve">. 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3"/>
        <w:gridCol w:w="76"/>
        <w:gridCol w:w="572"/>
        <w:gridCol w:w="1235"/>
        <w:gridCol w:w="572"/>
        <w:gridCol w:w="9"/>
        <w:gridCol w:w="45"/>
        <w:gridCol w:w="10"/>
        <w:gridCol w:w="553"/>
        <w:gridCol w:w="1133"/>
        <w:gridCol w:w="687"/>
        <w:gridCol w:w="10"/>
        <w:gridCol w:w="36"/>
        <w:gridCol w:w="9"/>
        <w:gridCol w:w="563"/>
        <w:gridCol w:w="1187"/>
        <w:gridCol w:w="572"/>
        <w:gridCol w:w="15"/>
        <w:gridCol w:w="42"/>
        <w:gridCol w:w="11"/>
        <w:gridCol w:w="538"/>
        <w:gridCol w:w="1147"/>
        <w:gridCol w:w="564"/>
        <w:gridCol w:w="13"/>
        <w:gridCol w:w="47"/>
        <w:gridCol w:w="14"/>
        <w:gridCol w:w="604"/>
        <w:gridCol w:w="1195"/>
        <w:gridCol w:w="506"/>
        <w:gridCol w:w="17"/>
        <w:gridCol w:w="60"/>
        <w:gridCol w:w="19"/>
        <w:gridCol w:w="578"/>
        <w:gridCol w:w="1133"/>
        <w:gridCol w:w="797"/>
        <w:gridCol w:w="28"/>
        <w:gridCol w:w="28"/>
        <w:gridCol w:w="27"/>
        <w:gridCol w:w="478"/>
        <w:gridCol w:w="1300"/>
        <w:gridCol w:w="651"/>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8"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10</w:t>
            </w:r>
          </w:p>
        </w:tc>
        <w:tc>
          <w:tcPr>
            <w:tcW w:w="4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7"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12</w:t>
            </w:r>
          </w:p>
        </w:tc>
        <w:tc>
          <w:tcPr>
            <w:tcW w:w="5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w:t>
            </w:r>
          </w:p>
        </w:tc>
        <w:tc>
          <w:tcPr>
            <w:tcW w:w="6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w:t>
            </w:r>
            <w:r>
              <w:rPr>
                <w:rFonts w:ascii="Times New Roman" w:hAnsi="Times New Roman"/>
                <w:i/>
                <w:iCs/>
                <w:color w:val="000000"/>
              </w:rPr>
              <w:t>FN-</w:t>
            </w:r>
            <w:r>
              <w:rPr>
                <w:rFonts w:ascii="Times New Roman" w:hAnsi="Times New Roman"/>
                <w:i/>
                <w:iCs/>
                <w:color w:val="000000"/>
              </w:rPr>
              <w:t>γ</w:t>
            </w:r>
          </w:p>
        </w:tc>
        <w:tc>
          <w:tcPr>
            <w:tcW w:w="79"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w:t>
            </w:r>
            <w:r>
              <w:rPr>
                <w:rFonts w:ascii="Times New Roman" w:hAnsi="Times New Roman"/>
                <w:i/>
                <w:iCs/>
                <w:color w:val="000000"/>
              </w:rPr>
              <w:t>TAT</w:t>
            </w:r>
            <w:r>
              <w:rPr>
                <w:rFonts w:ascii="Times New Roman" w:hAnsi="Times New Roman"/>
                <w:i/>
                <w:iCs/>
                <w:color w:val="000000"/>
              </w:rPr>
              <w:t>6</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29" w:type="dxa"/>
            <w:gridSpan w:val="3"/>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w:t>
            </w:r>
            <w:r>
              <w:rPr>
                <w:rFonts w:ascii="Times New Roman" w:hAnsi="Times New Roman"/>
                <w:i/>
                <w:iCs/>
                <w:color w:val="000000"/>
              </w:rPr>
              <w:t>GF-</w:t>
            </w:r>
            <w:r>
              <w:rPr>
                <w:rFonts w:ascii="Times New Roman" w:hAnsi="Times New Roman"/>
                <w:i/>
                <w:iCs/>
                <w:color w:val="000000"/>
              </w:rPr>
              <w:t>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87" w:type="dxa"/>
            <w:tcBorders/>
            <w:shd w:fill="auto" w:val="clear"/>
            <w:tcMar>
              <w:top w:w="0" w:type="dxa"/>
            </w:tcMar>
            <w:vAlign w:val="center"/>
          </w:tcPr>
          <w:p>
            <w:pPr>
              <w:pStyle w:val="TableContents"/>
              <w:jc w:val="center"/>
              <w:rPr>
                <w:i/>
                <w:i/>
              </w:rPr>
            </w:pPr>
            <w:r>
              <w:rPr>
                <w:i/>
              </w:rPr>
              <w:t>p</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i/>
                <w:i/>
              </w:rPr>
            </w:pPr>
            <w:r>
              <w:rPr>
                <w:i/>
              </w:rPr>
              <w:t>B</w:t>
            </w:r>
          </w:p>
        </w:tc>
        <w:tc>
          <w:tcPr>
            <w:tcW w:w="1187"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i/>
                <w:i/>
              </w:rPr>
            </w:pPr>
            <w:r>
              <w:rPr>
                <w:i/>
              </w:rPr>
              <w:t>B</w:t>
            </w:r>
          </w:p>
        </w:tc>
        <w:tc>
          <w:tcPr>
            <w:tcW w:w="1147" w:type="dxa"/>
            <w:tcBorders/>
            <w:shd w:fill="auto" w:val="clear"/>
            <w:tcMar>
              <w:top w:w="0" w:type="dxa"/>
            </w:tcMar>
            <w:vAlign w:val="center"/>
          </w:tcPr>
          <w:p>
            <w:pPr>
              <w:pStyle w:val="TableContents"/>
              <w:jc w:val="center"/>
              <w:rPr>
                <w:i/>
                <w:i/>
              </w:rPr>
            </w:pPr>
            <w:r>
              <w:rPr>
                <w:i/>
              </w:rPr>
              <w:t>CI</w:t>
            </w:r>
          </w:p>
        </w:tc>
        <w:tc>
          <w:tcPr>
            <w:tcW w:w="564" w:type="dxa"/>
            <w:tcBorders/>
            <w:shd w:fill="auto" w:val="clear"/>
            <w:tcMar>
              <w:top w:w="0" w:type="dxa"/>
            </w:tcMar>
            <w:vAlign w:val="center"/>
          </w:tcPr>
          <w:p>
            <w:pPr>
              <w:pStyle w:val="TableContents"/>
              <w:jc w:val="center"/>
              <w:rPr>
                <w:i/>
                <w:i/>
              </w:rPr>
            </w:pPr>
            <w:r>
              <w:rPr>
                <w:i/>
              </w:rPr>
              <w:t>p</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77"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6"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i/>
                <w:i/>
              </w:rPr>
            </w:pPr>
            <w:r>
              <w:rPr>
                <w:i/>
              </w:rPr>
              <w:t>B</w:t>
            </w:r>
          </w:p>
        </w:tc>
        <w:tc>
          <w:tcPr>
            <w:tcW w:w="1300" w:type="dxa"/>
            <w:tcBorders/>
            <w:shd w:fill="auto" w:val="clear"/>
            <w:tcMar>
              <w:top w:w="0" w:type="dxa"/>
            </w:tcMar>
            <w:vAlign w:val="center"/>
          </w:tcPr>
          <w:p>
            <w:pPr>
              <w:pStyle w:val="TableContents"/>
              <w:jc w:val="center"/>
              <w:rPr>
                <w:i/>
                <w:i/>
              </w:rPr>
            </w:pPr>
            <w:r>
              <w:rPr>
                <w:i/>
              </w:rPr>
              <w:t>CI</w:t>
            </w:r>
          </w:p>
        </w:tc>
        <w:tc>
          <w:tcPr>
            <w:tcW w:w="651"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87" w:type="dxa"/>
            <w:tcBorders/>
            <w:shd w:fill="auto" w:val="clear"/>
            <w:tcMar>
              <w:top w:w="0" w:type="dxa"/>
            </w:tcMar>
            <w:vAlign w:val="center"/>
          </w:tcPr>
          <w:p>
            <w:pPr>
              <w:pStyle w:val="TableContents"/>
              <w:jc w:val="center"/>
              <w:rPr/>
            </w:pPr>
            <w:r>
              <w:rPr/>
              <w:t>.012</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0.13</w:t>
            </w:r>
          </w:p>
        </w:tc>
        <w:tc>
          <w:tcPr>
            <w:tcW w:w="1147" w:type="dxa"/>
            <w:tcBorders/>
            <w:shd w:fill="auto" w:val="clear"/>
            <w:tcMar>
              <w:top w:w="0" w:type="dxa"/>
            </w:tcMar>
            <w:vAlign w:val="center"/>
          </w:tcPr>
          <w:p>
            <w:pPr>
              <w:pStyle w:val="TableContents"/>
              <w:jc w:val="center"/>
              <w:rPr/>
            </w:pPr>
            <w:r>
              <w:rPr/>
              <w:t>0.00–0.26</w:t>
            </w:r>
          </w:p>
        </w:tc>
        <w:tc>
          <w:tcPr>
            <w:tcW w:w="564" w:type="dxa"/>
            <w:tcBorders/>
            <w:shd w:fill="auto" w:val="clear"/>
            <w:tcMar>
              <w:top w:w="0" w:type="dxa"/>
            </w:tcMar>
            <w:vAlign w:val="center"/>
          </w:tcPr>
          <w:p>
            <w:pPr>
              <w:pStyle w:val="TableContents"/>
              <w:jc w:val="center"/>
              <w:rPr/>
            </w:pPr>
            <w:r>
              <w:rPr/>
              <w:t>.087</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77"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6"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1.11</w:t>
            </w:r>
          </w:p>
        </w:tc>
        <w:tc>
          <w:tcPr>
            <w:tcW w:w="1300" w:type="dxa"/>
            <w:tcBorders/>
            <w:shd w:fill="auto" w:val="clear"/>
            <w:tcMar>
              <w:top w:w="0" w:type="dxa"/>
            </w:tcMar>
            <w:vAlign w:val="center"/>
          </w:tcPr>
          <w:p>
            <w:pPr>
              <w:pStyle w:val="TableContents"/>
              <w:jc w:val="center"/>
              <w:rPr/>
            </w:pPr>
            <w:r>
              <w:rPr/>
              <w:t>0.61–1.60</w:t>
            </w:r>
          </w:p>
        </w:tc>
        <w:tc>
          <w:tcPr>
            <w:tcW w:w="651"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87" w:type="dxa"/>
            <w:tcBorders/>
            <w:shd w:fill="auto" w:val="clear"/>
            <w:tcMar>
              <w:top w:w="0" w:type="dxa"/>
            </w:tcMar>
            <w:vAlign w:val="center"/>
          </w:tcPr>
          <w:p>
            <w:pPr>
              <w:pStyle w:val="TableContents"/>
              <w:jc w:val="center"/>
              <w:rPr>
                <w:b/>
                <w:b/>
              </w:rPr>
            </w:pPr>
            <w:r>
              <w:rPr>
                <w:b/>
              </w:rPr>
              <w:t>&lt;.001</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0.03</w:t>
            </w:r>
          </w:p>
        </w:tc>
        <w:tc>
          <w:tcPr>
            <w:tcW w:w="1147" w:type="dxa"/>
            <w:tcBorders/>
            <w:shd w:fill="auto" w:val="clear"/>
            <w:tcMar>
              <w:top w:w="0" w:type="dxa"/>
            </w:tcMar>
            <w:vAlign w:val="center"/>
          </w:tcPr>
          <w:p>
            <w:pPr>
              <w:pStyle w:val="TableContents"/>
              <w:jc w:val="center"/>
              <w:rPr/>
            </w:pPr>
            <w:r>
              <w:rPr/>
              <w:t>-0.06–0.13</w:t>
            </w:r>
          </w:p>
        </w:tc>
        <w:tc>
          <w:tcPr>
            <w:tcW w:w="564" w:type="dxa"/>
            <w:tcBorders/>
            <w:shd w:fill="auto" w:val="clear"/>
            <w:tcMar>
              <w:top w:w="0" w:type="dxa"/>
            </w:tcMar>
            <w:vAlign w:val="center"/>
          </w:tcPr>
          <w:p>
            <w:pPr>
              <w:pStyle w:val="TableContents"/>
              <w:jc w:val="center"/>
              <w:rPr/>
            </w:pPr>
            <w:r>
              <w:rPr/>
              <w:t>.499</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77"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6"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0.81</w:t>
            </w:r>
          </w:p>
        </w:tc>
        <w:tc>
          <w:tcPr>
            <w:tcW w:w="1300" w:type="dxa"/>
            <w:tcBorders/>
            <w:shd w:fill="auto" w:val="clear"/>
            <w:tcMar>
              <w:top w:w="0" w:type="dxa"/>
            </w:tcMar>
            <w:vAlign w:val="center"/>
          </w:tcPr>
          <w:p>
            <w:pPr>
              <w:pStyle w:val="TableContents"/>
              <w:jc w:val="center"/>
              <w:rPr/>
            </w:pPr>
            <w:r>
              <w:rPr/>
              <w:t>0.14–1.48</w:t>
            </w:r>
          </w:p>
        </w:tc>
        <w:tc>
          <w:tcPr>
            <w:tcW w:w="651"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87" w:type="dxa"/>
            <w:tcBorders/>
            <w:shd w:fill="auto" w:val="clear"/>
            <w:tcMar>
              <w:top w:w="0" w:type="dxa"/>
            </w:tcMar>
            <w:vAlign w:val="center"/>
          </w:tcPr>
          <w:p>
            <w:pPr>
              <w:pStyle w:val="TableContents"/>
              <w:jc w:val="center"/>
              <w:rPr/>
            </w:pPr>
            <w:r>
              <w:rPr/>
              <w:t>.918</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0.08</w:t>
            </w:r>
          </w:p>
        </w:tc>
        <w:tc>
          <w:tcPr>
            <w:tcW w:w="1147" w:type="dxa"/>
            <w:tcBorders/>
            <w:shd w:fill="auto" w:val="clear"/>
            <w:tcMar>
              <w:top w:w="0" w:type="dxa"/>
            </w:tcMar>
            <w:vAlign w:val="center"/>
          </w:tcPr>
          <w:p>
            <w:pPr>
              <w:pStyle w:val="TableContents"/>
              <w:jc w:val="center"/>
              <w:rPr/>
            </w:pPr>
            <w:r>
              <w:rPr/>
              <w:t>-0.02–0.17</w:t>
            </w:r>
          </w:p>
        </w:tc>
        <w:tc>
          <w:tcPr>
            <w:tcW w:w="564" w:type="dxa"/>
            <w:tcBorders/>
            <w:shd w:fill="auto" w:val="clear"/>
            <w:tcMar>
              <w:top w:w="0" w:type="dxa"/>
            </w:tcMar>
            <w:vAlign w:val="center"/>
          </w:tcPr>
          <w:p>
            <w:pPr>
              <w:pStyle w:val="TableContents"/>
              <w:jc w:val="center"/>
              <w:rPr/>
            </w:pPr>
            <w:r>
              <w:rPr/>
              <w:t>.109</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77"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6"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0.24</w:t>
            </w:r>
          </w:p>
        </w:tc>
        <w:tc>
          <w:tcPr>
            <w:tcW w:w="1300" w:type="dxa"/>
            <w:tcBorders/>
            <w:shd w:fill="auto" w:val="clear"/>
            <w:tcMar>
              <w:top w:w="0" w:type="dxa"/>
            </w:tcMar>
            <w:vAlign w:val="center"/>
          </w:tcPr>
          <w:p>
            <w:pPr>
              <w:pStyle w:val="TableContents"/>
              <w:jc w:val="center"/>
              <w:rPr/>
            </w:pPr>
            <w:r>
              <w:rPr/>
              <w:t>-0.43–0.91</w:t>
            </w:r>
          </w:p>
        </w:tc>
        <w:tc>
          <w:tcPr>
            <w:tcW w:w="651"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87" w:type="dxa"/>
            <w:tcBorders/>
            <w:shd w:fill="auto" w:val="clear"/>
            <w:tcMar>
              <w:top w:w="0" w:type="dxa"/>
            </w:tcMar>
            <w:vAlign w:val="center"/>
          </w:tcPr>
          <w:p>
            <w:pPr>
              <w:pStyle w:val="TableContents"/>
              <w:jc w:val="center"/>
              <w:rPr/>
            </w:pPr>
            <w:r>
              <w:rPr/>
              <w:t>.374</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0.02</w:t>
            </w:r>
          </w:p>
        </w:tc>
        <w:tc>
          <w:tcPr>
            <w:tcW w:w="1147" w:type="dxa"/>
            <w:tcBorders/>
            <w:shd w:fill="auto" w:val="clear"/>
            <w:tcMar>
              <w:top w:w="0" w:type="dxa"/>
            </w:tcMar>
            <w:vAlign w:val="center"/>
          </w:tcPr>
          <w:p>
            <w:pPr>
              <w:pStyle w:val="TableContents"/>
              <w:jc w:val="center"/>
              <w:rPr/>
            </w:pPr>
            <w:r>
              <w:rPr/>
              <w:t>-0.08–0.11</w:t>
            </w:r>
          </w:p>
        </w:tc>
        <w:tc>
          <w:tcPr>
            <w:tcW w:w="564" w:type="dxa"/>
            <w:tcBorders/>
            <w:shd w:fill="auto" w:val="clear"/>
            <w:tcMar>
              <w:top w:w="0" w:type="dxa"/>
            </w:tcMar>
            <w:vAlign w:val="center"/>
          </w:tcPr>
          <w:p>
            <w:pPr>
              <w:pStyle w:val="TableContents"/>
              <w:jc w:val="center"/>
              <w:rPr/>
            </w:pPr>
            <w:r>
              <w:rPr/>
              <w:t>.721</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77"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6"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0.61</w:t>
            </w:r>
          </w:p>
        </w:tc>
        <w:tc>
          <w:tcPr>
            <w:tcW w:w="1300" w:type="dxa"/>
            <w:tcBorders/>
            <w:shd w:fill="auto" w:val="clear"/>
            <w:tcMar>
              <w:top w:w="0" w:type="dxa"/>
            </w:tcMar>
            <w:vAlign w:val="center"/>
          </w:tcPr>
          <w:p>
            <w:pPr>
              <w:pStyle w:val="TableContents"/>
              <w:jc w:val="center"/>
              <w:rPr/>
            </w:pPr>
            <w:r>
              <w:rPr/>
              <w:t>-0.04–1.27</w:t>
            </w:r>
          </w:p>
        </w:tc>
        <w:tc>
          <w:tcPr>
            <w:tcW w:w="651"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9"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29"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9"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29"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9"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29"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0.270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9"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29"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5" w:type="dxa"/>
            <w:gridSpan w:val="2"/>
            <w:tcBorders>
              <w:top w:val="single" w:sz="2" w:space="0" w:color="000001"/>
            </w:tcBorders>
            <w:shd w:fill="auto" w:val="clear"/>
            <w:tcMar>
              <w:top w:w="28" w:type="dxa"/>
            </w:tcMar>
            <w:vAlign w:val="center"/>
          </w:tcPr>
          <w:p>
            <w:pPr>
              <w:pStyle w:val="TableContents"/>
              <w:rPr/>
            </w:pPr>
            <w:r>
              <w:rPr/>
            </w:r>
          </w:p>
        </w:tc>
        <w:tc>
          <w:tcPr>
            <w:tcW w:w="2337"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1"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9"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29"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.421 / .417</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9"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29"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8"/>
        <w:gridCol w:w="560"/>
        <w:gridCol w:w="1247"/>
        <w:gridCol w:w="572"/>
        <w:gridCol w:w="54"/>
        <w:gridCol w:w="563"/>
        <w:gridCol w:w="1131"/>
        <w:gridCol w:w="682"/>
        <w:gridCol w:w="54"/>
        <w:gridCol w:w="561"/>
        <w:gridCol w:w="1188"/>
        <w:gridCol w:w="627"/>
        <w:gridCol w:w="54"/>
        <w:gridCol w:w="506"/>
        <w:gridCol w:w="1133"/>
        <w:gridCol w:w="627"/>
        <w:gridCol w:w="55"/>
        <w:gridCol w:w="561"/>
        <w:gridCol w:w="1191"/>
        <w:gridCol w:w="506"/>
        <w:gridCol w:w="79"/>
        <w:gridCol w:w="597"/>
        <w:gridCol w:w="1135"/>
        <w:gridCol w:w="795"/>
        <w:gridCol w:w="56"/>
        <w:gridCol w:w="506"/>
        <w:gridCol w:w="1301"/>
        <w:gridCol w:w="662"/>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1.26</w:t>
            </w:r>
          </w:p>
        </w:tc>
        <w:tc>
          <w:tcPr>
            <w:tcW w:w="1247"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4"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2" w:type="dxa"/>
            <w:tcBorders/>
            <w:shd w:fill="auto" w:val="clear"/>
            <w:tcMar>
              <w:top w:w="0" w:type="dxa"/>
            </w:tcMar>
            <w:vAlign w:val="center"/>
          </w:tcPr>
          <w:p>
            <w:pPr>
              <w:pStyle w:val="TableContents"/>
              <w:jc w:val="center"/>
              <w:rPr/>
            </w:pPr>
            <w:r>
              <w:rPr/>
              <w:t>&lt;.001</w:t>
            </w:r>
          </w:p>
        </w:tc>
        <w:tc>
          <w:tcPr>
            <w:tcW w:w="54"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88"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4"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0.12</w:t>
            </w:r>
          </w:p>
        </w:tc>
        <w:tc>
          <w:tcPr>
            <w:tcW w:w="1191"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9" w:type="dxa"/>
            <w:tcBorders>
              <w:top w:val="double" w:sz="2" w:space="0" w:color="000001"/>
            </w:tcBorders>
            <w:shd w:fill="auto" w:val="clear"/>
            <w:tcMar>
              <w:top w:w="28"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1" w:type="dxa"/>
            <w:tcBorders/>
            <w:shd w:fill="auto" w:val="clear"/>
            <w:tcMar>
              <w:top w:w="0" w:type="dxa"/>
            </w:tcMar>
            <w:vAlign w:val="center"/>
          </w:tcPr>
          <w:p>
            <w:pPr>
              <w:pStyle w:val="TableContents"/>
              <w:jc w:val="center"/>
              <w:rPr/>
            </w:pPr>
            <w:r>
              <w:rPr/>
              <w:t>1.43–2.42</w:t>
            </w:r>
          </w:p>
        </w:tc>
        <w:tc>
          <w:tcPr>
            <w:tcW w:w="662"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-0.63</w:t>
            </w:r>
          </w:p>
        </w:tc>
        <w:tc>
          <w:tcPr>
            <w:tcW w:w="1247"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2"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1" w:type="dxa"/>
            <w:tcBorders/>
            <w:shd w:fill="auto" w:val="clear"/>
            <w:tcMar>
              <w:top w:w="0" w:type="dxa"/>
            </w:tcMar>
            <w:vAlign w:val="center"/>
          </w:tcPr>
          <w:p>
            <w:pPr>
              <w:pStyle w:val="TableContents"/>
              <w:jc w:val="center"/>
              <w:rPr/>
            </w:pPr>
            <w:r>
              <w:rPr/>
              <w:t>-1.24–0.10</w:t>
            </w:r>
          </w:p>
        </w:tc>
        <w:tc>
          <w:tcPr>
            <w:tcW w:w="662"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-0.78</w:t>
            </w:r>
          </w:p>
        </w:tc>
        <w:tc>
          <w:tcPr>
            <w:tcW w:w="1247"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2" w:type="dxa"/>
            <w:tcBorders/>
            <w:shd w:fill="auto" w:val="clear"/>
            <w:tcMar>
              <w:top w:w="0" w:type="dxa"/>
            </w:tcMar>
            <w:vAlign w:val="center"/>
          </w:tcPr>
          <w:p>
            <w:pPr>
              <w:pStyle w:val="TableContents"/>
              <w:jc w:val="center"/>
              <w:rPr>
                <w:b/>
                <w:b/>
              </w:rPr>
            </w:pPr>
            <w:r>
              <w:rPr>
                <w:b/>
              </w:rPr>
              <w:t>.002</w:t>
            </w:r>
          </w:p>
        </w:tc>
        <w:tc>
          <w:tcPr>
            <w:tcW w:w="54"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91"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1" w:type="dxa"/>
            <w:tcBorders/>
            <w:shd w:fill="auto" w:val="clear"/>
            <w:tcMar>
              <w:top w:w="0" w:type="dxa"/>
            </w:tcMar>
            <w:vAlign w:val="center"/>
          </w:tcPr>
          <w:p>
            <w:pPr>
              <w:pStyle w:val="TableContents"/>
              <w:jc w:val="center"/>
              <w:rPr/>
            </w:pPr>
            <w:r>
              <w:rPr/>
              <w:t>-0.86–0.46</w:t>
            </w:r>
          </w:p>
        </w:tc>
        <w:tc>
          <w:tcPr>
            <w:tcW w:w="662"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-0.87</w:t>
            </w:r>
          </w:p>
        </w:tc>
        <w:tc>
          <w:tcPr>
            <w:tcW w:w="1247"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2"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-1.48–-0.14</w:t>
            </w:r>
          </w:p>
        </w:tc>
        <w:tc>
          <w:tcPr>
            <w:tcW w:w="662"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20"/>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20"/>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20"/>
          <w:tab w:val="left" w:pos="1080" w:leader="none"/>
        </w:tabs>
        <w:spacing w:lineRule="auto" w:line="360"/>
        <w:jc w:val="both"/>
        <w:rPr/>
      </w:pPr>
      <w:r>
        <w:rPr/>
      </w:r>
    </w:p>
    <w:p>
      <w:pPr>
        <w:pStyle w:val="TextBody"/>
        <w:tabs>
          <w:tab w:val="clear" w:pos="720"/>
          <w:tab w:val="left" w:pos="1080" w:leader="none"/>
        </w:tabs>
        <w:spacing w:lineRule="auto" w:line="360"/>
        <w:jc w:val="both"/>
        <w:rPr/>
      </w:pPr>
      <w:bookmarkStart w:id="17" w:name="23017853"/>
      <w:bookmarkEnd w:id="17"/>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CellMar>
          <w:top w:w="55" w:type="dxa"/>
          <w:left w:w="40" w:type="dxa"/>
          <w:bottom w:w="55" w:type="dxa"/>
          <w:right w:w="55" w:type="dxa"/>
        </w:tblCellMar>
        <w:tblLook w:firstRow="1" w:noVBand="1" w:lastRow="0" w:firstColumn="1" w:lastColumn="0" w:noHBand="0" w:val="04a0"/>
      </w:tblPr>
      <w:tblGrid>
        <w:gridCol w:w="3508"/>
        <w:gridCol w:w="1369"/>
        <w:gridCol w:w="1235"/>
        <w:gridCol w:w="1256"/>
        <w:gridCol w:w="1356"/>
        <w:gridCol w:w="1247"/>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5"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5"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5"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5"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7"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20"/>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8" w:name="__UnoMark__10568_2905672918"/>
      <w:r>
        <w:rPr>
          <w:rStyle w:val="Emphasis"/>
          <w:rFonts w:ascii="Times New Roman" w:hAnsi="Times New Roman"/>
          <w:i w:val="false"/>
          <w:iCs w:val="false"/>
          <w:color w:val="222222"/>
        </w:rPr>
        <w:t>(Haberkorn, 1970)</w:t>
      </w:r>
      <w:bookmarkEnd w:id="18"/>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19" w:name="__UnoMark__10567_2905672918"/>
      <w:r>
        <w:rPr>
          <w:rStyle w:val="Emphasis"/>
          <w:rFonts w:ascii="Times New Roman" w:hAnsi="Times New Roman"/>
          <w:i w:val="false"/>
          <w:iCs w:val="false"/>
        </w:rPr>
        <w:t>(Stange et al., 2012; Schmid et al., 2012, 2014; Ehret et al., 2017)</w:t>
      </w:r>
      <w:bookmarkEnd w:id="19"/>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0" w:name="__UnoMark__10566_2905672918"/>
      <w:r>
        <w:rPr>
          <w:rStyle w:val="Emphasis"/>
          <w:rFonts w:ascii="Times New Roman" w:hAnsi="Times New Roman"/>
          <w:bCs/>
          <w:i w:val="false"/>
          <w:iCs w:val="false"/>
          <w:color w:val="000000"/>
        </w:rPr>
        <w:t>(Mesfin et al., 1978; Kasai et al., 1991)</w:t>
      </w:r>
      <w:bookmarkEnd w:id="20"/>
      <w:r>
        <w:rPr>
          <w:rStyle w:val="Emphasis"/>
          <w:rFonts w:ascii="Times New Roman" w:hAnsi="Times New Roman"/>
          <w:bCs/>
          <w:i w:val="false"/>
          <w:iCs w:val="false"/>
          <w:color w:val="000000"/>
        </w:rPr>
        <w:t xml:space="preserve">, but </w:t>
      </w:r>
      <w:bookmarkStart w:id="21" w:name="__UnoMark__10565_2905672918"/>
      <w:r>
        <w:rPr>
          <w:rStyle w:val="Emphasis"/>
          <w:rFonts w:ascii="Times New Roman" w:hAnsi="Times New Roman"/>
          <w:bCs/>
          <w:i w:val="false"/>
          <w:iCs w:val="false"/>
          <w:color w:val="000000"/>
        </w:rPr>
        <w:t>Mahrt and Shi (1988) and Schito et al. (1996)</w:t>
      </w:r>
      <w:bookmarkEnd w:id="21"/>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2" w:name="__UnoMark__10564_2905672918"/>
      <w:bookmarkEnd w:id="22"/>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3" w:name="__UnoMark__10563_2905672918"/>
      <w:r>
        <w:rPr>
          <w:rStyle w:val="Emphasis"/>
          <w:rFonts w:ascii="Times New Roman" w:hAnsi="Times New Roman"/>
          <w:bCs/>
          <w:i w:val="false"/>
          <w:iCs w:val="false"/>
          <w:color w:val="000000"/>
        </w:rPr>
        <w:t>(Ankrom et al., 1975)</w:t>
      </w:r>
      <w:bookmarkEnd w:id="23"/>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4" w:name="__UnoMark__10562_2905672918"/>
      <w:r>
        <w:rPr>
          <w:rStyle w:val="Emphasis"/>
          <w:rFonts w:ascii="Times New Roman" w:hAnsi="Times New Roman"/>
          <w:i w:val="false"/>
          <w:iCs w:val="false"/>
        </w:rPr>
        <w:t>(Schmid et al., 2012; Stange et al., 2012; Ehret et al., 2017)</w:t>
      </w:r>
      <w:bookmarkEnd w:id="24"/>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5" w:name="__UnoMark__10539_2905672918"/>
      <w:r>
        <w:rPr>
          <w:rStyle w:val="Emphasis"/>
          <w:rFonts w:ascii="Times New Roman" w:hAnsi="Times New Roman"/>
          <w:bCs/>
          <w:i w:val="false"/>
          <w:iCs w:val="false"/>
          <w:color w:val="000000"/>
        </w:rPr>
        <w:t>(McDonald and Ballingall, 1983; Shirley and Bellatti, 1988</w:t>
      </w:r>
      <w:bookmarkEnd w:id="25"/>
      <w:r>
        <w:rPr>
          <w:rStyle w:val="Emphasis"/>
          <w:rFonts w:ascii="Times New Roman" w:hAnsi="Times New Roman"/>
          <w:bCs/>
          <w:i w:val="false"/>
          <w:iCs w:val="false"/>
          <w:color w:val="000000"/>
        </w:rPr>
        <w:t>;  Shirley and Long, 19</w:t>
      </w:r>
      <w:bookmarkStart w:id="26" w:name="__UnoMark__10561_2905672918"/>
      <w:bookmarkEnd w:id="26"/>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7" w:name="__UnoMark__10558_2905672918"/>
      <w:bookmarkEnd w:id="27"/>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8" w:name="__UnoMark__10559_2905672918"/>
      <w:bookmarkEnd w:id="28"/>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29" w:name="__UnoMark__10557_2905672918"/>
      <w:r>
        <w:rPr>
          <w:rFonts w:ascii="Times New Roman" w:hAnsi="Times New Roman"/>
          <w:color w:val="000000"/>
        </w:rPr>
        <w:t>(Mesfin et al., 1978; Rose et al., 1992; Laurent et al., 2001; Gadde et al., 2009; Muñoz-Caro et al., 2016)</w:t>
      </w:r>
      <w:bookmarkEnd w:id="29"/>
      <w:r>
        <w:rPr>
          <w:rFonts w:ascii="Times New Roman" w:hAnsi="Times New Roman"/>
          <w:color w:val="000000"/>
        </w:rPr>
        <w:t xml:space="preserve">.  </w:t>
      </w:r>
      <w:bookmarkStart w:id="30" w:name="__UnoMark__10555_2905672918"/>
      <w:r>
        <w:rPr>
          <w:rStyle w:val="Emphasis"/>
          <w:rFonts w:ascii="Times New Roman" w:hAnsi="Times New Roman"/>
          <w:i w:val="false"/>
          <w:iCs w:val="false"/>
          <w:color w:val="000000"/>
        </w:rPr>
        <w:t>Schmid et al. (2014</w:t>
      </w:r>
      <w:bookmarkEnd w:id="30"/>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IFN-γ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and the production of the major chemokines C</w:t>
      </w:r>
      <w:r>
        <w:rPr>
          <w:rStyle w:val="Emphasis"/>
          <w:rFonts w:ascii="Times New Roman" w:hAnsi="Times New Roman"/>
          <w:i w:val="false"/>
          <w:iCs w:val="false"/>
          <w:color w:val="000000"/>
        </w:rPr>
        <w:t>X</w:t>
      </w:r>
      <w:r>
        <w:rPr>
          <w:rStyle w:val="Emphasis"/>
          <w:rFonts w:ascii="Times New Roman" w:hAnsi="Times New Roman"/>
          <w:i w:val="false"/>
          <w:iCs w:val="false"/>
          <w:color w:val="000000"/>
        </w:rPr>
        <w:t xml:space="preserve">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1" w:name="__UnoMark__10548_2905672918"/>
      <w:bookmarkEnd w:id="31"/>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2" w:name="__UnoMark__10547_2905672918"/>
      <w:bookmarkEnd w:id="32"/>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3" w:name="__UnoMark__10546_2905672918"/>
      <w:bookmarkEnd w:id="33"/>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IFN-γ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4" w:name="__UnoMark__10541_2905672918"/>
      <w:bookmarkEnd w:id="34"/>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5" w:name="__UnoMark__10572_2905672918"/>
      <w:r>
        <w:rPr>
          <w:rFonts w:ascii="Times New Roman" w:hAnsi="Times New Roman"/>
          <w:color w:val="000000"/>
        </w:rPr>
        <w:t>Steinfelder et al. (2005)</w:t>
      </w:r>
      <w:bookmarkEnd w:id="35"/>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6" w:name="__UnoMark__10571_2905672918"/>
      <w:bookmarkEnd w:id="36"/>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7" w:name="__UnoMark__10570_2905672918"/>
      <w:bookmarkEnd w:id="37"/>
      <w:r>
        <w:rPr>
          <w:rStyle w:val="Emphasis"/>
          <w:rFonts w:ascii="Times New Roman" w:hAnsi="Times New Roman"/>
          <w:i w:val="false"/>
          <w:iCs w:val="false"/>
          <w:color w:val="000000"/>
        </w:rPr>
        <w:t>(Zhou et al., 2014) and IFNy (Rot</w:t>
      </w:r>
      <w:bookmarkStart w:id="38" w:name="__UnoMark__10569_2905672918"/>
      <w:bookmarkEnd w:id="38"/>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clear" w:pos="720"/>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39" w:name="__UnoMark__10550_2905672918"/>
      <w:bookmarkEnd w:id="39"/>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0" w:name="__tag_402675636"/>
      <w:bookmarkEnd w:id="40"/>
      <w:r>
        <w:rPr>
          <w:rFonts w:ascii="Times New Roman" w:hAnsi="Times New Roman"/>
          <w:color w:val="000000"/>
        </w:rPr>
        <w:t xml:space="preserve">of mouse </w:t>
      </w:r>
      <w:bookmarkStart w:id="41"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1"/>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2" w:name="__UnoMark__10544_2905672918"/>
      <w:r>
        <w:rPr>
          <w:rFonts w:ascii="Times New Roman" w:hAnsi="Times New Roman"/>
          <w:color w:val="000000"/>
        </w:rPr>
        <w:t>(Stange, 2013)</w:t>
      </w:r>
      <w:bookmarkEnd w:id="42"/>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3" w:name="__UnoMark__10540_2905672918"/>
      <w:r>
        <w:rPr>
          <w:rStyle w:val="Emphasis"/>
          <w:rFonts w:ascii="Times New Roman" w:hAnsi="Times New Roman"/>
          <w:bCs/>
          <w:i w:val="false"/>
          <w:iCs w:val="false"/>
          <w:color w:val="000000"/>
        </w:rPr>
        <w:t>(Ebert, 1998)</w:t>
      </w:r>
      <w:bookmarkEnd w:id="43"/>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1"/>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4T13:37:38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14 days after the group discussion</w:t>
      </w:r>
    </w:p>
  </w:comment>
  <w:comment w:id="1"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 don’t get this at all.</w:t>
      </w:r>
    </w:p>
  </w:comment>
  <w:comment w:id="2" w:author="Unknown Author" w:date="2019-08-14T19:42: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Rewrite for caecum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3038526"/>
    </w:sdtPr>
    <w:sdtContent>
      <w:p>
        <w:pPr>
          <w:pStyle w:val="Footer"/>
          <w:jc w:val="right"/>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3312652"/>
    </w:sdtPr>
    <w:sdtContent>
      <w:p>
        <w:pPr>
          <w:pStyle w:val="Footer"/>
          <w:jc w:val="right"/>
          <w:rPr/>
        </w:pPr>
        <w:r>
          <w:rPr/>
          <w:fldChar w:fldCharType="begin"/>
        </w:r>
        <w:r>
          <w:rPr/>
          <w:instrText> PAGE </w:instrText>
        </w:r>
        <w:r>
          <w:rPr/>
          <w:fldChar w:fldCharType="separate"/>
        </w:r>
        <w:r>
          <w:rPr/>
          <w:t>14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3060008"/>
    </w:sdtPr>
    <w:sdtContent>
      <w:p>
        <w:pPr>
          <w:pStyle w:val="Footer"/>
          <w:jc w:val="right"/>
          <w:rPr/>
        </w:pPr>
        <w:r>
          <w:rPr/>
          <w:fldChar w:fldCharType="begin"/>
        </w:r>
        <w:r>
          <w:rPr/>
          <w:instrText> PAGE </w:instrText>
        </w:r>
        <w:r>
          <w:rPr/>
          <w:fldChar w:fldCharType="separate"/>
        </w:r>
        <w:r>
          <w:rPr/>
          <w:t>27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kern w:val="2"/>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kern w:val="2"/>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ascii="Times New Roman" w:hAnsi="Times New Roman"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kern w:val="0"/>
      <w:lang w:val="de-DE" w:eastAsia="en-US" w:bidi="ar-SA"/>
    </w:rPr>
  </w:style>
  <w:style w:type="paragraph" w:styleId="Header">
    <w:name w:val="Header"/>
    <w:basedOn w:val="Normal"/>
    <w:link w:val="KopfzeileZchn"/>
    <w:uiPriority w:val="99"/>
    <w:unhideWhenUsed/>
    <w:rsid w:val="00b43efd"/>
    <w:pPr>
      <w:tabs>
        <w:tab w:val="clear" w:pos="720"/>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lear" w:pos="720"/>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Application>LibreOffice/6.2.3.2$Windows_X86_64 LibreOffice_project/aecc05fe267cc68dde00352a451aa867b3b546ac</Application>
  <Pages>27</Pages>
  <Words>10144</Words>
  <Characters>58018</Characters>
  <CharactersWithSpaces>67627</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2019-08-14T19:54:14Z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