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360" w:before="240" w:after="120"/>
        <w:jc w:val="center"/>
        <w:rPr/>
      </w:pPr>
      <w:r>
        <w:rPr>
          <w:rFonts w:ascii="Times New Roman" w:hAnsi="Times New Roman"/>
          <w:bCs w:val="false"/>
          <w:i/>
          <w:iCs/>
          <w:sz w:val="30"/>
          <w:szCs w:val="30"/>
        </w:rPr>
        <w:t>Eimeria falciformis</w:t>
      </w:r>
      <w:r>
        <w:rPr>
          <w:rFonts w:ascii="Times New Roman" w:hAnsi="Times New Roman"/>
          <w:bCs w:val="false"/>
          <w:sz w:val="30"/>
          <w:szCs w:val="30"/>
        </w:rPr>
        <w:t xml:space="preserve"> BayerHaberkorn1970 and novel wild derived isolates from house mice: differences in parasite lifecycle, pathogenicity and host immune reactions</w:t>
      </w:r>
    </w:p>
    <w:p>
      <w:pPr>
        <w:pStyle w:val="TextBody"/>
        <w:rPr/>
      </w:pPr>
      <w:r>
        <w:rPr/>
      </w:r>
    </w:p>
    <w:p>
      <w:pPr>
        <w:pStyle w:val="TextBody"/>
        <w:spacing w:lineRule="auto" w:line="360"/>
        <w:jc w:val="center"/>
        <w:rPr/>
      </w:pPr>
      <w:r>
        <w:rPr>
          <w:rFonts w:ascii="Times New Roman" w:hAnsi="Times New Roman"/>
          <w:bCs/>
          <w:lang w:val="de-DE"/>
        </w:rPr>
        <w:t>Al-khlifeh, E.</w:t>
      </w:r>
      <w:r>
        <w:rPr>
          <w:rFonts w:ascii="Times New Roman" w:hAnsi="Times New Roman"/>
          <w:bCs/>
          <w:vertAlign w:val="superscript"/>
          <w:lang w:val="de-DE"/>
        </w:rPr>
        <w:t>1,2</w:t>
      </w:r>
      <w:r>
        <w:rPr>
          <w:rFonts w:ascii="Times New Roman" w:hAnsi="Times New Roman"/>
          <w:bCs/>
          <w:lang w:val="de-DE"/>
        </w:rPr>
        <w:t>; Balard, A.</w:t>
      </w:r>
      <w:r>
        <w:rPr>
          <w:rFonts w:ascii="Times New Roman" w:hAnsi="Times New Roman"/>
          <w:bCs/>
          <w:vertAlign w:val="superscript"/>
          <w:lang w:val="de-DE"/>
        </w:rPr>
        <w:t>1,2</w:t>
      </w:r>
      <w:r>
        <w:rPr>
          <w:rFonts w:ascii="Times New Roman" w:hAnsi="Times New Roman"/>
          <w:bCs/>
          <w:lang w:val="de-DE"/>
        </w:rPr>
        <w:t>; Jarquín-Díaz V.H.</w:t>
      </w:r>
      <w:r>
        <w:rPr>
          <w:rFonts w:ascii="Times New Roman" w:hAnsi="Times New Roman"/>
          <w:bCs/>
          <w:vertAlign w:val="superscript"/>
          <w:lang w:val="de-DE"/>
        </w:rPr>
        <w:t>1,2</w:t>
      </w:r>
      <w:r>
        <w:rPr>
          <w:rFonts w:ascii="Times New Roman" w:hAnsi="Times New Roman"/>
          <w:bCs/>
          <w:lang w:val="de-DE"/>
        </w:rPr>
        <w:t>;</w:t>
      </w:r>
      <w:r>
        <w:rPr>
          <w:rStyle w:val="StrongEmphasis"/>
          <w:rFonts w:ascii="Times New Roman" w:hAnsi="Times New Roman"/>
          <w:b w:val="false"/>
          <w:lang w:val="de-DE"/>
        </w:rPr>
        <w:t xml:space="preserve"> </w:t>
      </w:r>
      <w:r>
        <w:rPr>
          <w:rFonts w:ascii="Times New Roman" w:hAnsi="Times New Roman"/>
          <w:bCs/>
          <w:lang w:val="de-DE"/>
        </w:rPr>
        <w:t>Weyrich, A.</w:t>
      </w:r>
      <w:r>
        <w:rPr>
          <w:rFonts w:ascii="Times New Roman" w:hAnsi="Times New Roman"/>
          <w:bCs/>
          <w:vertAlign w:val="superscript"/>
          <w:lang w:val="de-DE"/>
        </w:rPr>
        <w:t>3</w:t>
      </w:r>
      <w:r>
        <w:rPr>
          <w:rFonts w:ascii="Times New Roman" w:hAnsi="Times New Roman"/>
          <w:bCs/>
          <w:lang w:val="de-DE"/>
        </w:rPr>
        <w:t>; Wibbelt, G.</w:t>
      </w:r>
      <w:r>
        <w:rPr>
          <w:rFonts w:ascii="Times New Roman" w:hAnsi="Times New Roman"/>
          <w:bCs/>
          <w:vertAlign w:val="superscript"/>
          <w:lang w:val="de-DE"/>
        </w:rPr>
        <w:t>4</w:t>
      </w:r>
      <w:r>
        <w:rPr>
          <w:rFonts w:ascii="Times New Roman" w:hAnsi="Times New Roman"/>
          <w:bCs/>
          <w:lang w:val="de-DE"/>
        </w:rPr>
        <w:t xml:space="preserve">; Heitlinger, </w:t>
      </w:r>
      <w:r>
        <w:rPr>
          <w:rFonts w:cs="Times New Roman" w:ascii="Times New Roman" w:hAnsi="Times New Roman"/>
          <w:bCs/>
          <w:lang w:val="de-DE"/>
        </w:rPr>
        <w:t>E</w:t>
      </w:r>
      <w:r>
        <w:rPr>
          <w:rFonts w:cs="Times New Roman" w:ascii="Times New Roman" w:hAnsi="Times New Roman"/>
          <w:bCs/>
          <w:vertAlign w:val="superscript"/>
          <w:lang w:val="de-DE"/>
        </w:rPr>
        <w:t>1,2</w:t>
      </w:r>
      <w:r>
        <w:rPr>
          <w:rFonts w:cs="Times New Roman" w:ascii="Times New Roman" w:hAnsi="Times New Roman"/>
          <w:bCs/>
          <w:lang w:val="de-DE"/>
        </w:rPr>
        <w:t>.</w:t>
      </w:r>
    </w:p>
    <w:p>
      <w:pPr>
        <w:pStyle w:val="Normal"/>
        <w:spacing w:lineRule="auto" w:line="360"/>
        <w:jc w:val="center"/>
        <w:rPr>
          <w:rFonts w:ascii="Times New Roman" w:hAnsi="Times New Roman" w:cs="Times New Roman"/>
        </w:rPr>
      </w:pPr>
      <w:r>
        <w:rPr>
          <w:rFonts w:cs="Times New Roman" w:ascii="Times New Roman" w:hAnsi="Times New Roman"/>
          <w:vertAlign w:val="superscript"/>
        </w:rPr>
        <w:t>1</w:t>
      </w:r>
      <w:r>
        <w:rPr>
          <w:rFonts w:cs="Times New Roman" w:ascii="Times New Roman" w:hAnsi="Times New Roman"/>
        </w:rPr>
        <w:t xml:space="preserve"> Research Group Ecology and Evolution of molecular Parasite-Host Interactions, Leibniz Institute for Zoo and Wildlife Research, Alfred-Kowalke-Straße 17, </w:t>
      </w:r>
      <w:r>
        <w:rPr>
          <w:rFonts w:cs="Times New Roman" w:ascii="Times New Roman" w:hAnsi="Times New Roman"/>
          <w:bCs/>
        </w:rPr>
        <w:t>10315 Berlin, Germany.</w:t>
      </w:r>
    </w:p>
    <w:p>
      <w:pPr>
        <w:pStyle w:val="TextBody"/>
        <w:spacing w:lineRule="auto" w:line="360" w:before="0" w:after="0"/>
        <w:jc w:val="center"/>
        <w:rPr>
          <w:rFonts w:ascii="Times New Roman" w:hAnsi="Times New Roman" w:cs="Times New Roman"/>
        </w:rPr>
      </w:pPr>
      <w:r>
        <w:rPr>
          <w:rFonts w:cs="Times New Roman" w:ascii="Times New Roman" w:hAnsi="Times New Roman"/>
          <w:vertAlign w:val="superscript"/>
        </w:rPr>
        <w:t>2</w:t>
      </w:r>
      <w:r>
        <w:rPr>
          <w:rFonts w:cs="Times New Roman" w:ascii="Times New Roman" w:hAnsi="Times New Roman"/>
        </w:rPr>
        <w:t xml:space="preserve"> Humboldt University, Institute for Biology, Dept. Molecular Parasitology, Philippstraße 13, 10115 Berlin, Germany.</w:t>
      </w:r>
    </w:p>
    <w:p>
      <w:pPr>
        <w:pStyle w:val="Normal"/>
        <w:spacing w:lineRule="auto" w:line="360"/>
        <w:jc w:val="center"/>
        <w:rPr/>
      </w:pPr>
      <w:r>
        <w:rPr>
          <w:rFonts w:cs="Times New Roman" w:ascii="Times New Roman" w:hAnsi="Times New Roman"/>
          <w:vertAlign w:val="superscript"/>
        </w:rPr>
        <w:t>3</w:t>
      </w:r>
      <w:r>
        <w:rPr>
          <w:rFonts w:cs="Times New Roman" w:ascii="Times New Roman" w:hAnsi="Times New Roman"/>
        </w:rPr>
        <w:t xml:space="preserve"> Department Evolutionary Genetics, Leibniz Institute for Zoo and Wildlife Research, Alfred-Kowalke-Straße 17, </w:t>
      </w:r>
      <w:r>
        <w:rPr>
          <w:rFonts w:cs="Times New Roman" w:ascii="Times New Roman" w:hAnsi="Times New Roman"/>
          <w:bCs/>
        </w:rPr>
        <w:t>10315 Berlin, Germany.</w:t>
      </w:r>
    </w:p>
    <w:p>
      <w:pPr>
        <w:pStyle w:val="Normal"/>
        <w:spacing w:lineRule="auto" w:line="360"/>
        <w:jc w:val="center"/>
        <w:rPr>
          <w:rFonts w:ascii="Times New Roman" w:hAnsi="Times New Roman" w:cs="Times New Roman"/>
        </w:rPr>
      </w:pPr>
      <w:r>
        <w:rPr>
          <w:rFonts w:cs="Times New Roman" w:ascii="Times New Roman" w:hAnsi="Times New Roman"/>
          <w:bCs/>
          <w:vertAlign w:val="superscript"/>
        </w:rPr>
        <w:t>3</w:t>
      </w:r>
      <w:r>
        <w:rPr>
          <w:rFonts w:cs="Times New Roman" w:ascii="Times New Roman" w:hAnsi="Times New Roman"/>
          <w:bCs/>
        </w:rPr>
        <w:t xml:space="preserve"> </w:t>
      </w:r>
      <w:bookmarkStart w:id="0" w:name="__DdeLink__2539_3667316862"/>
      <w:r>
        <w:rPr>
          <w:rFonts w:cs="Times New Roman" w:ascii="Times New Roman" w:hAnsi="Times New Roman"/>
          <w:bCs/>
        </w:rPr>
        <w:t>Department Wildlife Diseases, Leibniz Institute for Zoo and Wildlife Research</w:t>
      </w:r>
      <w:bookmarkEnd w:id="0"/>
      <w:r>
        <w:rPr>
          <w:rFonts w:cs="Times New Roman" w:ascii="Times New Roman" w:hAnsi="Times New Roman"/>
          <w:bCs/>
        </w:rPr>
        <w:t>, Alfred-Kowalke-Straße 17, 10315 Berlin, Germany.</w:t>
      </w:r>
    </w:p>
    <w:p>
      <w:pPr>
        <w:pStyle w:val="Normal"/>
        <w:spacing w:lineRule="auto" w:line="360"/>
        <w:jc w:val="both"/>
        <w:rPr>
          <w:rFonts w:ascii="Times New Roman" w:hAnsi="Times New Roman" w:cs="Times New Roman"/>
          <w:b/>
          <w:b/>
          <w:bCs/>
        </w:rPr>
      </w:pPr>
      <w:r>
        <w:rPr>
          <w:rFonts w:cs="Times New Roman" w:ascii="Times New Roman" w:hAnsi="Times New Roman"/>
          <w:b/>
          <w:bCs/>
        </w:rPr>
      </w:r>
    </w:p>
    <w:p>
      <w:pPr>
        <w:pStyle w:val="TextBody"/>
        <w:spacing w:lineRule="auto" w:line="360"/>
        <w:jc w:val="both"/>
        <w:rPr/>
      </w:pPr>
      <w:r>
        <w:rPr>
          <w:rFonts w:ascii="Times New Roman" w:hAnsi="Times New Roman"/>
        </w:rPr>
        <w:t xml:space="preserve">Species of </w:t>
      </w:r>
      <w:r>
        <w:rPr>
          <w:rFonts w:ascii="Times New Roman" w:hAnsi="Times New Roman"/>
          <w:i/>
          <w:iCs/>
        </w:rPr>
        <w:t>Eimeria</w:t>
      </w:r>
      <w:r>
        <w:rPr>
          <w:rFonts w:ascii="Times New Roman" w:hAnsi="Times New Roman"/>
        </w:rPr>
        <w:t xml:space="preserve"> (Apicomplexa:Coccidia) differ in the timing of lifecycle progression and resulting infections vary in host immune reactions and pathology they induce. </w:t>
      </w:r>
      <w:r>
        <w:rPr>
          <w:rFonts w:ascii="Times New Roman" w:hAnsi="Times New Roman"/>
          <w:i/>
          <w:iCs/>
        </w:rPr>
        <w:t>Eimeria</w:t>
      </w:r>
      <w:r>
        <w:rPr>
          <w:rFonts w:ascii="Times New Roman" w:hAnsi="Times New Roman"/>
        </w:rPr>
        <w:t xml:space="preserve"> infections in house mice are used as models for basic immunology and the most commonly used isolates have been passaged in laboratory mice for over 50 years. We questioned in how far such isolates are still representative for infections in natural systems. </w:t>
      </w:r>
    </w:p>
    <w:p>
      <w:pPr>
        <w:pStyle w:val="TextBody"/>
        <w:spacing w:lineRule="auto" w:line="360"/>
        <w:jc w:val="both"/>
        <w:rPr/>
      </w:pPr>
      <w:r>
        <w:rPr>
          <w:rFonts w:ascii="Times New Roman" w:hAnsi="Times New Roman"/>
        </w:rPr>
        <w:t xml:space="preserve">In the current study, we address this question by comparing the “laboratory isolate” </w:t>
      </w:r>
      <w:r>
        <w:rPr>
          <w:rFonts w:ascii="Times New Roman" w:hAnsi="Times New Roman"/>
          <w:i/>
          <w:iCs/>
        </w:rPr>
        <w:t>E. falciformis</w:t>
      </w:r>
      <w:r>
        <w:rPr>
          <w:rFonts w:ascii="Times New Roman" w:hAnsi="Times New Roman"/>
        </w:rPr>
        <w:t xml:space="preserve"> BayerHaberkorn1970 with a novel, wild derived isolate </w:t>
      </w:r>
      <w:r>
        <w:rPr>
          <w:rFonts w:ascii="Times New Roman" w:hAnsi="Times New Roman"/>
          <w:i/>
          <w:iCs/>
        </w:rPr>
        <w:t>E. falciformis</w:t>
      </w:r>
      <w:r>
        <w:rPr>
          <w:rFonts w:ascii="Times New Roman" w:hAnsi="Times New Roman"/>
        </w:rPr>
        <w:t xml:space="preserve"> Brandenburg88, and contrast this with another novel wild derived isolate, </w:t>
      </w:r>
      <w:r>
        <w:rPr>
          <w:rFonts w:ascii="Times New Roman" w:hAnsi="Times New Roman"/>
          <w:i/>
          <w:iCs/>
        </w:rPr>
        <w:t>E. ferrisi</w:t>
      </w:r>
      <w:r>
        <w:rPr>
          <w:rFonts w:ascii="Times New Roman" w:hAnsi="Times New Roman"/>
        </w:rPr>
        <w:t xml:space="preserve"> Brandenburg64. We compare parasite lifecycle progression. We relate this to immune cell infiltration at the site of infection (in the caecum) and cytokine gene expression in the spleen as a measure of host immune response. We assess host weight loss as a measure of pathogenicity. </w:t>
      </w:r>
    </w:p>
    <w:p>
      <w:pPr>
        <w:pStyle w:val="TextBody"/>
        <w:spacing w:lineRule="auto" w:line="360"/>
        <w:jc w:val="both"/>
        <w:rPr/>
      </w:pPr>
      <w:r>
        <w:rPr>
          <w:rFonts w:ascii="Times New Roman" w:hAnsi="Times New Roman"/>
        </w:rPr>
        <w:t xml:space="preserve">A species-specific slower parasite lifecyle progression and higher pathogenicity are observed for </w:t>
      </w:r>
      <w:r>
        <w:rPr>
          <w:rFonts w:ascii="Times New Roman" w:hAnsi="Times New Roman"/>
          <w:i/>
          <w:iCs/>
        </w:rPr>
        <w:t>E. falciformis</w:t>
      </w:r>
      <w:r>
        <w:rPr>
          <w:rFonts w:ascii="Times New Roman" w:hAnsi="Times New Roman"/>
        </w:rPr>
        <w:t xml:space="preserve"> </w:t>
      </w:r>
      <w:r>
        <w:rPr>
          <w:rFonts w:ascii="Times New Roman" w:hAnsi="Times New Roman"/>
          <w:i/>
        </w:rPr>
        <w:t>vs.</w:t>
      </w:r>
      <w:r>
        <w:rPr>
          <w:rFonts w:ascii="Times New Roman" w:hAnsi="Times New Roman"/>
        </w:rPr>
        <w:t xml:space="preserve"> </w:t>
      </w:r>
      <w:r>
        <w:rPr>
          <w:rFonts w:ascii="Times New Roman" w:hAnsi="Times New Roman"/>
          <w:i/>
          <w:iCs/>
        </w:rPr>
        <w:t xml:space="preserve">E. ferrisi. </w:t>
      </w:r>
      <w:r>
        <w:rPr>
          <w:rFonts w:ascii="Times New Roman" w:hAnsi="Times New Roman"/>
          <w:i w:val="false"/>
          <w:iCs w:val="false"/>
        </w:rPr>
        <w:t>Host cy</w:t>
      </w:r>
      <w:r>
        <w:rPr>
          <w:rFonts w:ascii="Times New Roman" w:hAnsi="Times New Roman"/>
        </w:rPr>
        <w:t xml:space="preserve">tokines, in contrast, are expressed at significantly higher level in the spleen of mice infected with the </w:t>
      </w:r>
      <w:r>
        <w:rPr>
          <w:rFonts w:ascii="Times New Roman" w:hAnsi="Times New Roman"/>
          <w:i/>
          <w:iCs/>
        </w:rPr>
        <w:t>E. falciformis</w:t>
      </w:r>
      <w:r>
        <w:rPr>
          <w:rFonts w:ascii="Times New Roman" w:hAnsi="Times New Roman"/>
        </w:rPr>
        <w:t xml:space="preserve"> laboratory isolate than in both wild derived isolates, irrespective of the species. Differences in histopathology are observable between all three isolates: The </w:t>
      </w:r>
      <w:r>
        <w:rPr>
          <w:rFonts w:ascii="Times New Roman" w:hAnsi="Times New Roman"/>
          <w:i/>
          <w:iCs/>
        </w:rPr>
        <w:t>E. falciformis</w:t>
      </w:r>
      <w:r>
        <w:rPr>
          <w:rFonts w:ascii="Times New Roman" w:hAnsi="Times New Roman"/>
        </w:rPr>
        <w:t xml:space="preserve"> BayerHaberkorn1970 laboratory isolate induces the strongest inflammation and cellular infiltration (with lymphocytes, plasma cells and eosinophilic granulocytes) followed by the wild derived </w:t>
      </w:r>
      <w:r>
        <w:rPr>
          <w:rFonts w:ascii="Times New Roman" w:hAnsi="Times New Roman"/>
          <w:i/>
          <w:iCs/>
        </w:rPr>
        <w:t>E. falciformis</w:t>
      </w:r>
      <w:r>
        <w:rPr>
          <w:rFonts w:ascii="Times New Roman" w:hAnsi="Times New Roman"/>
          <w:i w:val="false"/>
          <w:iCs w:val="false"/>
        </w:rPr>
        <w:t xml:space="preserve"> Brandenburg88 </w:t>
      </w:r>
      <w:r>
        <w:rPr>
          <w:rFonts w:ascii="Times New Roman" w:hAnsi="Times New Roman"/>
        </w:rPr>
        <w:t xml:space="preserve">isolate. </w:t>
      </w:r>
      <w:bookmarkStart w:id="1" w:name="move44964471"/>
      <w:bookmarkEnd w:id="1"/>
      <w:r>
        <w:rPr>
          <w:rFonts w:ascii="Times New Roman" w:hAnsi="Times New Roman"/>
          <w:i/>
          <w:iCs/>
        </w:rPr>
        <w:t>E. ferrisi</w:t>
      </w:r>
      <w:r>
        <w:rPr>
          <w:rFonts w:ascii="Times New Roman" w:hAnsi="Times New Roman"/>
        </w:rPr>
        <w:t xml:space="preserve"> Brandenburg64 is inducing milder histological changes than both </w:t>
      </w:r>
      <w:r>
        <w:rPr>
          <w:rFonts w:ascii="Times New Roman" w:hAnsi="Times New Roman"/>
          <w:i/>
          <w:iCs/>
        </w:rPr>
        <w:t>E. falciformis</w:t>
      </w:r>
      <w:r>
        <w:rPr>
          <w:rFonts w:ascii="Times New Roman" w:hAnsi="Times New Roman"/>
        </w:rPr>
        <w:t xml:space="preserve"> isolates. </w:t>
      </w:r>
    </w:p>
    <w:p>
      <w:pPr>
        <w:pStyle w:val="TextBody"/>
        <w:spacing w:lineRule="auto" w:line="360"/>
        <w:jc w:val="both"/>
        <w:rPr/>
      </w:pPr>
      <w:r>
        <w:rPr>
          <w:rFonts w:ascii="Times New Roman" w:hAnsi="Times New Roman"/>
        </w:rPr>
        <w:t xml:space="preserve">It can be speculated that the serial passaging of </w:t>
      </w:r>
      <w:r>
        <w:rPr>
          <w:rFonts w:ascii="Times New Roman" w:hAnsi="Times New Roman"/>
          <w:i/>
          <w:iCs/>
        </w:rPr>
        <w:t>E. falciformis</w:t>
      </w:r>
      <w:r>
        <w:rPr>
          <w:rFonts w:ascii="Times New Roman" w:hAnsi="Times New Roman"/>
        </w:rPr>
        <w:t xml:space="preserve"> BayerHaberkorn1970 has resulted in evolutionary divergence rendering this isolate more virulent in NMRI mice. Caution is needed when findings from experimental infection with laboratory strains should be integrated with observations in natural systems.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rFonts w:ascii="Times New Roman" w:hAnsi="Times New Roman"/>
          <w:b/>
          <w:b/>
          <w:bCs/>
          <w:i w:val="false"/>
          <w:i w:val="false"/>
          <w:iCs w:val="false"/>
        </w:rPr>
      </w:pPr>
      <w:r>
        <w:rPr>
          <w:rFonts w:ascii="Times New Roman" w:hAnsi="Times New Roman"/>
          <w:b/>
          <w:bCs/>
          <w:i w:val="false"/>
          <w:iCs w:val="false"/>
        </w:rPr>
        <w:t>Highlights</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 xml:space="preserve">E. ferrisi </w:t>
      </w:r>
      <w:r>
        <w:rPr>
          <w:rFonts w:ascii="Times New Roman" w:hAnsi="Times New Roman"/>
          <w:b w:val="false"/>
          <w:bCs w:val="false"/>
          <w:i w:val="false"/>
          <w:iCs w:val="false"/>
        </w:rPr>
        <w:t>has a shorter pre-patency</w:t>
      </w:r>
      <w:r>
        <w:rPr>
          <w:rFonts w:ascii="Times New Roman" w:hAnsi="Times New Roman"/>
          <w:b w:val="false"/>
          <w:bCs w:val="false"/>
          <w:i/>
          <w:iCs/>
        </w:rPr>
        <w:t xml:space="preserve"> </w:t>
      </w:r>
      <w:r>
        <w:rPr>
          <w:rFonts w:ascii="Times New Roman" w:hAnsi="Times New Roman"/>
          <w:b w:val="false"/>
          <w:bCs w:val="false"/>
          <w:i w:val="false"/>
          <w:iCs w:val="false"/>
        </w:rPr>
        <w:t>than</w:t>
      </w:r>
      <w:r>
        <w:rPr>
          <w:rFonts w:ascii="Times New Roman" w:hAnsi="Times New Roman"/>
          <w:b w:val="false"/>
          <w:bCs w:val="false"/>
          <w:i/>
          <w:iCs/>
        </w:rPr>
        <w:t xml:space="preserve"> w</w:t>
      </w:r>
      <w:r>
        <w:rPr>
          <w:rFonts w:ascii="Times New Roman" w:hAnsi="Times New Roman"/>
          <w:b w:val="false"/>
          <w:bCs w:val="false"/>
          <w:i w:val="false"/>
          <w:iCs w:val="false"/>
        </w:rPr>
        <w:t xml:space="preserve">ild-derived and laboratory isolates of </w:t>
      </w:r>
      <w:r>
        <w:rPr>
          <w:rFonts w:ascii="Times New Roman" w:hAnsi="Times New Roman"/>
          <w:b w:val="false"/>
          <w:bCs w:val="false"/>
          <w:i/>
          <w:iCs/>
        </w:rPr>
        <w:t>E. falciformis</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iCs/>
        </w:rPr>
        <w:t>E. ferrisi</w:t>
      </w:r>
      <w:r>
        <w:rPr>
          <w:rFonts w:ascii="Times New Roman" w:hAnsi="Times New Roman"/>
          <w:b w:val="false"/>
          <w:bCs w:val="false"/>
          <w:i w:val="false"/>
          <w:iCs w:val="false"/>
        </w:rPr>
        <w:t xml:space="preserve"> is less virulent than both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isolates and the timing of maximal oocyst shedding relative to host weight loss differs. </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 xml:space="preserve">E. falciformis </w:t>
      </w:r>
      <w:r>
        <w:rPr>
          <w:rFonts w:ascii="Times New Roman" w:hAnsi="Times New Roman"/>
          <w:b w:val="false"/>
          <w:bCs w:val="false"/>
          <w:i w:val="false"/>
          <w:iCs w:val="false"/>
        </w:rPr>
        <w:t xml:space="preserve">induces stronger cytokine expression in the spleen than both wild derived strains of </w:t>
      </w:r>
      <w:r>
        <w:rPr>
          <w:rFonts w:ascii="Times New Roman" w:hAnsi="Times New Roman"/>
          <w:b w:val="false"/>
          <w:bCs w:val="false"/>
          <w:i/>
          <w:iCs/>
        </w:rPr>
        <w:t>E. falciformis</w:t>
      </w:r>
      <w:r>
        <w:rPr>
          <w:rFonts w:ascii="Times New Roman" w:hAnsi="Times New Roman"/>
          <w:b w:val="false"/>
          <w:bCs w:val="false"/>
          <w:i w:val="false"/>
          <w:iCs w:val="false"/>
        </w:rPr>
        <w:t xml:space="preserve"> and </w:t>
      </w:r>
      <w:r>
        <w:rPr>
          <w:rFonts w:ascii="Times New Roman" w:hAnsi="Times New Roman"/>
          <w:b w:val="false"/>
          <w:bCs w:val="false"/>
          <w:i/>
          <w:iCs/>
        </w:rPr>
        <w:t>E. ferrisi</w:t>
      </w:r>
      <w:r>
        <w:rPr>
          <w:rFonts w:ascii="Times New Roman" w:hAnsi="Times New Roman"/>
          <w:b w:val="false"/>
          <w:bCs w:val="false"/>
          <w:i w:val="false"/>
          <w:iCs w:val="false"/>
        </w:rPr>
        <w:t>.</w:t>
      </w:r>
    </w:p>
    <w:p>
      <w:pPr>
        <w:pStyle w:val="TextBody"/>
        <w:numPr>
          <w:ilvl w:val="0"/>
          <w:numId w:val="1"/>
        </w:numPr>
        <w:spacing w:lineRule="auto" w:line="360"/>
        <w:jc w:val="both"/>
        <w:rPr>
          <w:rFonts w:ascii="Times New Roman" w:hAnsi="Times New Roman"/>
          <w:b w:val="false"/>
          <w:b w:val="false"/>
          <w:bCs w:val="false"/>
          <w:i/>
          <w:i/>
          <w:iCs/>
        </w:rPr>
      </w:pPr>
      <w:r>
        <w:rPr>
          <w:rFonts w:ascii="Times New Roman" w:hAnsi="Times New Roman"/>
          <w:b w:val="false"/>
          <w:bCs w:val="false"/>
          <w:i w:val="false"/>
          <w:iCs w:val="false"/>
        </w:rPr>
        <w:t xml:space="preserve">The laboratory strain of </w:t>
      </w:r>
      <w:r>
        <w:rPr>
          <w:rFonts w:ascii="Times New Roman" w:hAnsi="Times New Roman"/>
          <w:b w:val="false"/>
          <w:bCs w:val="false"/>
          <w:i/>
          <w:iCs/>
        </w:rPr>
        <w:t>E. falciformis</w:t>
      </w:r>
      <w:r>
        <w:rPr>
          <w:rFonts w:ascii="Times New Roman" w:hAnsi="Times New Roman"/>
          <w:b w:val="false"/>
          <w:bCs w:val="false"/>
          <w:i w:val="false"/>
          <w:iCs w:val="false"/>
        </w:rPr>
        <w:t xml:space="preserve"> induces stronger tissue infiltration of immune cells than the wild-derived strain. </w:t>
      </w:r>
      <w:r>
        <w:rPr>
          <w:rFonts w:ascii="Times New Roman" w:hAnsi="Times New Roman"/>
          <w:b w:val="false"/>
          <w:bCs w:val="false"/>
          <w:i/>
          <w:iCs/>
        </w:rPr>
        <w:t>E. ferrisi</w:t>
      </w:r>
      <w:r>
        <w:rPr>
          <w:rFonts w:ascii="Times New Roman" w:hAnsi="Times New Roman"/>
          <w:b w:val="false"/>
          <w:bCs w:val="false"/>
          <w:i w:val="false"/>
          <w:iCs w:val="false"/>
        </w:rPr>
        <w:t xml:space="preserve"> infections are associated with the lowest infiltration. </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i w:val="false"/>
          <w:iCs w:val="false"/>
        </w:rPr>
        <w:t>Keywords:</w:t>
      </w:r>
      <w:r>
        <w:rPr>
          <w:rFonts w:ascii="Times New Roman" w:hAnsi="Times New Roman"/>
          <w:i/>
          <w:iCs/>
        </w:rPr>
        <w:t xml:space="preserve"> </w:t>
      </w:r>
      <w:r>
        <w:rPr>
          <w:rFonts w:ascii="Times New Roman" w:hAnsi="Times New Roman"/>
          <w:i w:val="false"/>
          <w:iCs w:val="false"/>
        </w:rPr>
        <w:t xml:space="preserve">wild-derived strains; laboratory evolution; house mouse; rodent </w:t>
      </w:r>
      <w:r>
        <w:rPr>
          <w:rFonts w:ascii="Times New Roman" w:hAnsi="Times New Roman"/>
          <w:i/>
          <w:iCs/>
        </w:rPr>
        <w:t>Eimeria</w:t>
      </w:r>
      <w:r>
        <w:rPr>
          <w:rFonts w:ascii="Times New Roman" w:hAnsi="Times New Roman"/>
          <w:i w:val="false"/>
          <w:iCs w:val="false"/>
        </w:rPr>
        <w:t>; cytokine expression; immune cell infiltration.</w:t>
      </w:r>
    </w:p>
    <w:p>
      <w:pPr>
        <w:pStyle w:val="TextBody"/>
        <w:spacing w:lineRule="auto" w:line="360"/>
        <w:jc w:val="both"/>
        <w:rPr>
          <w:rFonts w:ascii="Times New Roman" w:hAnsi="Times New Roman"/>
          <w:i/>
          <w:i/>
          <w:iCs/>
        </w:rPr>
      </w:pPr>
      <w:r>
        <w:rPr>
          <w:rFonts w:ascii="Times New Roman" w:hAnsi="Times New Roman"/>
          <w:i/>
          <w:iCs/>
        </w:rPr>
      </w:r>
    </w:p>
    <w:p>
      <w:pPr>
        <w:pStyle w:val="TextBody"/>
        <w:spacing w:lineRule="auto" w:line="360"/>
        <w:jc w:val="both"/>
        <w:rPr/>
      </w:pPr>
      <w:r>
        <w:rPr>
          <w:rFonts w:ascii="Times New Roman" w:hAnsi="Times New Roman"/>
          <w:b/>
          <w:bCs/>
        </w:rPr>
        <w:t>1. Introduction</w:t>
      </w:r>
    </w:p>
    <w:p>
      <w:pPr>
        <w:pStyle w:val="Normal"/>
        <w:spacing w:lineRule="auto" w:line="360"/>
        <w:jc w:val="both"/>
        <w:rPr/>
      </w:pPr>
      <w:r>
        <w:rPr>
          <w:rFonts w:ascii="Times New Roman" w:hAnsi="Times New Roman"/>
        </w:rPr>
        <w:t>Maintenance of parasite lifecycles via serial passaging is a cornerstone of experimental parasitology. Parasites are propagated under defined and controlled conditions with the aim to provide infective stages for experiments (Lucius et al., 2017</w:t>
      </w:r>
      <w:bookmarkStart w:id="2" w:name="__UnoMark__10591_2905672918"/>
      <w:bookmarkEnd w:id="2"/>
      <w:r>
        <w:rPr>
          <w:rFonts w:ascii="Times New Roman" w:hAnsi="Times New Roman"/>
        </w:rPr>
        <w:t>). The procedure allows the parasite to evolve due to mutation and genetic drift or adaptation to the passaging host and environment (</w:t>
      </w:r>
      <w:r>
        <w:rPr>
          <w:rFonts w:ascii="Times New Roman" w:hAnsi="Times New Roman"/>
          <w:color w:val="000000"/>
        </w:rPr>
        <w:t xml:space="preserve">Ebert, 1998; </w:t>
      </w:r>
      <w:r>
        <w:rPr>
          <w:rFonts w:ascii="Times New Roman" w:hAnsi="Times New Roman"/>
        </w:rPr>
        <w:t>Burke, 2012</w:t>
      </w:r>
      <w:bookmarkStart w:id="3" w:name="__UnoMark__10590_2905672918"/>
      <w:bookmarkEnd w:id="3"/>
      <w:r>
        <w:rPr>
          <w:rFonts w:ascii="Times New Roman" w:hAnsi="Times New Roman"/>
        </w:rPr>
        <w:t>). Genetic drift is promoted by the use of small inocula during passaging, and drift can act while diversity of a parasite isolate is reduced intentionally to obtain a clonal strain. In clonal strains mutation and drift can continue to a</w:t>
      </w:r>
      <w:r>
        <w:rPr>
          <w:rFonts w:ascii="Times New Roman" w:hAnsi="Times New Roman"/>
          <w:highlight w:val="white"/>
        </w:rPr>
        <w:t>ct (Farrell et al., 2014).</w:t>
      </w:r>
      <w:r>
        <w:rPr>
          <w:rFonts w:ascii="Times New Roman" w:hAnsi="Times New Roman"/>
        </w:rPr>
        <w:t xml:space="preserve"> Considering adaptive evolution, an important part of the passaging environment is given by living hosts (</w:t>
      </w:r>
      <w:r>
        <w:rPr>
          <w:rStyle w:val="Emphasis"/>
          <w:rFonts w:ascii="Times New Roman" w:hAnsi="Times New Roman"/>
          <w:i w:val="false"/>
          <w:color w:val="000000"/>
        </w:rPr>
        <w:t>Elena and Lenski, 2003</w:t>
      </w:r>
      <w:r>
        <w:rPr>
          <w:rFonts w:ascii="Times New Roman" w:hAnsi="Times New Roman"/>
        </w:rPr>
        <w:t>), which usually have low genetic diversity (e.g., clonal or inbred lines, cultures), are immunologically naive due to the absence of previous infections (</w:t>
      </w:r>
      <w:r>
        <w:rPr>
          <w:rFonts w:ascii="Times New Roman" w:hAnsi="Times New Roman"/>
          <w:color w:val="000000"/>
        </w:rPr>
        <w:t>Mackinnon ‎and Read 2004</w:t>
      </w:r>
      <w:r>
        <w:rPr>
          <w:rFonts w:ascii="Times New Roman" w:hAnsi="Times New Roman"/>
        </w:rPr>
        <w:t>) and lack co-infections with other parasites (Abolins et al., 2017). Procedures for serial passaging of parasites typically collect infective stages at a particular time after infection and use the obtained inoculum to infect new animals or use haphazard infections in dense environments. Iteration of such a static routine likely differs from natural parasite environments with different timing of infections and variable transmission. In most cases both the biotic (host) and abiotic (outer environment) during passaging differs profoundly from the environment experienced by the parasite during its life cycle under natural conditions. To summarize, parasite laboratory isolates might experience both neutral and adaptive evolutionary processes. As a consequence they might not be representative for analogues in natural systems</w:t>
      </w:r>
      <w:r>
        <w:rPr>
          <w:rFonts w:ascii="Times New Roman" w:hAnsi="Times New Roman"/>
          <w:color w:val="000000"/>
        </w:rPr>
        <w:t xml:space="preserve">. </w:t>
      </w:r>
    </w:p>
    <w:p>
      <w:pPr>
        <w:pStyle w:val="Normal"/>
        <w:spacing w:lineRule="auto" w:line="360"/>
        <w:jc w:val="both"/>
        <w:rPr/>
      </w:pPr>
      <w:r>
        <w:rPr>
          <w:rFonts w:ascii="Times New Roman" w:hAnsi="Times New Roman"/>
        </w:rPr>
        <w:t xml:space="preserve">Serial passage leads in most cases to higher </w:t>
      </w:r>
      <w:r>
        <w:rPr>
          <w:rFonts w:ascii="Times New Roman" w:hAnsi="Times New Roman"/>
          <w:color w:val="000000"/>
        </w:rPr>
        <w:t>virulence (enhanced growth and reproduction of the parasite, and larger impact on the host) in the host type used for the process (</w:t>
      </w:r>
      <w:r>
        <w:rPr>
          <w:rFonts w:ascii="Times New Roman" w:hAnsi="Times New Roman"/>
        </w:rPr>
        <w:t>reviewed</w:t>
      </w:r>
      <w:r>
        <w:rPr>
          <w:rFonts w:ascii="Times New Roman" w:hAnsi="Times New Roman"/>
          <w:color w:val="000000"/>
        </w:rPr>
        <w:t xml:space="preserve"> by </w:t>
      </w:r>
      <w:bookmarkStart w:id="4" w:name="__UnoMark__10589_2905672918"/>
      <w:r>
        <w:rPr>
          <w:rFonts w:ascii="Times New Roman" w:hAnsi="Times New Roman"/>
          <w:color w:val="000000"/>
        </w:rPr>
        <w:t>Ebert, 1998</w:t>
      </w:r>
      <w:bookmarkEnd w:id="4"/>
      <w:r>
        <w:rPr>
          <w:rFonts w:ascii="Times New Roman" w:hAnsi="Times New Roman"/>
          <w:color w:val="000000"/>
        </w:rPr>
        <w:t xml:space="preserve">). This can be due to low genetic diversity in host populations (for example inbred lines) used for passage, reducing fitness trade-offs associated with specialization and promoting the expansion of more virulent pathogens. This phenomenon has been demonstrated in systems including the </w:t>
      </w:r>
      <w:r>
        <w:rPr>
          <w:rStyle w:val="Emphasis"/>
          <w:rFonts w:ascii="Times New Roman" w:hAnsi="Times New Roman"/>
          <w:i w:val="false"/>
          <w:iCs w:val="false"/>
          <w:color w:val="000000"/>
        </w:rPr>
        <w:t xml:space="preserve">apicomplexan parasites </w:t>
      </w:r>
      <w:r>
        <w:rPr>
          <w:rStyle w:val="Emphasis"/>
          <w:rFonts w:ascii="Times New Roman" w:hAnsi="Times New Roman"/>
          <w:color w:val="000000"/>
        </w:rPr>
        <w:t>Plasmodium</w:t>
      </w:r>
      <w:r>
        <w:rPr>
          <w:rStyle w:val="Emphasis"/>
          <w:rFonts w:ascii="Times New Roman" w:hAnsi="Times New Roman"/>
          <w:i w:val="false"/>
          <w:iCs w:val="false"/>
          <w:color w:val="000000"/>
        </w:rPr>
        <w:t xml:space="preserve"> spp. in rodents (Mackinnon and Read, 1999, ‎2004; Barclay et al., 2014). Adaptation to the passage host in these studies increases parasite virulence. </w:t>
      </w:r>
    </w:p>
    <w:p>
      <w:pPr>
        <w:pStyle w:val="Normal"/>
        <w:spacing w:lineRule="auto" w:line="360"/>
        <w:jc w:val="both"/>
        <w:rPr/>
      </w:pPr>
      <w:r>
        <w:rPr>
          <w:rStyle w:val="Emphasis"/>
          <w:rFonts w:ascii="Times New Roman" w:hAnsi="Times New Roman"/>
          <w:i w:val="false"/>
          <w:iCs w:val="false"/>
          <w:color w:val="000000"/>
        </w:rPr>
        <w:t xml:space="preserve">Contrary, but still consistent with this, passage of highly virulent isolates of the apicomplexan parasite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can lead to attenuation of virulence when only the first oocystes committing to sexual reproductions are selected (</w:t>
      </w:r>
      <w:hyperlink r:id="rId2">
        <w:r>
          <w:rPr>
            <w:rStyle w:val="Emphasis"/>
            <w:rFonts w:ascii="Times New Roman" w:hAnsi="Times New Roman"/>
            <w:i w:val="false"/>
            <w:iCs w:val="false"/>
            <w:color w:val="000000"/>
          </w:rPr>
          <w:t xml:space="preserve">McDonald </w:t>
        </w:r>
      </w:hyperlink>
      <w:r>
        <w:rPr>
          <w:rStyle w:val="Emphasis"/>
          <w:rFonts w:ascii="Times New Roman" w:hAnsi="Times New Roman"/>
          <w:i w:val="false"/>
          <w:iCs w:val="false"/>
          <w:color w:val="000000"/>
        </w:rPr>
        <w:t xml:space="preserve">and </w:t>
      </w:r>
      <w:hyperlink r:id="rId3">
        <w:r>
          <w:rPr>
            <w:rStyle w:val="Emphasis"/>
            <w:rFonts w:ascii="Times New Roman" w:hAnsi="Times New Roman"/>
            <w:i w:val="false"/>
            <w:iCs w:val="false"/>
            <w:color w:val="000000"/>
          </w:rPr>
          <w:t xml:space="preserve">Ballingall </w:t>
        </w:r>
      </w:hyperlink>
      <w:r>
        <w:rPr>
          <w:rStyle w:val="Emphasis"/>
          <w:rFonts w:ascii="Times New Roman" w:hAnsi="Times New Roman"/>
          <w:i w:val="false"/>
          <w:iCs w:val="false"/>
          <w:color w:val="000000"/>
        </w:rPr>
        <w:t xml:space="preserve">1983; </w:t>
      </w:r>
      <w:hyperlink r:id="rId4">
        <w:r>
          <w:rPr>
            <w:rStyle w:val="Emphasis"/>
            <w:rFonts w:ascii="Times New Roman" w:hAnsi="Times New Roman"/>
            <w:i w:val="false"/>
            <w:iCs w:val="false"/>
            <w:color w:val="000000"/>
          </w:rPr>
          <w:t>Shirley</w:t>
        </w:r>
      </w:hyperlink>
      <w:r>
        <w:rPr>
          <w:rStyle w:val="Emphasis"/>
          <w:rFonts w:ascii="Times New Roman" w:hAnsi="Times New Roman"/>
          <w:i w:val="false"/>
          <w:iCs w:val="false"/>
          <w:color w:val="000000"/>
        </w:rPr>
        <w:t xml:space="preserve"> and </w:t>
      </w:r>
      <w:hyperlink r:id="rId5">
        <w:r>
          <w:rPr>
            <w:rStyle w:val="Emphasis"/>
            <w:rFonts w:ascii="Times New Roman" w:hAnsi="Times New Roman"/>
            <w:i w:val="false"/>
            <w:iCs w:val="false"/>
            <w:color w:val="000000"/>
          </w:rPr>
          <w:t xml:space="preserve">Bellatti </w:t>
        </w:r>
      </w:hyperlink>
      <w:r>
        <w:rPr>
          <w:rStyle w:val="Emphasis"/>
          <w:rFonts w:ascii="Times New Roman" w:hAnsi="Times New Roman"/>
          <w:i w:val="false"/>
          <w:iCs w:val="false"/>
          <w:color w:val="000000"/>
        </w:rPr>
        <w:t xml:space="preserve">1988; Matsubayashi et al., 2016). These attenuated strains are called “precocious lines” and are the basis for live vaccines used in the poultry industry (Shirley and Long, 1990). Given the practical implications of this phenomenon, numerous experiments focused on changes in parasite life history, virulence and host response that arise as a consequence of attenuation. It is clear from these experiments that </w:t>
      </w:r>
      <w:r>
        <w:rPr>
          <w:rStyle w:val="Emphasis"/>
          <w:rFonts w:ascii="Times New Roman" w:hAnsi="Times New Roman"/>
          <w:color w:val="000000"/>
        </w:rPr>
        <w:t>Eimeria</w:t>
      </w:r>
      <w:r>
        <w:rPr>
          <w:rStyle w:val="Emphasis"/>
          <w:rFonts w:ascii="Times New Roman" w:hAnsi="Times New Roman"/>
          <w:i w:val="false"/>
          <w:iCs w:val="false"/>
          <w:color w:val="000000"/>
        </w:rPr>
        <w:t xml:space="preserve"> spp. respond quickly to selection pressure. In contrast – to our knowledge – no studies attempt to correlate enhanced virulence after serial passaging of </w:t>
      </w:r>
      <w:r>
        <w:rPr>
          <w:rStyle w:val="Emphasis"/>
          <w:rFonts w:ascii="Times New Roman" w:hAnsi="Times New Roman"/>
          <w:color w:val="000000"/>
        </w:rPr>
        <w:t>Eimeria</w:t>
      </w:r>
      <w:r>
        <w:rPr>
          <w:rStyle w:val="Emphasis"/>
          <w:rFonts w:ascii="Times New Roman" w:hAnsi="Times New Roman"/>
          <w:i w:val="false"/>
          <w:iCs w:val="false"/>
          <w:color w:val="000000"/>
        </w:rPr>
        <w:t xml:space="preserve"> with physiological (e.g. immune-) responses in the passaging host. </w:t>
      </w:r>
    </w:p>
    <w:p>
      <w:pPr>
        <w:pStyle w:val="Normal"/>
        <w:spacing w:lineRule="auto" w:line="360" w:before="57" w:after="57"/>
        <w:jc w:val="both"/>
        <w:rPr/>
      </w:pPr>
      <w:r>
        <w:rPr>
          <w:rFonts w:ascii="Times New Roman" w:hAnsi="Times New Roman"/>
        </w:rPr>
        <w:t xml:space="preserve">Species of the genus </w:t>
      </w:r>
      <w:r>
        <w:rPr>
          <w:rFonts w:ascii="Times New Roman" w:hAnsi="Times New Roman"/>
          <w:i/>
          <w:iCs/>
        </w:rPr>
        <w:t>Eimeria</w:t>
      </w:r>
      <w:r>
        <w:rPr>
          <w:rFonts w:ascii="Times New Roman" w:hAnsi="Times New Roman"/>
          <w:color w:val="000000"/>
        </w:rPr>
        <w:t xml:space="preserve"> usually have a small host range, often infecting a single host species </w:t>
      </w:r>
      <w:bookmarkStart w:id="5" w:name="__UnoMark__10584_2905672918"/>
      <w:r>
        <w:rPr>
          <w:rFonts w:ascii="Times New Roman" w:hAnsi="Times New Roman"/>
          <w:color w:val="000000"/>
        </w:rPr>
        <w:t>(Hnida and Duszynski, 1999; Kvičerová and Hypša, 2013; Hashimoto et al., 2014; Vrba and Pakandl, 2015)</w:t>
      </w:r>
      <w:bookmarkEnd w:id="5"/>
      <w:r>
        <w:rPr>
          <w:rFonts w:ascii="Times New Roman" w:hAnsi="Times New Roman"/>
          <w:color w:val="000000"/>
        </w:rPr>
        <w:t xml:space="preserve"> and reside at specific sites within the intestines of their hosts </w:t>
      </w:r>
      <w:bookmarkStart w:id="6" w:name="__UnoMark__10583_2905672918"/>
      <w:r>
        <w:rPr>
          <w:rFonts w:ascii="Times New Roman" w:hAnsi="Times New Roman"/>
          <w:color w:val="000000"/>
        </w:rPr>
        <w:t>(Haberkorn, 1970; Owen, 1975; Chapman et al., 2013)</w:t>
      </w:r>
      <w:bookmarkEnd w:id="6"/>
      <w:r>
        <w:rPr>
          <w:rFonts w:ascii="Times New Roman" w:hAnsi="Times New Roman"/>
          <w:color w:val="000000"/>
        </w:rPr>
        <w:t xml:space="preserve">. All species have a direct life cycle with asexual expansion and sexual reproduction within epithelial cells of the gastrointestinal tract before transmission stages (oocysts) are released. Diploid oocysts become infective after reductive divisions (sporulation) in the environment </w:t>
      </w:r>
      <w:bookmarkStart w:id="7" w:name="__UnoMark__10582_2905672918"/>
      <w:r>
        <w:rPr>
          <w:rFonts w:ascii="Times New Roman" w:hAnsi="Times New Roman"/>
          <w:color w:val="000000"/>
        </w:rPr>
        <w:t>(Canning and Anwar, 1968</w:t>
      </w:r>
      <w:bookmarkEnd w:id="7"/>
      <w:r>
        <w:rPr>
          <w:rFonts w:ascii="Times New Roman" w:hAnsi="Times New Roman"/>
          <w:bCs/>
          <w:color w:val="000000"/>
        </w:rPr>
        <w:t>)</w:t>
      </w:r>
      <w:r>
        <w:rPr>
          <w:rStyle w:val="Emphasis"/>
          <w:rFonts w:ascii="Times New Roman" w:hAnsi="Times New Roman"/>
          <w:bCs/>
          <w:i w:val="false"/>
          <w:iCs w:val="false"/>
          <w:color w:val="000000"/>
        </w:rPr>
        <w:t>.</w:t>
      </w:r>
    </w:p>
    <w:p>
      <w:pPr>
        <w:pStyle w:val="Normal"/>
        <w:spacing w:lineRule="auto" w:line="360"/>
        <w:jc w:val="both"/>
        <w:rPr/>
      </w:pPr>
      <w:r>
        <w:rPr>
          <w:rFonts w:ascii="Times New Roman" w:hAnsi="Times New Roman"/>
          <w:i/>
          <w:iCs/>
        </w:rPr>
        <w:t>Eimeria</w:t>
      </w:r>
      <w:r>
        <w:rPr>
          <w:rFonts w:ascii="Times New Roman" w:hAnsi="Times New Roman"/>
        </w:rPr>
        <w:t xml:space="preserve"> spp. are widespread in diverse host species including many vertebrates from mammals to fish (Molnár et al., 2012). </w:t>
      </w:r>
      <w:r>
        <w:rPr>
          <w:rStyle w:val="Emphasis"/>
          <w:rFonts w:ascii="Times New Roman" w:hAnsi="Times New Roman"/>
          <w:i w:val="false"/>
          <w:iCs w:val="false"/>
          <w:color w:val="222222"/>
        </w:rPr>
        <w:t>Infection</w:t>
      </w:r>
      <w:r>
        <w:rPr>
          <w:rStyle w:val="Emphasis"/>
          <w:rFonts w:ascii="Times New Roman" w:hAnsi="Times New Roman"/>
          <w:color w:val="222222"/>
        </w:rPr>
        <w:t xml:space="preserve"> </w:t>
      </w:r>
      <w:r>
        <w:rPr>
          <w:rStyle w:val="Emphasis"/>
          <w:rFonts w:ascii="Times New Roman" w:hAnsi="Times New Roman"/>
          <w:i w:val="false"/>
          <w:iCs w:val="false"/>
          <w:color w:val="222222"/>
        </w:rPr>
        <w:t>causes damage in the intestinal mucosa resulting in malabsorption of nutrients and weight loss</w:t>
      </w:r>
      <w:r>
        <w:rPr>
          <w:rStyle w:val="Emphasis"/>
          <w:rFonts w:ascii="Times New Roman" w:hAnsi="Times New Roman"/>
          <w:i w:val="false"/>
          <w:iCs w:val="false"/>
          <w:color w:val="000000"/>
        </w:rPr>
        <w:t xml:space="preserve"> </w:t>
      </w:r>
      <w:bookmarkStart w:id="8" w:name="__UnoMark__10560_2905672918"/>
      <w:r>
        <w:rPr>
          <w:rStyle w:val="Emphasis"/>
          <w:rFonts w:ascii="Times New Roman" w:hAnsi="Times New Roman"/>
          <w:i w:val="false"/>
          <w:iCs w:val="false"/>
          <w:color w:val="000000"/>
        </w:rPr>
        <w:t>(Haberkorn, 1970; Chapman et al., 2013)</w:t>
      </w:r>
      <w:bookmarkEnd w:id="8"/>
      <w:r>
        <w:rPr>
          <w:rStyle w:val="Emphasis"/>
          <w:rFonts w:ascii="Times New Roman" w:hAnsi="Times New Roman"/>
          <w:i w:val="false"/>
          <w:iCs w:val="false"/>
          <w:color w:val="222222"/>
        </w:rPr>
        <w:t>.</w:t>
      </w:r>
      <w:r>
        <w:rPr>
          <w:rFonts w:ascii="Times New Roman" w:hAnsi="Times New Roman"/>
        </w:rPr>
        <w:t xml:space="preserve"> As this has an economic </w:t>
      </w:r>
      <w:r>
        <w:rPr>
          <w:rStyle w:val="Emphasis"/>
          <w:rFonts w:ascii="Times New Roman" w:hAnsi="Times New Roman"/>
          <w:i w:val="false"/>
          <w:iCs w:val="false"/>
          <w:color w:val="000000"/>
        </w:rPr>
        <w:t>impact</w:t>
      </w:r>
      <w:r>
        <w:rPr>
          <w:rFonts w:ascii="Times New Roman" w:hAnsi="Times New Roman"/>
        </w:rPr>
        <w:t xml:space="preserve"> in livestock, coccidiosis is an important focus in veterinary research </w:t>
      </w:r>
      <w:bookmarkStart w:id="9" w:name="__UnoMark__10581_2905672918"/>
      <w:r>
        <w:rPr>
          <w:rStyle w:val="Emphasis"/>
          <w:rFonts w:ascii="Times New Roman" w:hAnsi="Times New Roman"/>
          <w:i w:val="false"/>
          <w:iCs w:val="false"/>
          <w:color w:val="000000"/>
        </w:rPr>
        <w:t>(Brake et al., 1997; Laurent et al., 2001; Gadde et al., 2009; Swaggerty et al., 2011</w:t>
      </w:r>
      <w:bookmarkEnd w:id="9"/>
      <w:r>
        <w:rPr>
          <w:rStyle w:val="Emphasis"/>
          <w:rFonts w:ascii="Times New Roman" w:hAnsi="Times New Roman"/>
          <w:i w:val="false"/>
          <w:iCs w:val="false"/>
          <w:color w:val="000000"/>
        </w:rPr>
        <w:t>)</w:t>
      </w:r>
      <w:r>
        <w:rPr>
          <w:rFonts w:ascii="Times New Roman" w:hAnsi="Times New Roman"/>
        </w:rPr>
        <w:t xml:space="preserve">. </w:t>
      </w:r>
      <w:r>
        <w:rPr>
          <w:rFonts w:ascii="Times New Roman" w:hAnsi="Times New Roman"/>
          <w:i/>
          <w:iCs/>
        </w:rPr>
        <w:t>Eimeria</w:t>
      </w:r>
      <w:r>
        <w:rPr>
          <w:rFonts w:ascii="Times New Roman" w:hAnsi="Times New Roman"/>
        </w:rPr>
        <w:t xml:space="preserve"> species capable of natural infection of the house mouse (</w:t>
      </w:r>
      <w:r>
        <w:rPr>
          <w:rFonts w:ascii="Times New Roman" w:hAnsi="Times New Roman"/>
          <w:i/>
          <w:iCs/>
        </w:rPr>
        <w:t>Mus musculus</w:t>
      </w:r>
      <w:r>
        <w:rPr>
          <w:rFonts w:ascii="Times New Roman" w:hAnsi="Times New Roman"/>
        </w:rPr>
        <w:t xml:space="preserve">) have been proposed as a model for e.g. host immune response against </w:t>
      </w:r>
      <w:r>
        <w:rPr>
          <w:rFonts w:ascii="Times New Roman" w:hAnsi="Times New Roman"/>
          <w:i/>
          <w:iCs/>
        </w:rPr>
        <w:t>Eimeria</w:t>
      </w:r>
      <w:r>
        <w:rPr>
          <w:rFonts w:ascii="Times New Roman" w:hAnsi="Times New Roman"/>
        </w:rPr>
        <w:t xml:space="preserve"> </w:t>
      </w:r>
      <w:bookmarkStart w:id="10" w:name="__UnoMark__10580_2905672918"/>
      <w:r>
        <w:rPr>
          <w:rFonts w:ascii="Times New Roman" w:hAnsi="Times New Roman"/>
        </w:rPr>
        <w:t>(Heitlinger et al., 2014; Schmid et al., 2014)</w:t>
      </w:r>
      <w:bookmarkEnd w:id="10"/>
      <w:r>
        <w:rPr>
          <w:rFonts w:ascii="Times New Roman" w:hAnsi="Times New Roman"/>
        </w:rPr>
        <w:t xml:space="preserve">. Serial passaging of laboratory isolates of </w:t>
      </w:r>
      <w:r>
        <w:rPr>
          <w:rFonts w:ascii="Times New Roman" w:hAnsi="Times New Roman"/>
          <w:i/>
          <w:iCs/>
        </w:rPr>
        <w:t xml:space="preserve">Eimeria </w:t>
      </w:r>
      <w:r>
        <w:rPr>
          <w:rFonts w:ascii="Times New Roman" w:hAnsi="Times New Roman"/>
        </w:rPr>
        <w:t xml:space="preserve">is usually conducted by collecting oocysts at the day of peak shedding. Oocysts are sporulated in an aqueous solution of potassium dichromate and inocula are used for new infections two to six months later, before infectivity decreases. The isolate </w:t>
      </w:r>
      <w:r>
        <w:rPr>
          <w:rFonts w:ascii="Times New Roman" w:hAnsi="Times New Roman"/>
          <w:i/>
          <w:iCs/>
        </w:rPr>
        <w:t>E. falciformis</w:t>
      </w:r>
      <w:r>
        <w:rPr>
          <w:rFonts w:ascii="Times New Roman" w:hAnsi="Times New Roman"/>
        </w:rPr>
        <w:t xml:space="preserve"> BayerHaberkorn1970 has been isolated in 1960 (Haberkorn 1970) and since has been propagated in laboratories (first at Bayer animal health, Monheim, Germany; then at the institute for molecular parasitology of the Humboldt University, Berlin, Germany). In nearly 60 years since its isolation </w:t>
      </w:r>
      <w:r>
        <w:rPr>
          <w:rFonts w:ascii="Times New Roman" w:hAnsi="Times New Roman"/>
          <w:i/>
          <w:iCs/>
        </w:rPr>
        <w:t>E. falciformis</w:t>
      </w:r>
      <w:r>
        <w:rPr>
          <w:rFonts w:ascii="Times New Roman" w:hAnsi="Times New Roman"/>
        </w:rPr>
        <w:t xml:space="preserve"> BayerHaberkorn1970 has likely become the most commonly used laboratory isolate of rodent </w:t>
      </w:r>
      <w:r>
        <w:rPr>
          <w:rFonts w:ascii="Times New Roman" w:hAnsi="Times New Roman"/>
          <w:i/>
          <w:iCs/>
        </w:rPr>
        <w:t>Eimeria</w:t>
      </w:r>
      <w:r>
        <w:rPr>
          <w:rFonts w:ascii="Times New Roman" w:hAnsi="Times New Roman"/>
        </w:rPr>
        <w:t xml:space="preserve"> (</w:t>
      </w:r>
      <w:r>
        <w:rPr>
          <w:rStyle w:val="Emphasis"/>
          <w:rFonts w:ascii="Times New Roman" w:hAnsi="Times New Roman"/>
          <w:bCs/>
          <w:i w:val="false"/>
          <w:iCs w:val="false"/>
          <w:color w:val="000000"/>
        </w:rPr>
        <w:t>Mahrt and Shi 1988; Schito et al., 1996; Steinfelder et al., 200</w:t>
      </w:r>
      <w:bookmarkStart w:id="11" w:name="__UnoMark__10578_2905672918"/>
      <w:bookmarkEnd w:id="11"/>
      <w:r>
        <w:rPr>
          <w:rStyle w:val="Emphasis"/>
          <w:rFonts w:ascii="Times New Roman" w:hAnsi="Times New Roman"/>
          <w:bCs/>
          <w:i w:val="false"/>
          <w:iCs w:val="false"/>
          <w:color w:val="000000"/>
        </w:rPr>
        <w:t xml:space="preserve">5; </w:t>
      </w:r>
      <w:r>
        <w:rPr>
          <w:rFonts w:ascii="Times New Roman" w:hAnsi="Times New Roman"/>
        </w:rPr>
        <w:t xml:space="preserve">Pogonka et al., 2010; </w:t>
      </w:r>
      <w:r>
        <w:rPr>
          <w:rStyle w:val="Emphasis"/>
          <w:rFonts w:ascii="Times New Roman" w:hAnsi="Times New Roman"/>
          <w:bCs/>
          <w:i w:val="false"/>
          <w:iCs w:val="false"/>
          <w:color w:val="000000"/>
        </w:rPr>
        <w:t xml:space="preserve">Stange et al., 2012; </w:t>
      </w:r>
      <w:r>
        <w:rPr>
          <w:rFonts w:ascii="Times New Roman" w:hAnsi="Times New Roman"/>
        </w:rPr>
        <w:t xml:space="preserve">Schmid et al., 2014, 2012; Ehret et al., 2017). </w:t>
      </w:r>
    </w:p>
    <w:p>
      <w:pPr>
        <w:pStyle w:val="Normal"/>
        <w:spacing w:lineRule="auto" w:line="360"/>
        <w:jc w:val="both"/>
        <w:rPr/>
      </w:pPr>
      <w:r>
        <w:rPr>
          <w:rFonts w:ascii="Times New Roman" w:hAnsi="Times New Roman"/>
        </w:rPr>
        <w:t xml:space="preserve">In the present study we compared infection of mice (NMRI) with the laboratory isolate </w:t>
      </w:r>
      <w:r>
        <w:rPr>
          <w:rFonts w:ascii="Times New Roman" w:hAnsi="Times New Roman"/>
          <w:i/>
          <w:iCs/>
        </w:rPr>
        <w:t xml:space="preserve">E. falciformis </w:t>
      </w:r>
      <w:r>
        <w:rPr>
          <w:rFonts w:ascii="Times New Roman" w:hAnsi="Times New Roman"/>
          <w:i w:val="false"/>
          <w:iCs w:val="false"/>
        </w:rPr>
        <w:t>BayerHaberkorn1970</w:t>
      </w:r>
      <w:r>
        <w:rPr>
          <w:rFonts w:ascii="Times New Roman" w:hAnsi="Times New Roman"/>
          <w:iCs/>
        </w:rPr>
        <w:t>,</w:t>
      </w:r>
      <w:r>
        <w:rPr>
          <w:rFonts w:ascii="Times New Roman" w:hAnsi="Times New Roman"/>
        </w:rPr>
        <w:t xml:space="preserve"> to infections with wild derived isolates of </w:t>
      </w:r>
      <w:r>
        <w:rPr>
          <w:rFonts w:ascii="Times New Roman" w:hAnsi="Times New Roman"/>
          <w:i/>
          <w:iCs/>
        </w:rPr>
        <w:t>E. falciformis</w:t>
      </w:r>
      <w:r>
        <w:rPr>
          <w:rFonts w:ascii="Times New Roman" w:hAnsi="Times New Roman"/>
        </w:rPr>
        <w:t xml:space="preserve"> (novel isolate Brandenburg88) and </w:t>
      </w:r>
      <w:r>
        <w:rPr>
          <w:rFonts w:ascii="Times New Roman" w:hAnsi="Times New Roman"/>
          <w:i/>
          <w:iCs/>
        </w:rPr>
        <w:t>E. ferrisi</w:t>
      </w:r>
      <w:r>
        <w:rPr>
          <w:rFonts w:ascii="Times New Roman" w:hAnsi="Times New Roman"/>
        </w:rPr>
        <w:t xml:space="preserve"> (Levine and Evens, 1965) (novel isolate Brandenburg64).</w:t>
      </w:r>
      <w:r>
        <w:rPr>
          <w:rStyle w:val="Emphasis"/>
          <w:rFonts w:ascii="Times New Roman" w:hAnsi="Times New Roman"/>
          <w:i w:val="false"/>
          <w:iCs w:val="false"/>
          <w:color w:val="000000"/>
        </w:rPr>
        <w:t xml:space="preserve"> We assessed similarities and differences in proliferation of tissue stages, oocyst shedding and in the host pathological changes and immune response </w:t>
      </w:r>
      <w:r>
        <w:rPr>
          <w:rFonts w:ascii="Times New Roman" w:hAnsi="Times New Roman"/>
          <w:color w:val="000000"/>
        </w:rPr>
        <w:t xml:space="preserve">between the three different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rPr>
      </w:pPr>
      <w:r>
        <w:rPr>
          <w:rFonts w:ascii="Times new roman" w:hAnsi="Times new roman"/>
          <w:b/>
          <w:bCs/>
        </w:rPr>
        <w:t>2. Material and Methods</w:t>
      </w:r>
    </w:p>
    <w:p>
      <w:pPr>
        <w:pStyle w:val="Normal"/>
        <w:spacing w:lineRule="auto" w:line="360"/>
        <w:jc w:val="both"/>
        <w:rPr>
          <w:rFonts w:ascii="Times new roman" w:hAnsi="Times new roman"/>
        </w:rPr>
      </w:pPr>
      <w:r>
        <w:rPr>
          <w:rFonts w:ascii="Times new roman" w:hAnsi="Times new roman"/>
          <w:b/>
          <w:bCs/>
        </w:rPr>
        <w:t xml:space="preserve">2.1. Isolation of </w:t>
      </w:r>
      <w:r>
        <w:rPr>
          <w:rFonts w:ascii="Times new roman" w:hAnsi="Times new roman"/>
          <w:b/>
          <w:bCs/>
          <w:i/>
          <w:iCs/>
        </w:rPr>
        <w:t>E. falciformis</w:t>
      </w:r>
      <w:r>
        <w:rPr>
          <w:rFonts w:ascii="Times new roman" w:hAnsi="Times new roman"/>
          <w:b/>
          <w:bCs/>
        </w:rPr>
        <w:t xml:space="preserve"> Brandenburg88 and </w:t>
      </w:r>
      <w:r>
        <w:rPr>
          <w:rFonts w:ascii="Times new roman" w:hAnsi="Times new roman"/>
          <w:b/>
          <w:bCs/>
          <w:i/>
          <w:iCs/>
        </w:rPr>
        <w:t>E. ferrisi</w:t>
      </w:r>
      <w:r>
        <w:rPr>
          <w:rFonts w:ascii="Times new roman" w:hAnsi="Times new roman"/>
          <w:b/>
          <w:bCs/>
        </w:rPr>
        <w:t xml:space="preserve"> Brandenburg64. </w:t>
      </w:r>
    </w:p>
    <w:p>
      <w:pPr>
        <w:pStyle w:val="Normal"/>
        <w:spacing w:lineRule="auto" w:line="360"/>
        <w:jc w:val="both"/>
        <w:rPr/>
      </w:pPr>
      <w:r>
        <w:rPr>
          <w:rFonts w:ascii="Times New Roman" w:hAnsi="Times New Roman"/>
        </w:rPr>
        <w:t xml:space="preserve">The pure inocula of wild derived isolates of </w:t>
      </w:r>
      <w:r>
        <w:rPr>
          <w:rFonts w:ascii="Times New Roman" w:hAnsi="Times New Roman"/>
          <w:i/>
          <w:iCs/>
        </w:rPr>
        <w:t>E. falciformis</w:t>
      </w:r>
      <w:r>
        <w:rPr>
          <w:rFonts w:ascii="Times New Roman" w:hAnsi="Times New Roman"/>
        </w:rPr>
        <w:t xml:space="preserve"> Brandenburg88 and </w:t>
      </w:r>
      <w:r>
        <w:rPr>
          <w:rFonts w:ascii="Times New Roman" w:hAnsi="Times New Roman"/>
          <w:i/>
          <w:iCs/>
        </w:rPr>
        <w:t>E. ferrisi</w:t>
      </w:r>
      <w:r>
        <w:rPr>
          <w:rFonts w:ascii="Times New Roman" w:hAnsi="Times New Roman"/>
        </w:rPr>
        <w:t xml:space="preserve"> Brandenburg64 were produced by a single passage through NMRI mice preceding the reported experiment. Briefly, sporulated oocysts of </w:t>
      </w:r>
      <w:r>
        <w:rPr>
          <w:rFonts w:ascii="Times New Roman" w:hAnsi="Times New Roman"/>
          <w:i/>
          <w:iCs/>
        </w:rPr>
        <w:t>Eimeria</w:t>
      </w:r>
      <w:r>
        <w:rPr>
          <w:rFonts w:ascii="Times New Roman" w:hAnsi="Times New Roman"/>
        </w:rPr>
        <w:t xml:space="preserve"> for each isolate were recovered from faecal samples obtained by trapping individual wild house mice in the federal state of Brandenburg (Germany). The last part of the full name of novel isolates corresponds to a running number used for mice caught during field sampling. The mouse yielding the isola</w:t>
      </w:r>
      <w:r>
        <w:rPr/>
        <w:t xml:space="preserve">te </w:t>
      </w:r>
      <w:r>
        <w:rPr>
          <w:i/>
          <w:iCs/>
        </w:rPr>
        <w:t>E. falciformis</w:t>
      </w:r>
      <w:r>
        <w:rPr/>
        <w:t xml:space="preserve"> Brandenburg88 had been caught at 13.84 52.2678 DD, the mouse yielding </w:t>
      </w:r>
      <w:r>
        <w:rPr>
          <w:i/>
          <w:iCs/>
        </w:rPr>
        <w:t>E. ferrsi</w:t>
      </w:r>
      <w:r>
        <w:rPr/>
        <w:t xml:space="preserve"> Brandenburg64 at 13.4642 52.4164 DD. </w:t>
      </w:r>
    </w:p>
    <w:p>
      <w:pPr>
        <w:pStyle w:val="Normal"/>
        <w:spacing w:lineRule="auto" w:line="360"/>
        <w:jc w:val="both"/>
        <w:rPr/>
      </w:pPr>
      <w:r>
        <w:rPr>
          <w:highlight w:val="white"/>
        </w:rPr>
        <w:t xml:space="preserve">Isolates were identified through amplification and sequence comparison of three genetic markers (small ribosomal subunit 18S, Cytochrome c Oxidase I COI and Open Reading Frame 470 ORF470) </w:t>
      </w:r>
      <w:r>
        <w:rPr>
          <w:color w:val="000000"/>
        </w:rPr>
        <w:t>using primers previously reported (</w:t>
      </w:r>
      <w:r>
        <w:rPr>
          <w:color w:val="000000"/>
          <w:highlight w:val="white"/>
        </w:rPr>
        <w:t>Zhao and Duszynski, 2001; Kvičerová et al., 2008; Ogedengbe et al., 2011).</w:t>
      </w:r>
      <w:r>
        <w:rPr>
          <w:highlight w:val="white"/>
        </w:rPr>
        <w:t xml:space="preserve"> Sequences were generated by LGC (Berlin) based on forward and reverse</w:t>
      </w:r>
      <w:r>
        <w:rPr/>
        <w:t xml:space="preserve"> primers </w:t>
      </w:r>
      <w:r>
        <w:rPr/>
        <w:t>(see section 2.3 for details)</w:t>
      </w:r>
      <w:r>
        <w:rPr/>
        <w:t>,</w:t>
      </w:r>
      <w:r>
        <w:rPr>
          <w:highlight w:val="white"/>
        </w:rPr>
        <w:t xml:space="preserve"> resulting forward and reverse reads were merged to a consensus sequence. Sequences from </w:t>
      </w:r>
      <w:r>
        <w:rPr>
          <w:i/>
          <w:iCs/>
          <w:highlight w:val="white"/>
        </w:rPr>
        <w:t>E. falciformis</w:t>
      </w:r>
      <w:r>
        <w:rPr>
          <w:highlight w:val="white"/>
        </w:rPr>
        <w:t xml:space="preserve"> Brandenburg88 (MH751942, MH755305, MH755336) and </w:t>
      </w:r>
      <w:r>
        <w:rPr>
          <w:i/>
          <w:iCs/>
          <w:highlight w:val="white"/>
        </w:rPr>
        <w:t>E. ferrisi</w:t>
      </w:r>
      <w:r>
        <w:rPr>
          <w:highlight w:val="white"/>
        </w:rPr>
        <w:t xml:space="preserve"> Brandenburg64 (MH751927, MH777469, MH755326) were deposited in the NCBI Genbank.</w:t>
      </w:r>
    </w:p>
    <w:p>
      <w:pPr>
        <w:pStyle w:val="Normal"/>
        <w:spacing w:lineRule="auto" w:line="360"/>
        <w:jc w:val="both"/>
        <w:rPr/>
      </w:pPr>
      <w:r>
        <w:rPr/>
        <w:t xml:space="preserve">From flotations of these faecal samples 300 and 600 oocysts of </w:t>
      </w:r>
      <w:r>
        <w:rPr>
          <w:i/>
          <w:iCs/>
        </w:rPr>
        <w:t xml:space="preserve">E. ferrisi </w:t>
      </w:r>
      <w:r>
        <w:rPr/>
        <w:t xml:space="preserve">Brandenburg64 and </w:t>
      </w:r>
      <w:r>
        <w:rPr>
          <w:i/>
          <w:iCs/>
        </w:rPr>
        <w:t>E. falciformis</w:t>
      </w:r>
      <w:r>
        <w:rPr/>
        <w:t xml:space="preserve"> Brandenburg88, respectively, were inoculated into 16 weeks old female NMRI mice. All mice were reared individually in wire cages in isolation cabinets and provided with food and water </w:t>
      </w:r>
      <w:r>
        <w:rPr>
          <w:i/>
          <w:iCs/>
        </w:rPr>
        <w:t>ad libitum</w:t>
      </w:r>
      <w:r>
        <w:rPr/>
        <w:t xml:space="preserve">. The faeces from those mice were collected daily. Oocysts in faeces were harvested using flotation (see below). Isolated oocysts were then placed in 2% potassium dichromate and incubated at 25 °C for </w:t>
      </w:r>
      <w:commentRangeStart w:id="0"/>
      <w:r>
        <w:rPr/>
        <w:t>1</w:t>
      </w:r>
      <w:r>
        <w:rPr/>
        <w:t>4 days</w:t>
      </w:r>
      <w:r>
        <w:rPr/>
      </w:r>
      <w:commentRangeEnd w:id="0"/>
      <w:r>
        <w:commentReference w:id="0"/>
      </w:r>
      <w:r>
        <w:rPr/>
        <w:t xml:space="preserve"> to permit oocyst sporulation. Sporulated oocysts were examined repeatedly under a light microscope and were then stored at 4 °C for approximately 1 month prior to use. The inoculum of </w:t>
      </w:r>
      <w:r>
        <w:rPr>
          <w:i/>
          <w:iCs/>
        </w:rPr>
        <w:t>E. falciformis</w:t>
      </w:r>
      <w:r>
        <w:rPr/>
        <w:t xml:space="preserve"> BayerHaberkorn1970 was prepared simultaneously using the same protocol. </w:t>
      </w:r>
    </w:p>
    <w:p>
      <w:pPr>
        <w:pStyle w:val="Normal"/>
        <w:spacing w:lineRule="auto" w:line="360"/>
        <w:jc w:val="both"/>
        <w:rPr>
          <w:b/>
          <w:b/>
          <w:bCs/>
        </w:rPr>
      </w:pPr>
      <w:r>
        <w:rPr>
          <w:b/>
          <w:bCs/>
        </w:rPr>
      </w:r>
    </w:p>
    <w:p>
      <w:pPr>
        <w:pStyle w:val="Normal"/>
        <w:spacing w:lineRule="auto" w:line="360"/>
        <w:jc w:val="both"/>
        <w:rPr/>
      </w:pPr>
      <w:r>
        <w:rPr>
          <w:b/>
          <w:bCs/>
        </w:rPr>
        <w:t>2.2.  Infection protocol, oocyst counting and sample collection</w:t>
      </w:r>
    </w:p>
    <w:p>
      <w:pPr>
        <w:pStyle w:val="Normal"/>
        <w:spacing w:lineRule="auto" w:line="360"/>
        <w:jc w:val="both"/>
        <w:rPr/>
      </w:pPr>
      <w:r>
        <w:rPr/>
        <w:t xml:space="preserve">60 female NMRI mice (10 to 12 weeks old) were randomly assigned to one of four groups, including a control group that was not inoculated. Oocyst concentrations were adjusted by counting the total number of oocysts in 10 µl, directly on a standard microscope slide. Using these inocula, 45 mice (15 per group) were inoculated via oral gavage with 0.1 ml of inoculum containing a single dose of 200 sporulated oocysts. </w:t>
      </w:r>
    </w:p>
    <w:p>
      <w:pPr>
        <w:pStyle w:val="Normal"/>
        <w:spacing w:lineRule="auto" w:line="360"/>
        <w:jc w:val="both"/>
        <w:rPr/>
      </w:pPr>
      <w:r>
        <w:rPr/>
        <w:t>Faeces were collected daily, weighted and stored in 2%</w:t>
      </w:r>
      <w:r>
        <w:rPr>
          <w:rFonts w:ascii="Times New Roman" w:hAnsi="Times New Roman"/>
        </w:rPr>
        <w:t xml:space="preserve"> solution of potassium dichromate. For flotation the faecal material was homogenized, centrifuged at 3175g and the pellet was washed with distilled water. Oocysts were recovered from the sediment by 2 successive flotations in saturated NaCl solution each followed by washing. After the last washing 2 ml PBS were added, the pellet was suspended and 10 µl of the solution were loaded into a “Neubauer-improved chamber”. Oocysts were counted in eight grid squares. The number of oocysts per gram faeces was obtained according to the (0.1 µl) volume of one grid square: </w:t>
      </w:r>
      <w:r>
        <w:rPr>
          <w:rFonts w:ascii="Times New Roman" w:hAnsi="Times New Roman"/>
          <w:i/>
          <w:iCs/>
        </w:rPr>
        <w:t>Concentration (oocyst/g) = total #of oocyst / #squares counted *</w:t>
      </w:r>
      <w:r>
        <w:rPr>
          <w:rFonts w:ascii="Times New Roman" w:hAnsi="Times New Roman"/>
        </w:rPr>
        <w:t xml:space="preserve"> </w:t>
      </w:r>
      <w:r>
        <w:rPr>
          <w:rFonts w:ascii="Times New Roman" w:hAnsi="Times New Roman"/>
          <w:i/>
          <w:iCs/>
        </w:rPr>
        <w:t>10.000 ml</w:t>
      </w:r>
      <w:r>
        <w:rPr>
          <w:rFonts w:ascii="Times New Roman" w:hAnsi="Times New Roman"/>
          <w:i/>
          <w:iCs/>
          <w:vertAlign w:val="superscript"/>
        </w:rPr>
        <w:t xml:space="preserve">-1 </w:t>
      </w:r>
      <w:r>
        <w:rPr>
          <w:rFonts w:ascii="Times New Roman" w:hAnsi="Times New Roman"/>
          <w:i/>
          <w:iCs/>
        </w:rPr>
        <w:t>* 2ml / g (faeces).</w:t>
      </w:r>
    </w:p>
    <w:p>
      <w:pPr>
        <w:pStyle w:val="Normal"/>
        <w:spacing w:lineRule="auto" w:line="360"/>
        <w:jc w:val="both"/>
        <w:rPr/>
      </w:pPr>
      <w:r>
        <w:rPr>
          <w:rFonts w:ascii="Times New Roman" w:hAnsi="Times New Roman"/>
        </w:rPr>
        <w:t>During the 11 days of the experiment the body weight of mice was recorded. From each group three mice were sacrificed at 3, 5, 7, 9, and 11 days post infection (dpi). Immediately after death the viscera were exonerated and spleen and caeca removed. Caecal contents were gently removed with physiological NaCl solution and the tissue was cut longitudinally into two pieces. One piece was transferred into a 1.5 ml tube containing RNAlater® (Life Technologies; Carlsbad, USA) and stored for 4 h at 4°C before being transferred to -20 °C. The second piece of caecum tissue was fixed in 4% f</w:t>
      </w:r>
      <w:r>
        <w:rPr>
          <w:rFonts w:ascii="Times New Roman" w:hAnsi="Times New Roman"/>
          <w:color w:val="000000"/>
        </w:rPr>
        <w:t>ormalin and stored at room temperature for histological examination.</w:t>
      </w:r>
    </w:p>
    <w:p>
      <w:pPr>
        <w:pStyle w:val="Normal"/>
        <w:spacing w:lineRule="auto" w:line="360"/>
        <w:jc w:val="both"/>
        <w:rPr/>
      </w:pPr>
      <w:r>
        <w:rPr/>
      </w:r>
    </w:p>
    <w:p>
      <w:pPr>
        <w:pStyle w:val="Normal"/>
        <w:tabs>
          <w:tab w:val="clear" w:pos="720"/>
          <w:tab w:val="left" w:pos="1582" w:leader="none"/>
        </w:tabs>
        <w:spacing w:lineRule="auto" w:line="360"/>
        <w:jc w:val="both"/>
        <w:rPr/>
      </w:pPr>
      <w:r>
        <w:rPr>
          <w:rFonts w:ascii="Times New Roman" w:hAnsi="Times New Roman"/>
          <w:b/>
          <w:bCs/>
        </w:rPr>
        <w:t xml:space="preserve">2.3. Quantification of </w:t>
      </w:r>
      <w:r>
        <w:rPr>
          <w:rFonts w:ascii="Times New Roman" w:hAnsi="Times New Roman"/>
          <w:b/>
          <w:bCs/>
          <w:i/>
          <w:iCs/>
        </w:rPr>
        <w:t xml:space="preserve">Eimeria </w:t>
      </w:r>
      <w:r>
        <w:rPr>
          <w:rFonts w:ascii="Times New Roman" w:hAnsi="Times New Roman"/>
          <w:b/>
          <w:bCs/>
        </w:rPr>
        <w:t>load in caecum tissue</w:t>
      </w:r>
    </w:p>
    <w:p>
      <w:pPr>
        <w:pStyle w:val="Normal"/>
        <w:spacing w:lineRule="auto" w:line="360"/>
        <w:jc w:val="both"/>
        <w:rPr/>
      </w:pPr>
      <w:r>
        <w:rPr>
          <w:rFonts w:ascii="Times New Roman" w:hAnsi="Times New Roman"/>
        </w:rPr>
        <w:t>Frozen caecum tissue was manually homogenized by grinding in liquid nitrogen. Genomic DNA was extracted using innu PREP DNA Mini Kit® (Analytik Jena; Jena, Germany) according to the manufacturer’s protocol incorporating proteinase K digestion. Purified DNA was stored at -20°C.</w:t>
      </w:r>
    </w:p>
    <w:p>
      <w:pPr>
        <w:pStyle w:val="Normal"/>
        <w:spacing w:lineRule="auto" w:line="360"/>
        <w:jc w:val="both"/>
        <w:rPr/>
      </w:pPr>
      <w:r>
        <w:rPr>
          <w:rFonts w:ascii="Times New Roman" w:hAnsi="Times New Roman"/>
        </w:rPr>
        <w:t xml:space="preserve">A Mitochondrial COI fragment of </w:t>
      </w:r>
      <w:r>
        <w:rPr>
          <w:rFonts w:ascii="Times New Roman" w:hAnsi="Times New Roman"/>
          <w:i/>
          <w:iCs/>
        </w:rPr>
        <w:t xml:space="preserve">Eimeria </w:t>
      </w:r>
      <w:r>
        <w:rPr>
          <w:rFonts w:ascii="Times New Roman" w:hAnsi="Times New Roman"/>
        </w:rPr>
        <w:t>spp. was amplified using primers Eim-COI-forward 5’TGTCTATTCACTTGGGCTATTGT3’ and Eim-COI-reverse</w:t>
      </w:r>
      <w:r>
        <w:rPr>
          <w:rFonts w:ascii="Times New Roman" w:hAnsi="Times New Roman"/>
          <w:i/>
          <w:iCs/>
        </w:rPr>
        <w:t xml:space="preserve"> </w:t>
      </w:r>
      <w:r>
        <w:rPr>
          <w:rFonts w:ascii="Times New Roman" w:hAnsi="Times New Roman"/>
        </w:rPr>
        <w:t xml:space="preserve">5’GGATCACCGTTAAATGAGGCA 3’. Host genomic DNA was amplified using a primer pair targeting the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gene: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forward 5’CTCTCCTCCCCTCTGTCTTG3’ and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reverse 5’TCCTTTTGGGTTGAGTTTCC3’. </w:t>
      </w:r>
    </w:p>
    <w:p>
      <w:pPr>
        <w:pStyle w:val="Normal"/>
        <w:spacing w:lineRule="auto" w:line="360"/>
        <w:jc w:val="both"/>
        <w:rPr/>
      </w:pPr>
      <w:r>
        <w:rPr>
          <w:rFonts w:ascii="Times New Roman" w:hAnsi="Times New Roman"/>
          <w:color w:val="000000"/>
        </w:rPr>
        <w:t>DNA samples were added for qPCR to Multiplate™ 96-Well PCR plates (BioRad; Hercules, USA), with reactions performed in duplicate for each sample. Each plate also contained a non template control and a plate control sample (ddH2O).</w:t>
      </w:r>
      <w:r>
        <w:rPr>
          <w:rFonts w:ascii="Times New Roman" w:hAnsi="Times New Roman"/>
        </w:rPr>
        <w:t xml:space="preserve"> The qPCR mixture was prepared using the iQ</w:t>
      </w:r>
      <w:r>
        <w:rPr>
          <w:rFonts w:ascii="Times New Roman" w:hAnsi="Times New Roman"/>
          <w:color w:val="000000"/>
        </w:rPr>
        <w:t xml:space="preserve">™ </w:t>
      </w:r>
      <w:r>
        <w:rPr>
          <w:rFonts w:ascii="Times New Roman" w:hAnsi="Times New Roman"/>
        </w:rPr>
        <w:t xml:space="preserve"> SYBR® Green PCR Kit (Bio-Rad; Hercules, USA): 5 μl of 2X iQ</w:t>
      </w:r>
      <w:r>
        <w:rPr>
          <w:rFonts w:ascii="Times New Roman" w:hAnsi="Times New Roman"/>
          <w:color w:val="000000"/>
        </w:rPr>
        <w:t xml:space="preserve">™ </w:t>
      </w:r>
      <w:r>
        <w:rPr>
          <w:rFonts w:ascii="Times New Roman" w:hAnsi="Times New Roman"/>
        </w:rPr>
        <w:t xml:space="preserve"> SYBR® Green Master Mix, 0.3 μl of 20 μM forward and reverse primers, and 4 μl of 10 ng/μl template DNA. The thermal cycling protocol was set as follows: initial denaturation for 15 min at 95°C, followed by 40 cycles of 15 sec at 95°C, 30 sec annealing at 60°C for Eim-COI primer or 58°C for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30 sec at 68°C and measuring the fluorescence signal at the end of every step.</w:t>
      </w:r>
    </w:p>
    <w:p>
      <w:pPr>
        <w:pStyle w:val="Normal"/>
        <w:spacing w:lineRule="auto" w:line="360"/>
        <w:jc w:val="both"/>
        <w:rPr/>
      </w:pPr>
      <w:r>
        <w:rPr>
          <w:rFonts w:ascii="Times New Roman" w:hAnsi="Times New Roman"/>
        </w:rPr>
        <w:t xml:space="preserve">qPCR amplifications were performed using the Bio-Rad CFX96, Thermalcycler1000 system, which determined the cycle at threshold (Ct) fluorescence. </w:t>
      </w:r>
      <w:r>
        <w:rPr>
          <w:rFonts w:ascii="Times New Roman" w:hAnsi="Times New Roman"/>
          <w:color w:val="000000"/>
        </w:rPr>
        <w:t>To confirm the specificity of the assay,</w:t>
      </w:r>
      <w:r>
        <w:rPr>
          <w:rFonts w:ascii="AdvTT5235d5a9" w:hAnsi="AdvTT5235d5a9"/>
          <w:color w:val="000000"/>
          <w:sz w:val="16"/>
        </w:rPr>
        <w:t xml:space="preserve"> </w:t>
      </w:r>
      <w:r>
        <w:rPr>
          <w:rFonts w:ascii="Times New Roman" w:hAnsi="Times New Roman"/>
          <w:color w:val="000000"/>
        </w:rPr>
        <w:t xml:space="preserve">a melting curve was generated by adding a stepwise temperature increase from of 65.0°C to 95.0°C, with 0.5°C increment </w:t>
      </w:r>
      <w:r>
        <w:rPr>
          <w:rFonts w:ascii="Times New Roman" w:hAnsi="Times New Roman"/>
          <w:color w:val="000000"/>
        </w:rPr>
        <w:t>to the cycles</w:t>
      </w:r>
      <w:r>
        <w:rPr>
          <w:rFonts w:ascii="Times New Roman" w:hAnsi="Times New Roman"/>
          <w:color w:val="000000"/>
        </w:rPr>
        <w:t xml:space="preserve">. </w:t>
      </w:r>
      <w:r>
        <w:rPr>
          <w:rFonts w:ascii="Times New Roman" w:hAnsi="Times New Roman"/>
        </w:rPr>
        <w:t xml:space="preserve">After calculating mean Ct of technical replicates, the abundance of </w:t>
      </w:r>
      <w:r>
        <w:rPr>
          <w:rFonts w:ascii="Times New Roman" w:hAnsi="Times New Roman"/>
          <w:i/>
          <w:iCs/>
        </w:rPr>
        <w:t>Eimeria</w:t>
      </w:r>
      <w:r>
        <w:rPr>
          <w:rFonts w:ascii="Times New Roman" w:hAnsi="Times New Roman"/>
        </w:rPr>
        <w:t xml:space="preserve"> relative to host DNA was estimated as the </w:t>
      </w:r>
      <w:r>
        <w:rPr>
          <w:rFonts w:ascii="Times New Roman" w:hAnsi="Times New Roman"/>
          <w:color w:val="000000"/>
        </w:rPr>
        <w:t xml:space="preserve">∆Ct between mouse and parasite DNA. This is equivalent to a </w:t>
      </w:r>
      <w:r>
        <w:rPr>
          <w:rFonts w:ascii="Times New Roman" w:hAnsi="Times New Roman"/>
        </w:rPr>
        <w:t>log(2)-ratio between mouse host (</w:t>
      </w:r>
      <w:r>
        <w:rPr>
          <w:rFonts w:ascii="Times New Roman" w:hAnsi="Times New Roman"/>
          <w:i/>
          <w:iCs/>
        </w:rPr>
        <w:t>Mus</w:t>
      </w:r>
      <w:r>
        <w:rPr>
          <w:rFonts w:ascii="Times New Roman" w:hAnsi="Times New Roman"/>
        </w:rPr>
        <w:t>-</w:t>
      </w:r>
      <w:r>
        <w:rPr>
          <w:rFonts w:ascii="Times New Roman" w:hAnsi="Times New Roman"/>
          <w:i/>
          <w:iCs/>
        </w:rPr>
        <w:t>cdc42</w:t>
      </w:r>
      <w:r>
        <w:rPr>
          <w:rFonts w:ascii="Times New Roman" w:hAnsi="Times New Roman"/>
        </w:rPr>
        <w:t xml:space="preserve">) and </w:t>
      </w:r>
      <w:r>
        <w:rPr>
          <w:rFonts w:ascii="Times New Roman" w:hAnsi="Times New Roman"/>
          <w:i/>
          <w:iCs/>
        </w:rPr>
        <w:t>Eimeria</w:t>
      </w:r>
      <w:r>
        <w:rPr>
          <w:rFonts w:ascii="Times New Roman" w:hAnsi="Times New Roman"/>
        </w:rPr>
        <w:t xml:space="preserve"> parasite (Eim-COI) DNA copies. </w:t>
      </w:r>
      <w:commentRangeStart w:id="1"/>
      <w:r>
        <w:rPr>
          <w:rFonts w:ascii="Times New Roman" w:hAnsi="Times New Roman"/>
          <w:highlight w:val="yellow"/>
        </w:rPr>
        <w:t>The number of copies w</w:t>
      </w:r>
      <w:r>
        <w:rPr>
          <w:rFonts w:ascii="Times New Roman" w:hAnsi="Times New Roman"/>
          <w:highlight w:val="yellow"/>
        </w:rPr>
        <w:t>as</w:t>
      </w:r>
      <w:r>
        <w:rPr>
          <w:rFonts w:ascii="Times New Roman" w:hAnsi="Times New Roman"/>
          <w:highlight w:val="yellow"/>
        </w:rPr>
        <w:t xml:space="preserve"> calculated by taking the antilog for some examples in the text. </w:t>
      </w:r>
      <w:commentRangeEnd w:id="1"/>
      <w:r>
        <w:commentReference w:id="1"/>
      </w:r>
      <w:r>
        <w:rPr>
          <w:rFonts w:ascii="Times New Roman" w:hAnsi="Times New Roman"/>
          <w:highlight w:val="yellow"/>
        </w:rPr>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2.4. RNA extractions and reverse transcription</w:t>
      </w:r>
    </w:p>
    <w:p>
      <w:pPr>
        <w:pStyle w:val="Normal"/>
        <w:spacing w:lineRule="auto" w:line="360"/>
        <w:jc w:val="both"/>
        <w:rPr/>
      </w:pPr>
      <w:r>
        <w:rPr>
          <w:rFonts w:ascii="Times New Roman" w:hAnsi="Times New Roman"/>
          <w:color w:val="000000"/>
        </w:rPr>
        <w:t>Frozen tissue was homogenized by grinding in liquid nitrogen. Total RNA was isolated using the PureLink™ RNA Mini Kit (</w:t>
      </w:r>
      <w:hyperlink r:id="rId6">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r>
        <w:rPr>
          <w:rFonts w:ascii="Times New Roman" w:hAnsi="Times New Roman"/>
          <w:color w:val="000000"/>
        </w:rPr>
        <w:t>). Briefly, frozen homogenized sample was transferred with a sterile scalpel blade into tubes with 1ml lysis solution with 1% 2-</w:t>
      </w:r>
      <w:r>
        <w:rPr>
          <w:rStyle w:val="Emphasis"/>
          <w:rFonts w:ascii="Times New Roman" w:hAnsi="Times New Roman"/>
          <w:i w:val="false"/>
          <w:iCs w:val="false"/>
          <w:color w:val="000000"/>
        </w:rPr>
        <w:t xml:space="preserve">Mercaptoethanol </w:t>
      </w:r>
      <w:r>
        <w:rPr>
          <w:rFonts w:ascii="Times New Roman" w:hAnsi="Times New Roman"/>
          <w:color w:val="000000"/>
        </w:rPr>
        <w:t xml:space="preserve">and </w:t>
      </w:r>
      <w:r>
        <w:rPr>
          <w:rFonts w:ascii="Times New Roman" w:hAnsi="Times New Roman"/>
        </w:rPr>
        <w:t xml:space="preserve">1.4 mm zirconium oxide beads (Peqlab GmbH, Erlangen, Germany). Samples were homogenized at room temperature using a Precellys® 24 tissue homogenizer (VWR; Radnor, USA) twice at 6,000 rpm for 20 sec interrupted by a 30 sec cooling break. Samples were centrifuged for 1 min at maximum speed (13,400 rpm) to eliminate foam. Supernatant was collected and mixed at a 1:1 ratio with 70% Ethanol. Afterwards, 600 µl of the mixture was added on a spin filter and centrifuged at 13,400 rpm for 30 sec. On-column DNase digestion was performed using </w:t>
      </w:r>
      <w:r>
        <w:rPr>
          <w:rStyle w:val="Emphasis"/>
          <w:rFonts w:ascii="Times New Roman" w:hAnsi="Times New Roman"/>
          <w:i w:val="false"/>
          <w:iCs w:val="false"/>
        </w:rPr>
        <w:t>PureLink DNase (</w:t>
      </w:r>
      <w:hyperlink r:id="rId7">
        <w:bookmarkStart w:id="12" w:name="__DdeLink__2637_3053756613"/>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bookmarkEnd w:id="12"/>
      <w:r>
        <w:rPr>
          <w:rFonts w:ascii="Times New Roman" w:hAnsi="Times New Roman"/>
          <w:color w:val="000000"/>
        </w:rPr>
        <w:t xml:space="preserve">) according to the manufacturer protocol. Column </w:t>
      </w:r>
      <w:r>
        <w:rPr>
          <w:rFonts w:ascii="Times New Roman" w:hAnsi="Times New Roman"/>
        </w:rPr>
        <w:t>washing and elution was preformed as indicated by the manufacturer. The yield of RNA extraction was measured using the Nanodrop 2000 (</w:t>
      </w:r>
      <w:hyperlink r:id="rId8">
        <w:r>
          <w:rPr>
            <w:rStyle w:val="InternetLink"/>
            <w:rFonts w:ascii="Times New Roman" w:hAnsi="Times New Roman"/>
            <w:color w:val="000000"/>
            <w:u w:val="none"/>
          </w:rPr>
          <w:t>Thermo Fisher Scientific</w:t>
        </w:r>
      </w:hyperlink>
      <w:r>
        <w:rPr>
          <w:rStyle w:val="InternetLink"/>
          <w:rFonts w:ascii="Times New Roman" w:hAnsi="Times New Roman"/>
          <w:color w:val="000000"/>
          <w:u w:val="none"/>
        </w:rPr>
        <w:t>, Waltham, USA).</w:t>
      </w:r>
    </w:p>
    <w:p>
      <w:pPr>
        <w:pStyle w:val="Normal"/>
        <w:spacing w:lineRule="auto" w:line="360"/>
        <w:jc w:val="both"/>
        <w:rPr/>
      </w:pPr>
      <w:r>
        <w:rPr>
          <w:rFonts w:ascii="Times New Roman" w:hAnsi="Times New Roman"/>
        </w:rPr>
        <w:t xml:space="preserve">Synthesis of complementary DNA (cDNA) was performed using the RevertAid H Minus First Strand cDNA Synthesis Kit (Thermo Fisher Scientific, Waltham, USA) with engineered RevertAid™ H Minus M-MuLV Reverse Transcriptase (200 U/µl). Nuclease-free water and 2 µl Oligo (dT)18 primers (100 µM, 0.5 µg/µl) were added to 1 µg template RNA to a total volume of 22 µl. Denaturation of potential secondary structures was achieved by heating the mixture to 65°C for 5 min using the 2720 Thermal Cycler (Applied Biosystems; Foster City, USA) and cooling on ice afterwards to prevent renaturation. </w:t>
      </w:r>
    </w:p>
    <w:p>
      <w:pPr>
        <w:pStyle w:val="Normal"/>
        <w:spacing w:lineRule="auto" w:line="360"/>
        <w:jc w:val="both"/>
        <w:rPr/>
      </w:pPr>
      <w:r>
        <w:rPr>
          <w:rFonts w:ascii="Times New Roman" w:hAnsi="Times New Roman"/>
        </w:rPr>
        <w:t xml:space="preserve">Reverse transcription was carried out according to the manufacturer protocol. </w:t>
      </w:r>
      <w:r>
        <w:rPr>
          <w:rFonts w:ascii="Times New Roman" w:hAnsi="Times New Roman"/>
        </w:rPr>
        <w:t>Excess lysates, RNA and cDNA were stored at -80</w:t>
      </w:r>
      <w:r>
        <w:rPr>
          <w:rFonts w:eastAsia="Times New Roman" w:cs="Times New Roman" w:ascii="Times New Roman" w:hAnsi="Times New Roman"/>
        </w:rPr>
        <w:t>℃</w:t>
      </w:r>
      <w:r>
        <w:rPr>
          <w:rFonts w:eastAsia="SimSun" w:cs="Lucida Sans" w:ascii="Times New Roman" w:hAnsi="Times New Roman"/>
        </w:rPr>
        <w:t>.</w:t>
      </w:r>
    </w:p>
    <w:p>
      <w:pPr>
        <w:pStyle w:val="Normal"/>
        <w:spacing w:lineRule="auto" w:line="360"/>
        <w:jc w:val="both"/>
        <w:rPr>
          <w:rFonts w:ascii="Times New Roman" w:hAnsi="Times New Roman"/>
          <w:b/>
          <w:b/>
          <w:bCs/>
          <w:color w:val="000000"/>
        </w:rPr>
      </w:pPr>
      <w:r>
        <w:rPr>
          <w:rFonts w:ascii="Times New Roman" w:hAnsi="Times New Roman"/>
          <w:b/>
          <w:bCs/>
          <w:color w:val="000000"/>
        </w:rPr>
      </w:r>
    </w:p>
    <w:p>
      <w:pPr>
        <w:pStyle w:val="Normal"/>
        <w:spacing w:lineRule="auto" w:line="360"/>
        <w:jc w:val="both"/>
        <w:rPr/>
      </w:pPr>
      <w:r>
        <w:rPr>
          <w:rFonts w:ascii="Times New Roman" w:hAnsi="Times New Roman"/>
          <w:b/>
          <w:bCs/>
          <w:color w:val="000000"/>
        </w:rPr>
        <w:t>2.5. Gene expression quantification</w:t>
      </w:r>
    </w:p>
    <w:p>
      <w:pPr>
        <w:pStyle w:val="Normal"/>
        <w:spacing w:lineRule="auto" w:line="360"/>
        <w:jc w:val="both"/>
        <w:rPr/>
      </w:pPr>
      <w:r>
        <w:rPr>
          <w:rFonts w:ascii="Times New Roman" w:hAnsi="Times New Roman"/>
          <w:color w:val="000000"/>
        </w:rPr>
        <w:t xml:space="preserve">We measured the mRNA expression levels of seven target genes: </w:t>
      </w:r>
      <w:r>
        <w:rPr>
          <w:rFonts w:ascii="Times New Roman" w:hAnsi="Times New Roman"/>
          <w:i/>
          <w:iCs/>
          <w:color w:val="000000"/>
        </w:rPr>
        <w:t>CxCL9</w:t>
      </w:r>
      <w:r>
        <w:rPr>
          <w:rFonts w:ascii="Times New Roman" w:hAnsi="Times New Roman"/>
          <w:color w:val="000000"/>
        </w:rPr>
        <w:t xml:space="preserve">, </w:t>
      </w:r>
      <w:r>
        <w:rPr>
          <w:rFonts w:ascii="Times New Roman" w:hAnsi="Times New Roman"/>
          <w:i/>
          <w:iCs/>
          <w:color w:val="000000"/>
        </w:rPr>
        <w:t>Il-10</w:t>
      </w:r>
      <w:r>
        <w:rPr>
          <w:rFonts w:ascii="Times New Roman" w:hAnsi="Times New Roman"/>
          <w:color w:val="000000"/>
        </w:rPr>
        <w:t xml:space="preserve">, </w:t>
      </w:r>
      <w:r>
        <w:rPr>
          <w:rFonts w:ascii="Times New Roman" w:hAnsi="Times New Roman"/>
          <w:i/>
          <w:iCs/>
          <w:color w:val="000000"/>
        </w:rPr>
        <w:t>Il-12</w:t>
      </w:r>
      <w:r>
        <w:rPr>
          <w:rFonts w:ascii="Times New Roman" w:hAnsi="Times New Roman"/>
          <w:color w:val="000000"/>
        </w:rPr>
        <w:t xml:space="preserve">, </w:t>
      </w:r>
      <w:r>
        <w:rPr>
          <w:rFonts w:ascii="Times New Roman" w:hAnsi="Times New Roman"/>
          <w:i/>
          <w:iCs/>
          <w:color w:val="000000"/>
        </w:rPr>
        <w:t>T</w:t>
      </w:r>
      <w:r>
        <w:rPr>
          <w:rFonts w:ascii="Times New Roman" w:hAnsi="Times New Roman"/>
          <w:i/>
          <w:iCs/>
          <w:color w:val="000000"/>
        </w:rPr>
        <w:t>GF</w:t>
      </w:r>
      <w:r>
        <w:rPr>
          <w:rFonts w:ascii="Times New Roman" w:hAnsi="Times New Roman"/>
          <w:i/>
          <w:iCs/>
          <w:color w:val="000000"/>
        </w:rPr>
        <w:t>-β</w:t>
      </w:r>
      <w:r>
        <w:rPr>
          <w:rFonts w:ascii="Times New Roman" w:hAnsi="Times New Roman"/>
          <w:color w:val="000000"/>
        </w:rPr>
        <w:t xml:space="preserve">, </w:t>
      </w:r>
      <w:r>
        <w:rPr>
          <w:rFonts w:ascii="Times New Roman" w:hAnsi="Times New Roman"/>
          <w:i/>
          <w:iCs/>
          <w:color w:val="000000"/>
        </w:rPr>
        <w:t>S</w:t>
      </w:r>
      <w:r>
        <w:rPr>
          <w:rFonts w:ascii="Times New Roman" w:hAnsi="Times New Roman"/>
          <w:i/>
          <w:iCs/>
          <w:color w:val="000000"/>
        </w:rPr>
        <w:t>TAT</w:t>
      </w:r>
      <w:r>
        <w:rPr>
          <w:rFonts w:ascii="Times New Roman" w:hAnsi="Times New Roman"/>
          <w:i/>
          <w:iCs/>
          <w:color w:val="000000"/>
        </w:rPr>
        <w:t>6</w:t>
      </w:r>
      <w:r>
        <w:rPr>
          <w:rFonts w:ascii="Times New Roman" w:hAnsi="Times New Roman"/>
          <w:color w:val="000000"/>
        </w:rPr>
        <w:t xml:space="preserve">, </w:t>
      </w:r>
      <w:r>
        <w:rPr>
          <w:rFonts w:ascii="Times New Roman" w:hAnsi="Times New Roman"/>
          <w:i/>
          <w:iCs/>
          <w:color w:val="000000"/>
        </w:rPr>
        <w:t>Il-6 and I</w:t>
      </w:r>
      <w:r>
        <w:rPr>
          <w:rFonts w:ascii="Times New Roman" w:hAnsi="Times New Roman"/>
          <w:i/>
          <w:iCs/>
          <w:color w:val="000000"/>
        </w:rPr>
        <w:t>NF-</w:t>
      </w:r>
      <w:r>
        <w:rPr>
          <w:rFonts w:ascii="Times New Roman" w:hAnsi="Times New Roman"/>
          <w:i/>
          <w:iCs/>
          <w:color w:val="000000"/>
        </w:rPr>
        <w:t xml:space="preserve">γ. Cdc42, Ppia </w:t>
      </w:r>
      <w:r>
        <w:rPr>
          <w:rFonts w:ascii="Times New Roman" w:hAnsi="Times New Roman"/>
          <w:i w:val="false"/>
          <w:iCs w:val="false"/>
          <w:color w:val="000000"/>
        </w:rPr>
        <w:t>and</w:t>
      </w:r>
      <w:r>
        <w:rPr>
          <w:rFonts w:ascii="Times New Roman" w:hAnsi="Times New Roman"/>
          <w:i/>
          <w:iCs/>
          <w:color w:val="000000"/>
        </w:rPr>
        <w:t xml:space="preserve"> Ppip</w:t>
      </w:r>
      <w:r>
        <w:rPr>
          <w:rFonts w:ascii="Times New Roman" w:hAnsi="Times New Roman"/>
          <w:i w:val="false"/>
          <w:iCs w:val="false"/>
          <w:color w:val="000000"/>
        </w:rPr>
        <w:t xml:space="preserve"> were confirmed to be suitable as reference genes using 16 randomly selected cDNA samples in an analysis of mRNA expression stability (Axtner and Sommer, 2009; Weyrich et al., 2010) performed in qbase+ (Biogazelle; Zwijnaarde, Belgium) as implemented in the Bio-Rad CFX96 Thermalcycler1000.</w:t>
      </w:r>
      <w:r>
        <w:rPr>
          <w:rFonts w:ascii="Times New Roman" w:hAnsi="Times New Roman"/>
          <w:i/>
          <w:iCs/>
          <w:color w:val="000000"/>
        </w:rPr>
        <w:t xml:space="preserve"> </w:t>
      </w:r>
      <w:r>
        <w:rPr>
          <w:rFonts w:ascii="Times New Roman" w:hAnsi="Times New Roman"/>
          <w:i w:val="false"/>
          <w:iCs w:val="false"/>
          <w:color w:val="000000"/>
        </w:rPr>
        <w:t>Respective p</w:t>
      </w:r>
      <w:r>
        <w:rPr>
          <w:rFonts w:ascii="Times New Roman" w:hAnsi="Times New Roman"/>
          <w:color w:val="000000"/>
        </w:rPr>
        <w:t xml:space="preserve">rimers are given in Table 1. </w:t>
      </w:r>
      <w:r>
        <w:rPr>
          <w:rFonts w:ascii="Times New Roman" w:hAnsi="Times New Roman"/>
          <w:color w:val="000000"/>
        </w:rPr>
        <w:t>All cDNA samples were standardized to 1 μg/μl by adding corresponding amount of molecular grade water, and stored at -20</w:t>
      </w:r>
      <w:r>
        <w:rPr>
          <w:rFonts w:eastAsia="Times New Roman" w:cs="Times New Roman" w:ascii="Times New Roman" w:hAnsi="Times New Roman"/>
          <w:color w:val="000000"/>
        </w:rPr>
        <w:t xml:space="preserve">℃ </w:t>
      </w:r>
      <w:r>
        <w:rPr>
          <w:rFonts w:eastAsia="Times New Roman" w:cs="Times New Roman" w:ascii="Times New Roman" w:hAnsi="Times New Roman"/>
          <w:color w:val="000000"/>
        </w:rPr>
        <w:t>until used.</w:t>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Table 1: Primer-pairs used for </w:t>
      </w:r>
      <w:r>
        <w:rPr>
          <w:rFonts w:ascii="Times New Roman" w:hAnsi="Times New Roman"/>
          <w:color w:val="000000"/>
        </w:rPr>
        <w:t>RT-</w:t>
      </w:r>
      <w:r>
        <w:rPr>
          <w:rFonts w:ascii="Times New Roman" w:hAnsi="Times New Roman"/>
          <w:color w:val="000000"/>
        </w:rPr>
        <w:t>qPCR analysis of gene expression.</w:t>
      </w:r>
    </w:p>
    <w:tbl>
      <w:tblPr>
        <w:tblW w:w="10035" w:type="dxa"/>
        <w:jc w:val="left"/>
        <w:tblInd w:w="116" w:type="dxa"/>
        <w:tblCellMar>
          <w:top w:w="55" w:type="dxa"/>
          <w:left w:w="50" w:type="dxa"/>
          <w:bottom w:w="55" w:type="dxa"/>
          <w:right w:w="55" w:type="dxa"/>
        </w:tblCellMar>
        <w:tblLook w:firstRow="1" w:noVBand="1" w:lastRow="0" w:firstColumn="1" w:lastColumn="0" w:noHBand="0" w:val="04a0"/>
      </w:tblPr>
      <w:tblGrid>
        <w:gridCol w:w="1471"/>
        <w:gridCol w:w="4140"/>
        <w:gridCol w:w="1875"/>
        <w:gridCol w:w="2548"/>
      </w:tblGrid>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Gene</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Primer Sequence (5´- 3´)</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Amplicon size(nt)</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 xml:space="preserve">Source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CDC42-R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CTCTCCTCCCCTCTGTCTTG</w:t>
            </w:r>
          </w:p>
          <w:p>
            <w:pPr>
              <w:pStyle w:val="TableContents"/>
              <w:spacing w:lineRule="auto" w:line="360"/>
              <w:jc w:val="both"/>
              <w:rPr/>
            </w:pPr>
            <w:r>
              <w:rPr>
                <w:rFonts w:ascii="Times New Roman" w:hAnsi="Times New Roman"/>
                <w:color w:val="000000"/>
              </w:rPr>
              <w:t xml:space="preserve"> </w:t>
            </w:r>
            <w:r>
              <w:rPr>
                <w:rFonts w:ascii="Times New Roman" w:hAnsi="Times New Roman"/>
                <w:color w:val="000000"/>
              </w:rPr>
              <w:t>TCCTTTTGGGTTGAGTTTCC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96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Ppia-R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ACCGTGTTCTTCGACATCAC</w:t>
            </w:r>
          </w:p>
          <w:p>
            <w:pPr>
              <w:pStyle w:val="TableContents"/>
              <w:spacing w:lineRule="auto" w:line="360"/>
              <w:jc w:val="both"/>
              <w:rPr/>
            </w:pPr>
            <w:r>
              <w:rPr>
                <w:rFonts w:ascii="Times New Roman" w:hAnsi="Times New Roman"/>
                <w:color w:val="000000"/>
              </w:rPr>
              <w:t>ATGGCGTGTAAAGTCACCAC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198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This study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Ppib-R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CAAAGACACCAATGGCTCAC</w:t>
            </w:r>
          </w:p>
          <w:p>
            <w:pPr>
              <w:pStyle w:val="TableContents"/>
              <w:spacing w:lineRule="auto" w:line="360"/>
              <w:jc w:val="both"/>
              <w:rPr/>
            </w:pPr>
            <w:r>
              <w:rPr>
                <w:rFonts w:ascii="Times New Roman" w:hAnsi="Times New Roman"/>
                <w:color w:val="000000"/>
              </w:rPr>
              <w:t>TGACATCCTTCAGTGGCTTG</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161</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Normal"/>
              <w:spacing w:lineRule="auto" w:line="360"/>
              <w:jc w:val="both"/>
              <w:rPr/>
            </w:pPr>
            <w:r>
              <w:rPr>
                <w:rFonts w:ascii="Times New Roman" w:hAnsi="Times New Roman"/>
                <w:color w:val="000000"/>
              </w:rPr>
              <w:t xml:space="preserve">Ehret et al., 2017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IFNg-R</w:t>
            </w:r>
          </w:p>
        </w:tc>
        <w:tc>
          <w:tcPr>
            <w:tcW w:w="4140"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 xml:space="preserve">ACAGCAAGGCGAAAAAGGATG </w:t>
            </w:r>
          </w:p>
          <w:p>
            <w:pPr>
              <w:pStyle w:val="TableContents"/>
              <w:spacing w:lineRule="auto" w:line="360"/>
              <w:jc w:val="both"/>
              <w:rPr/>
            </w:pPr>
            <w:r>
              <w:rPr>
                <w:rFonts w:ascii="Times New Roman" w:hAnsi="Times New Roman"/>
                <w:color w:val="000000"/>
              </w:rPr>
              <w:t xml:space="preserve">TGGTGGACCACTCGGATGA </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 xml:space="preserve">ID 145966741c2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IL6-F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IL6-R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TAGTCCTTCCTACCCCAATTTCC </w:t>
            </w:r>
          </w:p>
          <w:p>
            <w:pPr>
              <w:pStyle w:val="Normal"/>
              <w:spacing w:lineRule="auto" w:line="360"/>
              <w:jc w:val="both"/>
              <w:rPr/>
            </w:pPr>
            <w:r>
              <w:rPr>
                <w:rFonts w:ascii="Times New Roman" w:hAnsi="Times New Roman"/>
                <w:color w:val="000000"/>
              </w:rPr>
              <w:t>TTGGTCCTTAGCCACTCCTTC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ID 13624311a1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IL10-R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CCCATTCCTCGTCACGATCTC</w:t>
            </w:r>
          </w:p>
          <w:p>
            <w:pPr>
              <w:pStyle w:val="Normal"/>
              <w:spacing w:lineRule="auto" w:line="360"/>
              <w:jc w:val="both"/>
              <w:rPr/>
            </w:pPr>
            <w:r>
              <w:rPr>
                <w:rFonts w:ascii="Times New Roman" w:hAnsi="Times New Roman"/>
                <w:color w:val="000000"/>
              </w:rPr>
              <w:t>TCAGACTGGTTTGGGATAGGTTT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110</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6680389a1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IL12-R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ATGGCTGCTGCGTTGAGAA</w:t>
            </w:r>
          </w:p>
          <w:p>
            <w:pPr>
              <w:pStyle w:val="Normal"/>
              <w:spacing w:lineRule="auto" w:line="360"/>
              <w:jc w:val="both"/>
              <w:rPr/>
            </w:pPr>
            <w:r>
              <w:rPr>
                <w:rFonts w:ascii="Times New Roman" w:hAnsi="Times New Roman"/>
                <w:color w:val="000000"/>
              </w:rPr>
              <w:t>AGCACTCATAGTCTGTCTTGGA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108</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 xml:space="preserve">Primer Bank </w:t>
            </w:r>
          </w:p>
          <w:p>
            <w:pPr>
              <w:pStyle w:val="TableContents"/>
              <w:spacing w:lineRule="auto" w:line="360"/>
              <w:jc w:val="both"/>
              <w:rPr/>
            </w:pPr>
            <w:r>
              <w:rPr>
                <w:rFonts w:ascii="Times New Roman" w:hAnsi="Times New Roman"/>
                <w:color w:val="000000"/>
              </w:rPr>
              <w:t>ID 6680399a1</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TGFb-F</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TGFb-R</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 xml:space="preserve">TACGTCAGACATTCGGGAAGCAGT </w:t>
            </w:r>
          </w:p>
          <w:p>
            <w:pPr>
              <w:pStyle w:val="Normal"/>
              <w:spacing w:lineRule="auto" w:line="360"/>
              <w:jc w:val="both"/>
              <w:rPr/>
            </w:pPr>
            <w:r>
              <w:rPr>
                <w:rFonts w:ascii="Times New Roman" w:hAnsi="Times New Roman"/>
                <w:color w:val="000000"/>
              </w:rPr>
              <w:t>AAAGACAGCCACTCAGGCGTATCA</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186</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This study</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CXCL9</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GGAGTTCGAGGAACCCTAGTG</w:t>
            </w:r>
          </w:p>
          <w:p>
            <w:pPr>
              <w:pStyle w:val="Normal"/>
              <w:spacing w:lineRule="auto" w:line="360"/>
              <w:jc w:val="both"/>
              <w:rPr/>
            </w:pPr>
            <w:r>
              <w:rPr>
                <w:rFonts w:ascii="Times New Roman" w:hAnsi="Times New Roman"/>
                <w:color w:val="000000"/>
              </w:rPr>
              <w:t>GGGATTTGTAGTGGATCGTGC</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82</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162287427c1 </w:t>
            </w:r>
          </w:p>
        </w:tc>
      </w:tr>
      <w:tr>
        <w:trPr/>
        <w:tc>
          <w:tcPr>
            <w:tcW w:w="1471"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STAT6</w:t>
            </w:r>
          </w:p>
          <w:p>
            <w:pPr>
              <w:pStyle w:val="TableContents"/>
              <w:spacing w:lineRule="auto" w:line="360"/>
              <w:jc w:val="both"/>
              <w:rPr/>
            </w:pPr>
            <w:r>
              <w:rPr>
                <w:rFonts w:ascii="Times New Roman" w:hAnsi="Times New Roman"/>
                <w:i/>
                <w:iCs/>
                <w:color w:val="000000"/>
              </w:rPr>
              <w:t>Mm</w:t>
            </w:r>
            <w:r>
              <w:rPr>
                <w:rFonts w:ascii="Times New Roman" w:hAnsi="Times New Roman"/>
                <w:color w:val="000000"/>
              </w:rPr>
              <w:t>STAT</w:t>
            </w:r>
            <w:r>
              <w:rPr>
                <w:rFonts w:ascii="Times New Roman" w:hAnsi="Times New Roman"/>
                <w:i/>
                <w:iCs/>
                <w:color w:val="000000"/>
              </w:rPr>
              <w:t>6</w:t>
            </w:r>
          </w:p>
        </w:tc>
        <w:tc>
          <w:tcPr>
            <w:tcW w:w="4140" w:type="dxa"/>
            <w:tcBorders>
              <w:top w:val="single" w:sz="4" w:space="0" w:color="000001"/>
              <w:left w:val="single" w:sz="4" w:space="0" w:color="000001"/>
              <w:bottom w:val="single" w:sz="4" w:space="0" w:color="000001"/>
            </w:tcBorders>
            <w:shd w:fill="auto" w:val="clear"/>
          </w:tcPr>
          <w:p>
            <w:pPr>
              <w:pStyle w:val="Normal"/>
              <w:spacing w:lineRule="auto" w:line="360"/>
              <w:jc w:val="both"/>
              <w:rPr/>
            </w:pPr>
            <w:r>
              <w:rPr>
                <w:rFonts w:ascii="Times New Roman" w:hAnsi="Times New Roman"/>
                <w:color w:val="000000"/>
              </w:rPr>
              <w:t>CTCTGTGGGGCCTAATTTCCA</w:t>
            </w:r>
          </w:p>
          <w:p>
            <w:pPr>
              <w:pStyle w:val="Normal"/>
              <w:spacing w:lineRule="auto" w:line="360"/>
              <w:jc w:val="both"/>
              <w:rPr/>
            </w:pPr>
            <w:r>
              <w:rPr>
                <w:rFonts w:ascii="Times New Roman" w:hAnsi="Times New Roman"/>
                <w:color w:val="000000"/>
              </w:rPr>
              <w:t>CATCTGAACCGACCAGGAACT</w:t>
            </w:r>
          </w:p>
        </w:tc>
        <w:tc>
          <w:tcPr>
            <w:tcW w:w="1875" w:type="dxa"/>
            <w:tcBorders>
              <w:top w:val="single" w:sz="4" w:space="0" w:color="000001"/>
              <w:left w:val="single" w:sz="4" w:space="0" w:color="000001"/>
              <w:bottom w:val="single" w:sz="4" w:space="0" w:color="000001"/>
            </w:tcBorders>
            <w:shd w:fill="auto" w:val="clear"/>
          </w:tcPr>
          <w:p>
            <w:pPr>
              <w:pStyle w:val="TableContents"/>
              <w:spacing w:lineRule="auto" w:line="360"/>
              <w:jc w:val="both"/>
              <w:rPr/>
            </w:pPr>
            <w:r>
              <w:rPr>
                <w:rFonts w:ascii="Times New Roman" w:hAnsi="Times New Roman"/>
                <w:color w:val="000000"/>
              </w:rPr>
              <w:t>135</w:t>
            </w:r>
          </w:p>
        </w:tc>
        <w:tc>
          <w:tcPr>
            <w:tcW w:w="2548" w:type="dxa"/>
            <w:tcBorders>
              <w:top w:val="single" w:sz="4" w:space="0" w:color="000001"/>
              <w:left w:val="single" w:sz="4" w:space="0" w:color="000001"/>
              <w:bottom w:val="single" w:sz="4" w:space="0" w:color="000001"/>
              <w:right w:val="single" w:sz="4" w:space="0" w:color="000001"/>
            </w:tcBorders>
            <w:shd w:fill="auto" w:val="clear"/>
          </w:tcPr>
          <w:p>
            <w:pPr>
              <w:pStyle w:val="TableContents"/>
              <w:spacing w:lineRule="auto" w:line="360"/>
              <w:jc w:val="both"/>
              <w:rPr/>
            </w:pPr>
            <w:r>
              <w:rPr>
                <w:rFonts w:ascii="Times New Roman" w:hAnsi="Times New Roman"/>
                <w:color w:val="000000"/>
              </w:rPr>
              <w:t>Primer Bank</w:t>
            </w:r>
          </w:p>
          <w:p>
            <w:pPr>
              <w:pStyle w:val="TableContents"/>
              <w:spacing w:lineRule="auto" w:line="360"/>
              <w:jc w:val="both"/>
              <w:rPr/>
            </w:pPr>
            <w:r>
              <w:rPr>
                <w:rFonts w:ascii="Times New Roman" w:hAnsi="Times New Roman"/>
                <w:color w:val="000000"/>
              </w:rPr>
              <w:t xml:space="preserve">ID 6678155a1 </w:t>
            </w:r>
          </w:p>
        </w:tc>
      </w:tr>
    </w:tbl>
    <w:p>
      <w:pPr>
        <w:pStyle w:val="Normal"/>
        <w:spacing w:lineRule="auto" w:line="360"/>
        <w:jc w:val="both"/>
        <w:rPr>
          <w:rFonts w:ascii="Times New Roman" w:hAnsi="Times New Roman"/>
          <w:color w:val="000000"/>
        </w:rPr>
      </w:pPr>
      <w:r>
        <w:rPr>
          <w:rFonts w:ascii="Times New Roman" w:hAnsi="Times New Roman"/>
          <w:color w:val="000000"/>
        </w:rPr>
      </w:r>
    </w:p>
    <w:p>
      <w:pPr>
        <w:pStyle w:val="Normal"/>
        <w:spacing w:lineRule="auto" w:line="360"/>
        <w:jc w:val="both"/>
        <w:rPr/>
      </w:pPr>
      <w:r>
        <w:rPr>
          <w:rFonts w:ascii="Times New Roman" w:hAnsi="Times New Roman"/>
          <w:color w:val="000000"/>
        </w:rPr>
        <w:t xml:space="preserve">cDNA samples were split between PCR plates (Multiplate™ 96-Well, Bio-Rad; Hercules, USA) with reactions performed in duplicate for each sample. If the standard deviation of Ct values between duplicates was &gt; 0.4, reactions for corresponding samples were repeated (as described in Weyrich et al., 2010). Each plate contained a non-template control sample. </w:t>
      </w:r>
    </w:p>
    <w:p>
      <w:pPr>
        <w:pStyle w:val="Normal"/>
        <w:spacing w:lineRule="auto" w:line="360"/>
        <w:jc w:val="both"/>
        <w:rPr/>
      </w:pPr>
      <w:r>
        <w:rPr>
          <w:rFonts w:ascii="Times New Roman" w:hAnsi="Times New Roman"/>
          <w:color w:val="000000"/>
        </w:rPr>
        <w:t xml:space="preserve">The qPCR mixture of 10 μl was prepared using the iQ™ SYBR® Green PCR Kit (Bio-Rad): 5 μl of 2x iQ™ SYBR® Green Master Mix, </w:t>
      </w:r>
      <w:r>
        <w:rPr>
          <w:rFonts w:ascii="Times New Roman" w:hAnsi="Times New Roman"/>
          <w:color w:val="000000"/>
        </w:rPr>
        <w:t>1</w:t>
      </w:r>
      <w:r>
        <w:rPr>
          <w:rFonts w:ascii="Times New Roman" w:hAnsi="Times New Roman"/>
          <w:color w:val="000000"/>
        </w:rPr>
        <w:t xml:space="preserve"> μl of 10 μM forward and reverse primers </w:t>
      </w:r>
      <w:r>
        <w:rPr>
          <w:rFonts w:ascii="Times New Roman" w:hAnsi="Times New Roman"/>
          <w:color w:val="000000"/>
        </w:rPr>
        <w:t>(2 μl total)</w:t>
      </w:r>
      <w:r>
        <w:rPr>
          <w:rFonts w:ascii="Times New Roman" w:hAnsi="Times New Roman"/>
          <w:color w:val="000000"/>
        </w:rPr>
        <w:t xml:space="preserve">, and 4 μl of 1 </w:t>
      </w:r>
      <w:r>
        <w:rPr>
          <w:rFonts w:ascii="Times New Roman" w:hAnsi="Times New Roman"/>
          <w:color w:val="000000"/>
        </w:rPr>
        <w:t>μ</w:t>
      </w:r>
      <w:r>
        <w:rPr>
          <w:rFonts w:ascii="Times New Roman" w:hAnsi="Times New Roman"/>
          <w:color w:val="000000"/>
        </w:rPr>
        <w:t xml:space="preserve">g/μl template cDNA. qPCR amplifications were performed using Bio-Rad CFX96, Thermalcycler1000 system as follows: initial denaturation for </w:t>
      </w:r>
      <w:r>
        <w:rPr>
          <w:rFonts w:ascii="Times New Roman" w:hAnsi="Times New Roman"/>
          <w:color w:val="000000"/>
        </w:rPr>
        <w:t>3</w:t>
      </w:r>
      <w:r>
        <w:rPr>
          <w:rFonts w:ascii="Times New Roman" w:hAnsi="Times New Roman"/>
          <w:color w:val="000000"/>
        </w:rPr>
        <w:t xml:space="preserve"> min at 95°C, followed by 40 cycles of 1</w:t>
      </w:r>
      <w:r>
        <w:rPr>
          <w:rFonts w:ascii="Times New Roman" w:hAnsi="Times New Roman"/>
          <w:color w:val="000000"/>
        </w:rPr>
        <w:t>0</w:t>
      </w:r>
      <w:r>
        <w:rPr>
          <w:rFonts w:ascii="Times New Roman" w:hAnsi="Times New Roman"/>
          <w:color w:val="000000"/>
        </w:rPr>
        <w:t xml:space="preserve"> sec at 95 °C, 30 sec at 60 °C and 30 sec at 68 °C with a measuring of the fluorescence signal at the end of every step. The cycle of quantification (Ct) was determined by the amplification plot in CFX96-Bio-Rad software. Finally, a melting curve was generated to confirm the specificity of the reaction by adding a cycle of 65°C to 95°C in 0.5°C increments. </w:t>
      </w:r>
    </w:p>
    <w:p>
      <w:pPr>
        <w:pStyle w:val="Normal"/>
        <w:tabs>
          <w:tab w:val="clear" w:pos="720"/>
          <w:tab w:val="left" w:pos="4396" w:leader="none"/>
        </w:tabs>
        <w:spacing w:lineRule="auto" w:line="360"/>
        <w:jc w:val="both"/>
        <w:rPr/>
      </w:pPr>
      <w:r>
        <w:rPr>
          <w:rFonts w:ascii="Times New Roman" w:hAnsi="Times New Roman"/>
          <w:i w:val="false"/>
          <w:iCs w:val="false"/>
          <w:color w:val="000000"/>
        </w:rPr>
        <w:t xml:space="preserve">Normalization factors (NF) were calculated using the geometric mean of expression values for the three reference genes (Vandesompele et al., 2002). </w:t>
      </w:r>
      <w:r>
        <w:rPr>
          <w:rFonts w:ascii="Times New Roman" w:hAnsi="Times New Roman"/>
          <w:color w:val="000000"/>
        </w:rPr>
        <w:t>Relative expression values for each tested sample and each gene of interest were then calculated using the ∆Ct method, adjusted for the amplification efficiencies of each primer pair and standardized against the NF of each sample.</w:t>
      </w:r>
    </w:p>
    <w:p>
      <w:pPr>
        <w:pStyle w:val="Normal"/>
        <w:tabs>
          <w:tab w:val="clear" w:pos="720"/>
          <w:tab w:val="left" w:pos="4396" w:leader="none"/>
        </w:tabs>
        <w:spacing w:lineRule="auto" w:line="360"/>
        <w:jc w:val="both"/>
        <w:rPr>
          <w:rFonts w:ascii="Times New Roman" w:hAnsi="Times New Roman"/>
        </w:rPr>
      </w:pPr>
      <w:r>
        <w:rPr>
          <w:rFonts w:ascii="Times New Roman" w:hAnsi="Times New Roman"/>
        </w:rPr>
      </w:r>
    </w:p>
    <w:p>
      <w:pPr>
        <w:pStyle w:val="Heading3"/>
        <w:spacing w:lineRule="auto" w:line="360"/>
        <w:jc w:val="both"/>
        <w:rPr/>
      </w:pPr>
      <w:r>
        <w:rPr>
          <w:rFonts w:ascii="Times New Roman" w:hAnsi="Times New Roman"/>
          <w:color w:val="000000"/>
          <w:sz w:val="24"/>
          <w:szCs w:val="24"/>
        </w:rPr>
        <w:t>2.6. Histological examination and scoring</w:t>
      </w:r>
    </w:p>
    <w:p>
      <w:pPr>
        <w:pStyle w:val="TextBody"/>
        <w:spacing w:lineRule="auto" w:line="360"/>
        <w:jc w:val="both"/>
        <w:rPr/>
      </w:pPr>
      <w:r>
        <w:rPr>
          <w:rFonts w:ascii="Times New Roman" w:hAnsi="Times New Roman"/>
          <w:color w:val="000000"/>
        </w:rPr>
        <w:t>Formalin fixed samples from the mid-part of the caeca were</w:t>
      </w:r>
      <w:r>
        <w:rPr>
          <w:rFonts w:ascii="Times New Roman" w:hAnsi="Times New Roman"/>
          <w:b/>
          <w:bCs/>
          <w:color w:val="000000"/>
        </w:rPr>
        <w:t xml:space="preserve"> </w:t>
      </w:r>
      <w:r>
        <w:rPr>
          <w:rFonts w:ascii="Times New Roman" w:hAnsi="Times New Roman"/>
          <w:color w:val="000000"/>
        </w:rPr>
        <w:t>embedded in paraffin and sectioned with 4 μm thickness. Tissue slides were stained with hematoxylin and eosin and were examined at 100- 200- and 400-times magnification by light microscopy. The extent and nature of leukocyte infiltration in the intestinal wall was assessed based on the morphological characteristic of each cell type. A numerical score was assigned with 0 representing no leukocyte infiltration and 1, 2, and 3 mild, moderate, or severe infiltration, respectively.</w:t>
      </w:r>
    </w:p>
    <w:p>
      <w:pPr>
        <w:pStyle w:val="Normal"/>
        <w:spacing w:lineRule="auto" w:line="360"/>
        <w:jc w:val="both"/>
        <w:rPr>
          <w:rFonts w:ascii="Times New Roman" w:hAnsi="Times New Roman"/>
          <w:b/>
          <w:b/>
          <w:bCs/>
        </w:rPr>
      </w:pPr>
      <w:r>
        <w:rPr>
          <w:rFonts w:ascii="Times New Roman" w:hAnsi="Times New Roman"/>
          <w:b/>
          <w:bCs/>
        </w:rPr>
      </w:r>
    </w:p>
    <w:p>
      <w:pPr>
        <w:pStyle w:val="Normal"/>
        <w:spacing w:lineRule="auto" w:line="360"/>
        <w:jc w:val="both"/>
        <w:rPr/>
      </w:pPr>
      <w:r>
        <w:rPr>
          <w:rFonts w:ascii="Times New Roman" w:hAnsi="Times New Roman"/>
          <w:b/>
          <w:bCs/>
        </w:rPr>
        <w:t>2.7. Statistical analyses and visualisation</w:t>
      </w:r>
    </w:p>
    <w:p>
      <w:pPr>
        <w:pStyle w:val="Normal"/>
        <w:spacing w:lineRule="auto" w:line="360"/>
        <w:jc w:val="both"/>
        <w:rPr/>
      </w:pPr>
      <w:r>
        <w:rPr>
          <w:rFonts w:ascii="Times New Roman" w:hAnsi="Times New Roman"/>
          <w:color w:val="000000"/>
        </w:rPr>
        <w:t xml:space="preserve">All statistical analyses and visualisations were performed in R </w:t>
      </w:r>
      <w:bookmarkStart w:id="13" w:name="__UnoMark__10537_2905672918"/>
      <w:r>
        <w:rPr>
          <w:rFonts w:ascii="Times New Roman" w:hAnsi="Times New Roman"/>
          <w:color w:val="000000"/>
        </w:rPr>
        <w:t>(R Development Core Team, 2008)</w:t>
      </w:r>
      <w:bookmarkEnd w:id="13"/>
      <w:r>
        <w:rPr>
          <w:rFonts w:ascii="Times New Roman" w:hAnsi="Times New Roman"/>
          <w:color w:val="000000"/>
        </w:rPr>
        <w:t xml:space="preserve">. The non-parametric Mann-Whitney U-test was used to assess differences in the distributions of weight loss </w:t>
      </w:r>
      <w:r>
        <w:rPr>
          <w:rFonts w:ascii="Times New Roman" w:hAnsi="Times New Roman"/>
          <w:color w:val="000000"/>
        </w:rPr>
        <w:t>and</w:t>
      </w:r>
      <w:r>
        <w:rPr>
          <w:rFonts w:ascii="Times New Roman" w:hAnsi="Times New Roman"/>
          <w:color w:val="000000"/>
        </w:rPr>
        <w:t xml:space="preserve"> oocyst shedding. Linear mixed effect models (function “lmer” of the package lme4) were used to test for differences in gene expression. For each gene (as response variable) these models used the infecting </w:t>
      </w:r>
      <w:r>
        <w:rPr>
          <w:rFonts w:ascii="Times New Roman" w:hAnsi="Times New Roman"/>
          <w:i/>
          <w:iCs/>
          <w:color w:val="000000"/>
        </w:rPr>
        <w:t>Eimeria</w:t>
      </w:r>
      <w:r>
        <w:rPr>
          <w:rFonts w:ascii="Times New Roman" w:hAnsi="Times New Roman"/>
          <w:color w:val="000000"/>
        </w:rPr>
        <w:t xml:space="preserve"> isolate as only fixed effect and the time of infection (dpi) as a random intercept. Similarly, linear mixed effect models for leukocyte infiltration score (as response variable) were used with infection isolate as fixed effect and dpi as a random intercept. For visualisations the package ggplot2 was used, including the default “loess” smoother as indicated in figure legends. </w:t>
      </w:r>
    </w:p>
    <w:p>
      <w:pPr>
        <w:pStyle w:val="Normal"/>
        <w:spacing w:lineRule="auto" w:line="360"/>
        <w:jc w:val="both"/>
        <w:rPr>
          <w:rFonts w:ascii="Times New Roman" w:hAnsi="Times New Roman"/>
          <w:color w:val="000000"/>
          <w:sz w:val="26"/>
          <w:szCs w:val="26"/>
        </w:rPr>
      </w:pPr>
      <w:r>
        <w:rPr>
          <w:rFonts w:ascii="Times New Roman" w:hAnsi="Times New Roman"/>
          <w:color w:val="000000"/>
          <w:sz w:val="26"/>
          <w:szCs w:val="26"/>
        </w:rPr>
      </w:r>
    </w:p>
    <w:p>
      <w:pPr>
        <w:pStyle w:val="Normal"/>
        <w:spacing w:lineRule="auto" w:line="360"/>
        <w:jc w:val="both"/>
        <w:rPr>
          <w:sz w:val="24"/>
          <w:szCs w:val="24"/>
        </w:rPr>
      </w:pPr>
      <w:r>
        <w:rPr>
          <w:rFonts w:ascii="Times New Roman" w:hAnsi="Times New Roman"/>
          <w:b/>
          <w:bCs/>
          <w:color w:val="000000"/>
          <w:sz w:val="24"/>
          <w:szCs w:val="24"/>
        </w:rPr>
        <w:t>3. Results</w:t>
      </w:r>
    </w:p>
    <w:p>
      <w:pPr>
        <w:pStyle w:val="Heading3"/>
        <w:spacing w:lineRule="auto" w:line="360"/>
        <w:jc w:val="both"/>
        <w:rPr>
          <w:sz w:val="24"/>
          <w:szCs w:val="24"/>
        </w:rPr>
      </w:pPr>
      <w:r>
        <w:rPr>
          <w:rFonts w:ascii="Times New Roman" w:hAnsi="Times New Roman"/>
          <w:color w:val="000000"/>
          <w:sz w:val="24"/>
          <w:szCs w:val="24"/>
        </w:rPr>
        <w:t xml:space="preserve">3.1. Dynamics of infection and host body weight loss differ between </w:t>
      </w:r>
      <w:r>
        <w:rPr>
          <w:rFonts w:ascii="Times New Roman" w:hAnsi="Times New Roman"/>
          <w:i/>
          <w:color w:val="000000"/>
          <w:sz w:val="24"/>
          <w:szCs w:val="24"/>
        </w:rPr>
        <w:t>Eimeria</w:t>
      </w:r>
      <w:r>
        <w:rPr>
          <w:rFonts w:ascii="Times New Roman" w:hAnsi="Times New Roman"/>
          <w:color w:val="000000"/>
          <w:sz w:val="24"/>
          <w:szCs w:val="24"/>
        </w:rPr>
        <w:t xml:space="preserve"> species</w:t>
      </w:r>
    </w:p>
    <w:p>
      <w:pPr>
        <w:pStyle w:val="TextBody"/>
        <w:spacing w:lineRule="auto" w:line="360"/>
        <w:jc w:val="both"/>
        <w:rPr/>
      </w:pPr>
      <w:r>
        <w:rPr>
          <w:rFonts w:ascii="Times New Roman" w:hAnsi="Times New Roman"/>
          <w:color w:val="000000"/>
        </w:rPr>
        <w:t xml:space="preserve">Genotyping showed that two novel isolates which we obtained from individual house mice captured in the federal state of Brandenburg (Germany) belong to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We compared fragments of DNA sequences of the mitochondrial Cytochrom C oxidase subunit I (COI), the nuclear small ribosomal subunit (18S) and the open reading frame 470 (ORF470) of the apicoplast genome. For all makers the Brandenburg88 and Brandenburg64 </w:t>
      </w:r>
      <w:r>
        <w:rPr>
          <w:rFonts w:ascii="Times New Roman" w:hAnsi="Times New Roman"/>
          <w:highlight w:val="white"/>
        </w:rPr>
        <w:t xml:space="preserve">isolate showed 99-100% sequence identity to available sequences from </w:t>
      </w:r>
      <w:r>
        <w:rPr>
          <w:rFonts w:ascii="Times New Roman" w:hAnsi="Times New Roman"/>
          <w:i/>
          <w:iCs/>
          <w:highlight w:val="white"/>
        </w:rPr>
        <w:t xml:space="preserve">E. falciformis </w:t>
      </w:r>
      <w:r>
        <w:rPr>
          <w:rFonts w:ascii="Times New Roman" w:hAnsi="Times New Roman"/>
          <w:highlight w:val="white"/>
        </w:rPr>
        <w:t xml:space="preserve">and </w:t>
      </w:r>
      <w:r>
        <w:rPr>
          <w:rFonts w:ascii="Times New Roman" w:hAnsi="Times New Roman"/>
          <w:i/>
          <w:iCs/>
          <w:highlight w:val="white"/>
        </w:rPr>
        <w:t>E. ferrisi</w:t>
      </w:r>
      <w:r>
        <w:rPr>
          <w:rFonts w:ascii="Times New Roman" w:hAnsi="Times New Roman"/>
          <w:highlight w:val="white"/>
        </w:rPr>
        <w:t>, respectively. This identifies the isolates robustly as the respective species described before (</w:t>
      </w:r>
      <w:r>
        <w:rPr>
          <w:rFonts w:ascii="Times New Roman" w:hAnsi="Times New Roman"/>
          <w:bCs/>
          <w:highlight w:val="white"/>
          <w:lang w:val="de-DE"/>
        </w:rPr>
        <w:t>Jarquín-Díaz</w:t>
      </w:r>
      <w:r>
        <w:rPr>
          <w:rFonts w:ascii="Times New Roman" w:hAnsi="Times New Roman"/>
          <w:highlight w:val="white"/>
        </w:rPr>
        <w:t xml:space="preserve"> et al., 2019). We named the novel isolates </w:t>
      </w:r>
      <w:r>
        <w:rPr>
          <w:rFonts w:ascii="Times New Roman" w:hAnsi="Times New Roman"/>
          <w:i/>
          <w:iCs/>
          <w:highlight w:val="white"/>
        </w:rPr>
        <w:t>E. falciformis</w:t>
      </w:r>
      <w:r>
        <w:rPr>
          <w:rFonts w:ascii="Times New Roman" w:hAnsi="Times New Roman"/>
          <w:highlight w:val="white"/>
        </w:rPr>
        <w:t xml:space="preserve"> Brandenburg88 and </w:t>
      </w:r>
      <w:r>
        <w:rPr>
          <w:rFonts w:ascii="Times New Roman" w:hAnsi="Times New Roman"/>
          <w:i/>
          <w:iCs/>
          <w:highlight w:val="white"/>
        </w:rPr>
        <w:t>E. ferrisi</w:t>
      </w:r>
      <w:r>
        <w:rPr>
          <w:rFonts w:ascii="Times New Roman" w:hAnsi="Times New Roman"/>
          <w:highlight w:val="white"/>
        </w:rPr>
        <w:t xml:space="preserve"> Brandenburg64 after the area (Brandenburg) from which they were isolated and a running number for mice used in our sampling (mouse no. 64 and 88).</w:t>
      </w:r>
    </w:p>
    <w:p>
      <w:pPr>
        <w:pStyle w:val="TextBody"/>
        <w:spacing w:lineRule="auto" w:line="360"/>
        <w:jc w:val="both"/>
        <w:rPr/>
      </w:pPr>
      <w:r>
        <w:rPr>
          <w:rFonts w:ascii="Times New Roman" w:hAnsi="Times New Roman"/>
        </w:rPr>
        <w:t xml:space="preserve">We infected NMRI mice with these novel </w:t>
      </w:r>
      <w:r>
        <w:rPr>
          <w:rFonts w:ascii="Times New Roman" w:hAnsi="Times New Roman"/>
          <w:i/>
          <w:iCs/>
        </w:rPr>
        <w:t>Eimeria</w:t>
      </w:r>
      <w:r>
        <w:rPr>
          <w:rFonts w:ascii="Times New Roman" w:hAnsi="Times New Roman"/>
        </w:rPr>
        <w:t xml:space="preserve"> isolates as well as with the laboratory isolate </w:t>
      </w:r>
      <w:r>
        <w:rPr>
          <w:rFonts w:ascii="Times New Roman" w:hAnsi="Times New Roman"/>
          <w:i/>
          <w:iCs/>
        </w:rPr>
        <w:t>E. falciformis</w:t>
      </w:r>
      <w:r>
        <w:rPr>
          <w:rFonts w:ascii="Times New Roman" w:hAnsi="Times New Roman"/>
        </w:rPr>
        <w:t xml:space="preserve"> BayerHaberkorn1970 and followed the progression of infection by measuring parasite reproduction and host body </w:t>
      </w:r>
      <w:bookmarkStart w:id="14" w:name="__DdeLink__1636_3010982077"/>
      <w:r>
        <w:rPr>
          <w:rFonts w:ascii="Times New Roman" w:hAnsi="Times New Roman"/>
        </w:rPr>
        <w:t>weight</w:t>
      </w:r>
      <w:bookmarkEnd w:id="14"/>
      <w:r>
        <w:rPr>
          <w:rFonts w:ascii="Times New Roman" w:hAnsi="Times New Roman"/>
        </w:rPr>
        <w:t xml:space="preserve"> loss. We assessed parasite repr</w:t>
      </w:r>
      <w:r>
        <w:rPr>
          <w:rFonts w:ascii="Times New Roman" w:hAnsi="Times New Roman"/>
          <w:color w:val="000000"/>
          <w:highlight w:val="white"/>
        </w:rPr>
        <w:t>oduction via oocyst shedding from two to eleven days post infection (dpi) (Figure 1a). The t</w:t>
      </w:r>
      <w:r>
        <w:rPr>
          <w:rFonts w:ascii="Times New Roman" w:hAnsi="Times New Roman"/>
          <w:color w:val="000000"/>
        </w:rPr>
        <w:t xml:space="preserve">wo </w:t>
      </w:r>
      <w:r>
        <w:rPr>
          <w:rFonts w:ascii="Times New Roman" w:hAnsi="Times New Roman"/>
          <w:i/>
          <w:iCs/>
          <w:color w:val="000000"/>
        </w:rPr>
        <w:t>E. falciformis</w:t>
      </w:r>
      <w:r>
        <w:rPr>
          <w:rFonts w:ascii="Times New Roman" w:hAnsi="Times New Roman"/>
          <w:color w:val="000000"/>
        </w:rPr>
        <w:t xml:space="preserve"> isolates and </w:t>
      </w:r>
      <w:r>
        <w:rPr>
          <w:rFonts w:ascii="Times New Roman" w:hAnsi="Times New Roman"/>
          <w:i/>
          <w:iCs/>
          <w:color w:val="000000"/>
        </w:rPr>
        <w:t>E. ferrisi</w:t>
      </w:r>
      <w:r>
        <w:rPr>
          <w:rFonts w:ascii="Times New Roman" w:hAnsi="Times New Roman"/>
          <w:color w:val="000000"/>
        </w:rPr>
        <w:t xml:space="preserve"> showed different infection dynamics in NMRI mice: oocyst shedding of </w:t>
      </w:r>
      <w:r>
        <w:rPr>
          <w:rFonts w:ascii="Times New Roman" w:hAnsi="Times New Roman"/>
          <w:i/>
          <w:iCs/>
          <w:color w:val="000000"/>
        </w:rPr>
        <w:t>E. ferrisi</w:t>
      </w:r>
      <w:r>
        <w:rPr>
          <w:rFonts w:ascii="Times New Roman" w:hAnsi="Times New Roman"/>
          <w:color w:val="000000"/>
        </w:rPr>
        <w:t xml:space="preserve"> </w:t>
      </w:r>
      <w:r>
        <w:rPr>
          <w:rFonts w:ascii="Times New Roman" w:hAnsi="Times New Roman"/>
        </w:rPr>
        <w:t xml:space="preserve">has its peak intensity at 6 dpi, was drastically reduced at 7 dpi (n = 12, U = 2.91, p = 0.002), and fell below detection levels at 10 dpi. Oocyst shedding of </w:t>
      </w:r>
      <w:r>
        <w:rPr>
          <w:rFonts w:ascii="Times New Roman" w:hAnsi="Times New Roman"/>
          <w:i/>
          <w:iCs/>
        </w:rPr>
        <w:t>E. falciformis</w:t>
      </w:r>
      <w:r>
        <w:rPr>
          <w:rFonts w:ascii="Times New Roman" w:hAnsi="Times New Roman"/>
        </w:rPr>
        <w:t xml:space="preserve"> has a peak intensity at 8 dpi for the laboratory isolate BayerHaberkorn1970 and at 9 dpi for the novel isolate Brandenburg88. The oocyst numbers declined after this peak in both isolates, but shedding was still detectable at 11 dpi when we sacrificed the last mice. For the two </w:t>
      </w:r>
      <w:r>
        <w:rPr>
          <w:rFonts w:ascii="Times New Roman" w:hAnsi="Times New Roman"/>
          <w:i/>
          <w:iCs/>
        </w:rPr>
        <w:t>E</w:t>
      </w:r>
      <w:r>
        <w:rPr>
          <w:rFonts w:ascii="Times New Roman" w:hAnsi="Times New Roman"/>
          <w:i/>
          <w:iCs/>
          <w:highlight w:val="white"/>
        </w:rPr>
        <w:t>. falciformis</w:t>
      </w:r>
      <w:r>
        <w:rPr>
          <w:rFonts w:ascii="Times New Roman" w:hAnsi="Times New Roman"/>
          <w:highlight w:val="white"/>
        </w:rPr>
        <w:t xml:space="preserve"> isolates we observed no difference in shedding intensity of oocysts at the peak day (n = 12, U = 0.24, p = 0.846) and peak oocyst abundance did not differ significantly between </w:t>
      </w:r>
      <w:r>
        <w:rPr>
          <w:rFonts w:ascii="Times New Roman" w:hAnsi="Times New Roman"/>
          <w:i/>
          <w:iCs/>
          <w:color w:val="000000"/>
          <w:highlight w:val="white"/>
        </w:rPr>
        <w:t>E. ferrisi</w:t>
      </w:r>
      <w:r>
        <w:rPr>
          <w:rFonts w:ascii="Times New Roman" w:hAnsi="Times New Roman"/>
          <w:color w:val="000000"/>
          <w:highlight w:val="white"/>
        </w:rPr>
        <w:t xml:space="preserve"> and both </w:t>
      </w:r>
      <w:r>
        <w:rPr>
          <w:rFonts w:ascii="Times New Roman" w:hAnsi="Times New Roman"/>
          <w:i/>
          <w:iCs/>
          <w:color w:val="000000"/>
          <w:highlight w:val="white"/>
        </w:rPr>
        <w:t>E. falciformis</w:t>
      </w:r>
      <w:r>
        <w:rPr>
          <w:rFonts w:ascii="Times New Roman" w:hAnsi="Times New Roman"/>
          <w:highlight w:val="white"/>
        </w:rPr>
        <w:t xml:space="preserve"> strains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iCs/>
          <w:highlight w:val="white"/>
        </w:rPr>
        <w:t>vs. E. falciformis</w:t>
      </w:r>
      <w:r>
        <w:rPr>
          <w:rFonts w:ascii="Times New Roman" w:hAnsi="Times New Roman"/>
          <w:highlight w:val="white"/>
        </w:rPr>
        <w:t xml:space="preserve"> Brandenburg88, n = 12, U = 0.32, p= 0.777; </w:t>
      </w:r>
      <w:r>
        <w:rPr>
          <w:rFonts w:ascii="Times New Roman" w:hAnsi="Times New Roman"/>
          <w:i/>
          <w:iCs/>
          <w:highlight w:val="white"/>
        </w:rPr>
        <w:t>E. ferrisi</w:t>
      </w:r>
      <w:r>
        <w:rPr>
          <w:rFonts w:ascii="Times New Roman" w:hAnsi="Times New Roman"/>
          <w:highlight w:val="white"/>
        </w:rPr>
        <w:t xml:space="preserve"> </w:t>
      </w:r>
      <w:r>
        <w:rPr>
          <w:rFonts w:ascii="Times New Roman" w:hAnsi="Times New Roman"/>
          <w:i/>
          <w:highlight w:val="white"/>
        </w:rPr>
        <w:t xml:space="preserve">vs. </w:t>
      </w:r>
      <w:r>
        <w:rPr>
          <w:rFonts w:ascii="Times New Roman" w:hAnsi="Times New Roman"/>
          <w:i/>
          <w:iCs/>
          <w:highlight w:val="white"/>
        </w:rPr>
        <w:t xml:space="preserve">E. falciformis </w:t>
      </w:r>
      <w:r>
        <w:rPr>
          <w:rFonts w:ascii="Times New Roman" w:hAnsi="Times New Roman"/>
          <w:highlight w:val="white"/>
        </w:rPr>
        <w:t xml:space="preserve">BayerHaberkorn1970, n = 12, U = 0.96, p= 0.37). </w:t>
      </w:r>
    </w:p>
    <w:p>
      <w:pPr>
        <w:pStyle w:val="Normal"/>
        <w:spacing w:lineRule="auto" w:line="360"/>
        <w:jc w:val="both"/>
        <w:rPr/>
      </w:pPr>
      <w:r>
        <w:rPr>
          <w:rFonts w:ascii="Times New Roman" w:hAnsi="Times New Roman"/>
        </w:rPr>
        <w:t xml:space="preserve">The period of patency (oocyst shedding) was characterized by body weight loss in infected mice in all infections </w:t>
      </w:r>
      <w:r>
        <w:rPr>
          <w:rFonts w:ascii="Times New Roman" w:hAnsi="Times New Roman"/>
          <w:color w:val="000000"/>
        </w:rPr>
        <w:t>(Figure 1b). In</w:t>
      </w:r>
      <w:r>
        <w:rPr>
          <w:rFonts w:ascii="Times New Roman" w:hAnsi="Times New Roman"/>
        </w:rPr>
        <w:t xml:space="preserve">fections with </w:t>
      </w:r>
      <w:r>
        <w:rPr>
          <w:rFonts w:ascii="Times New Roman" w:hAnsi="Times New Roman"/>
          <w:i/>
          <w:iCs/>
        </w:rPr>
        <w:t>E. ferrisi</w:t>
      </w:r>
      <w:r>
        <w:rPr>
          <w:rFonts w:ascii="Times New Roman" w:hAnsi="Times New Roman"/>
        </w:rPr>
        <w:t xml:space="preserve"> coincided with significant weight loss at 4 dpi (n = 18, U = -2.43, p = 0.013) and 5 dpi (n = 18, U = - 2.52, p = 0.010) in comparison to the control group. I</w:t>
      </w:r>
      <w:r>
        <w:rPr>
          <w:rFonts w:ascii="Times New Roman" w:hAnsi="Times New Roman"/>
          <w:color w:val="000000"/>
        </w:rPr>
        <w:t xml:space="preserve">nfection </w:t>
      </w:r>
      <w:r>
        <w:rPr>
          <w:rFonts w:ascii="Times New Roman" w:hAnsi="Times New Roman"/>
        </w:rPr>
        <w:t xml:space="preserve">with </w:t>
      </w:r>
      <w:r>
        <w:rPr>
          <w:rFonts w:ascii="Times New Roman" w:hAnsi="Times New Roman"/>
          <w:i/>
          <w:iCs/>
        </w:rPr>
        <w:t>E. falciformis</w:t>
      </w:r>
      <w:r>
        <w:rPr>
          <w:rFonts w:ascii="Times New Roman" w:hAnsi="Times New Roman"/>
        </w:rPr>
        <w:t xml:space="preserve"> was accompanied by significant weight loss at 8 and 9 dpi in both </w:t>
      </w:r>
      <w:r>
        <w:rPr>
          <w:rFonts w:ascii="Times New Roman" w:hAnsi="Times New Roman"/>
          <w:i/>
          <w:iCs/>
        </w:rPr>
        <w:t>E. falciformis</w:t>
      </w:r>
      <w:r>
        <w:rPr>
          <w:rFonts w:ascii="Times New Roman" w:hAnsi="Times New Roman"/>
        </w:rPr>
        <w:t xml:space="preserve"> BayerHaberkorn1970 (both dpi, n = 12, U = -2.89, p = 0.002) and </w:t>
      </w:r>
      <w:r>
        <w:rPr>
          <w:rFonts w:ascii="Times New Roman" w:hAnsi="Times New Roman"/>
          <w:i/>
          <w:iCs/>
        </w:rPr>
        <w:t>E. falciformis</w:t>
      </w:r>
      <w:r>
        <w:rPr>
          <w:rFonts w:ascii="Times New Roman" w:hAnsi="Times New Roman"/>
        </w:rPr>
        <w:t xml:space="preserve"> Brandenburg88 (8dpi, n = 12, U = -2.41, p = 0.013; 9dpi, n = 12, U = -2.89, p = 0.002) isolates as compared to the control group. Weight losses in infections with </w:t>
      </w:r>
      <w:r>
        <w:rPr>
          <w:rFonts w:ascii="Times New Roman" w:hAnsi="Times New Roman"/>
          <w:i/>
          <w:iCs/>
        </w:rPr>
        <w:t>E. ferrisi</w:t>
      </w:r>
      <w:r>
        <w:rPr>
          <w:rFonts w:ascii="Times New Roman" w:hAnsi="Times New Roman"/>
        </w:rPr>
        <w:t xml:space="preserve"> at their maximum (at 5 dpi) were, however, significantly lower compared to weight loss in infections with </w:t>
      </w:r>
      <w:r>
        <w:rPr>
          <w:rFonts w:ascii="Times New Roman" w:hAnsi="Times New Roman"/>
          <w:i/>
          <w:iCs/>
        </w:rPr>
        <w:t>E. falciformis</w:t>
      </w:r>
      <w:r>
        <w:rPr>
          <w:rFonts w:ascii="Times New Roman" w:hAnsi="Times New Roman"/>
        </w:rPr>
        <w:t xml:space="preserve"> at their maximum (9 dpi;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Brandenburg88, n = 15, U = -2.0, p = 0.049; </w:t>
      </w:r>
      <w:r>
        <w:rPr>
          <w:rFonts w:ascii="Times New Roman" w:hAnsi="Times New Roman"/>
          <w:i/>
          <w:iCs/>
        </w:rPr>
        <w:t>E. ferrisi</w:t>
      </w:r>
      <w:r>
        <w:rPr>
          <w:rFonts w:ascii="Times New Roman" w:hAnsi="Times New Roman"/>
        </w:rPr>
        <w:t xml:space="preserve"> vs. </w:t>
      </w:r>
      <w:r>
        <w:rPr>
          <w:rFonts w:ascii="Times New Roman" w:hAnsi="Times New Roman"/>
          <w:i/>
          <w:iCs/>
        </w:rPr>
        <w:t>E. falciformis</w:t>
      </w:r>
      <w:r>
        <w:rPr>
          <w:rFonts w:ascii="Times New Roman" w:hAnsi="Times New Roman"/>
        </w:rPr>
        <w:t xml:space="preserve"> BayerHaberkorn1970, n = 15, U = -2.59, p = 0.007). </w:t>
      </w:r>
    </w:p>
    <w:p>
      <w:pPr>
        <w:pStyle w:val="Normal"/>
        <w:spacing w:lineRule="auto" w:line="360"/>
        <w:jc w:val="both"/>
        <w:rPr/>
      </w:pPr>
      <w:r>
        <w:rPr>
          <w:rFonts w:ascii="Times New Roman" w:hAnsi="Times New Roman"/>
        </w:rPr>
        <w:t xml:space="preserve">Oocyst shedding and weight loss show different relative timing in </w:t>
      </w:r>
      <w:r>
        <w:rPr>
          <w:rFonts w:ascii="Times New Roman" w:hAnsi="Times New Roman"/>
          <w:i/>
          <w:iCs/>
        </w:rPr>
        <w:t>E. falciformis</w:t>
      </w:r>
      <w:r>
        <w:rPr>
          <w:rFonts w:ascii="Times New Roman" w:hAnsi="Times New Roman"/>
        </w:rPr>
        <w:t xml:space="preserve"> compared to </w:t>
      </w:r>
      <w:r>
        <w:rPr>
          <w:rFonts w:ascii="Times New Roman" w:hAnsi="Times New Roman"/>
          <w:i/>
          <w:iCs/>
        </w:rPr>
        <w:t>E. ferrisi</w:t>
      </w:r>
      <w:r>
        <w:rPr>
          <w:rFonts w:ascii="Times New Roman" w:hAnsi="Times New Roman"/>
        </w:rPr>
        <w:t xml:space="preserve">. In infections with both isolates of </w:t>
      </w:r>
      <w:r>
        <w:rPr>
          <w:rFonts w:ascii="Times New Roman" w:hAnsi="Times New Roman"/>
          <w:i/>
          <w:iCs/>
        </w:rPr>
        <w:t>E. falciformis</w:t>
      </w:r>
      <w:r>
        <w:rPr>
          <w:rFonts w:ascii="Times New Roman" w:hAnsi="Times New Roman"/>
        </w:rPr>
        <w:t xml:space="preserve"> weight loss coincides with or follows up to two days after oocyst shedding. In infections with </w:t>
      </w:r>
      <w:r>
        <w:rPr>
          <w:rFonts w:ascii="Times New Roman" w:hAnsi="Times New Roman"/>
          <w:i/>
          <w:iCs/>
        </w:rPr>
        <w:t>E. ferrisi</w:t>
      </w:r>
      <w:r>
        <w:rPr>
          <w:rFonts w:ascii="Times New Roman" w:hAnsi="Times New Roman"/>
        </w:rPr>
        <w:t xml:space="preserve"> weight loss precedes peak oocyst shedding by one day or more (Figure 2).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rPr>
      </w:r>
    </w:p>
    <w:p>
      <w:pPr>
        <w:pStyle w:val="TextBody"/>
        <w:spacing w:lineRule="auto" w:line="360"/>
        <w:jc w:val="both"/>
        <w:rPr>
          <w:rFonts w:ascii="Times New Roman" w:hAnsi="Times New Roman"/>
        </w:rPr>
      </w:pPr>
      <w:r>
        <w:rPr>
          <w:rFonts w:ascii="Times New Roman" w:hAnsi="Times New Roman"/>
          <w:b/>
          <w:bCs/>
          <w:sz w:val="24"/>
          <w:szCs w:val="24"/>
        </w:rPr>
        <w:t xml:space="preserve">3.2 Intensity of tissue stages of </w:t>
      </w:r>
      <w:r>
        <w:rPr>
          <w:rFonts w:ascii="Times New Roman" w:hAnsi="Times New Roman"/>
          <w:b/>
          <w:bCs/>
          <w:i/>
          <w:iCs/>
          <w:sz w:val="24"/>
          <w:szCs w:val="24"/>
        </w:rPr>
        <w:t>Eimeria spp.</w:t>
      </w:r>
      <w:r>
        <w:rPr>
          <w:rFonts w:ascii="Times New Roman" w:hAnsi="Times New Roman"/>
          <w:b/>
          <w:bCs/>
          <w:sz w:val="26"/>
          <w:szCs w:val="26"/>
        </w:rPr>
        <w:t xml:space="preserve">  </w:t>
      </w:r>
    </w:p>
    <w:p>
      <w:pPr>
        <w:pStyle w:val="TextBody"/>
        <w:shd w:val="clear" w:color="auto" w:fill="FFFFFF"/>
        <w:spacing w:lineRule="auto" w:line="360"/>
        <w:jc w:val="both"/>
        <w:rPr/>
      </w:pPr>
      <w:r>
        <w:rPr>
          <w:rFonts w:ascii="Times New Roman" w:hAnsi="Times New Roman"/>
          <w:i/>
          <w:iCs/>
        </w:rPr>
        <w:t>Eimeria</w:t>
      </w:r>
      <w:r>
        <w:rPr>
          <w:rFonts w:ascii="Times New Roman" w:hAnsi="Times New Roman"/>
        </w:rPr>
        <w:t xml:space="preserve"> infections in our study result in a transient presence of parasite stages in epithelial cells of the caecum. We quantified the intensity of infection by a quantitative </w:t>
      </w:r>
      <w:r>
        <w:rPr>
          <w:rFonts w:ascii="Times New Roman" w:hAnsi="Times New Roman"/>
          <w:color w:val="000000"/>
        </w:rPr>
        <w:t>PCR</w:t>
      </w:r>
      <w:r>
        <w:rPr>
          <w:rFonts w:ascii="Times New Roman" w:hAnsi="Times New Roman"/>
        </w:rPr>
        <w:t xml:space="preserve"> (qPCR) assay using gDNA from caecal tissue.</w:t>
      </w:r>
      <w:r>
        <w:rPr>
          <w:rFonts w:ascii="Times New Roman" w:hAnsi="Times New Roman"/>
          <w:highlight w:val="white"/>
        </w:rPr>
        <w:t xml:space="preserve"> By specifically amplifying genes for the parasite (Cytochrome C-oxidase subunit I; COI</w:t>
      </w:r>
      <w:r>
        <w:rPr>
          <w:rFonts w:ascii="Times New Roman" w:hAnsi="Times New Roman"/>
        </w:rPr>
        <w:t xml:space="preserve">) </w:t>
      </w:r>
      <w:r>
        <w:rPr>
          <w:rFonts w:ascii="Times New Roman" w:hAnsi="Times New Roman"/>
          <w:highlight w:val="white"/>
        </w:rPr>
        <w:t xml:space="preserve">and the host (nuclear </w:t>
      </w:r>
      <w:r>
        <w:rPr>
          <w:rFonts w:ascii="Times New Roman" w:hAnsi="Times New Roman"/>
          <w:i/>
          <w:iCs/>
          <w:highlight w:val="white"/>
        </w:rPr>
        <w:t>cdc42</w:t>
      </w:r>
      <w:r>
        <w:rPr>
          <w:rFonts w:ascii="Times New Roman" w:hAnsi="Times New Roman"/>
          <w:highlight w:val="white"/>
        </w:rPr>
        <w:t xml:space="preserve"> gene</w:t>
      </w:r>
      <w:r>
        <w:rPr>
          <w:rFonts w:ascii="Times New Roman" w:hAnsi="Times New Roman"/>
        </w:rPr>
        <w:t xml:space="preserve">), </w:t>
      </w:r>
      <w:r>
        <w:rPr>
          <w:rFonts w:ascii="Times New Roman" w:hAnsi="Times New Roman"/>
          <w:highlight w:val="white"/>
        </w:rPr>
        <w:t>we analysed the ratio of parasite DNA to host DNA. We report this ratio on a native (log2) scale of measurement and further refer to it as host-parasite ∆Ct</w:t>
      </w:r>
      <w:r>
        <w:rPr>
          <w:rFonts w:ascii="Times New Roman" w:hAnsi="Times New Roman"/>
          <w:color w:val="000000"/>
          <w:highlight w:val="white"/>
        </w:rPr>
        <w:t xml:space="preserve"> (Figure 3). </w:t>
      </w:r>
      <w:r>
        <w:rPr>
          <w:rFonts w:ascii="Times New Roman" w:hAnsi="Times New Roman"/>
          <w:highlight w:val="white"/>
        </w:rPr>
        <w:t>The analysis of i</w:t>
      </w:r>
      <w:r>
        <w:rPr>
          <w:rFonts w:ascii="Times New Roman" w:hAnsi="Times New Roman"/>
        </w:rPr>
        <w:t>nfected (</w:t>
      </w:r>
      <w:bookmarkStart w:id="15" w:name="move515294894"/>
      <w:r>
        <w:rPr>
          <w:rFonts w:ascii="Times New Roman" w:hAnsi="Times New Roman"/>
          <w:i/>
          <w:iCs/>
        </w:rPr>
        <w:t>E. ferrisi</w:t>
      </w:r>
      <w:r>
        <w:rPr>
          <w:rFonts w:ascii="Times New Roman" w:hAnsi="Times New Roman"/>
        </w:rPr>
        <w:t xml:space="preserve"> n =</w:t>
      </w:r>
      <w:r>
        <w:rPr>
          <w:rFonts w:ascii="Times New Roman" w:hAnsi="Times New Roman"/>
          <w:i/>
          <w:iCs/>
        </w:rPr>
        <w:t xml:space="preserve"> </w:t>
      </w:r>
      <w:r>
        <w:rPr>
          <w:rFonts w:ascii="Times New Roman" w:hAnsi="Times New Roman"/>
        </w:rPr>
        <w:t xml:space="preserve">15; </w:t>
      </w:r>
      <w:r>
        <w:rPr>
          <w:rFonts w:ascii="Times New Roman" w:hAnsi="Times New Roman"/>
          <w:i/>
          <w:iCs/>
        </w:rPr>
        <w:t>E. falciformis</w:t>
      </w:r>
      <w:r>
        <w:rPr>
          <w:rFonts w:ascii="Times New Roman" w:hAnsi="Times New Roman"/>
        </w:rPr>
        <w:t xml:space="preserve"> Brandenburg88</w:t>
      </w:r>
      <w:r>
        <w:rPr>
          <w:rFonts w:ascii="Times New Roman" w:hAnsi="Times New Roman"/>
          <w:i/>
          <w:iCs/>
        </w:rPr>
        <w:t xml:space="preserve"> </w:t>
      </w:r>
      <w:r>
        <w:rPr>
          <w:rFonts w:ascii="Times New Roman" w:hAnsi="Times New Roman"/>
        </w:rPr>
        <w:t xml:space="preserve">n = 14; </w:t>
      </w:r>
      <w:r>
        <w:rPr>
          <w:rFonts w:ascii="Times New Roman" w:hAnsi="Times New Roman"/>
          <w:i/>
          <w:iCs/>
        </w:rPr>
        <w:t>E. falciformis</w:t>
      </w:r>
      <w:r>
        <w:rPr>
          <w:rFonts w:ascii="Times New Roman" w:hAnsi="Times New Roman"/>
        </w:rPr>
        <w:t xml:space="preserve"> BayerHaberkorn1970 n = 14</w:t>
      </w:r>
      <w:bookmarkEnd w:id="15"/>
      <w:r>
        <w:rPr>
          <w:rFonts w:ascii="Times New Roman" w:hAnsi="Times New Roman"/>
        </w:rPr>
        <w:t xml:space="preserve">) and control samples (n = 13) allows us to estimate a limit of detection (LOD; mean + 2 standard deviations of the negative controls) for the assay at a host-parasite ∆Ct of -3.73. This corresponds to eight </w:t>
      </w:r>
      <w:r>
        <w:rPr>
          <w:rFonts w:ascii="Times New Roman" w:hAnsi="Times New Roman"/>
          <w:i/>
          <w:iCs/>
        </w:rPr>
        <w:t>Eimeria</w:t>
      </w:r>
      <w:r>
        <w:rPr>
          <w:rFonts w:ascii="Times New Roman" w:hAnsi="Times New Roman"/>
        </w:rPr>
        <w:t xml:space="preserve"> COI molecules for 100 copies of the mouse nuclear genome. We measured the highest value for an individual negative control sample at a host-parasite ∆Ct of -4.84. </w:t>
      </w:r>
      <w:r>
        <w:rPr>
          <w:rFonts w:ascii="Times New Roman" w:hAnsi="Times New Roman"/>
          <w:color w:val="000000"/>
        </w:rPr>
        <w:t xml:space="preserve">Maximum values for host-parasite ∆Ct (observed for the </w:t>
      </w:r>
      <w:r>
        <w:rPr>
          <w:rFonts w:ascii="Times New Roman" w:hAnsi="Times New Roman"/>
          <w:i/>
          <w:iCs/>
          <w:color w:val="000000"/>
        </w:rPr>
        <w:t>E. falciformis</w:t>
      </w:r>
      <w:r>
        <w:rPr>
          <w:rFonts w:ascii="Times New Roman" w:hAnsi="Times New Roman"/>
          <w:color w:val="000000"/>
        </w:rPr>
        <w:t xml:space="preserve"> BayerHaberkorn1970 isolate) were 7.74, indicating a ratio of 214 parasite COI mDNA copies for each copy of the mouse genome in crude caecum tissue at this point. </w:t>
      </w:r>
    </w:p>
    <w:p>
      <w:pPr>
        <w:pStyle w:val="TextBody"/>
        <w:shd w:val="clear" w:color="auto" w:fill="FFFFFF"/>
        <w:spacing w:lineRule="auto" w:line="360"/>
        <w:jc w:val="both"/>
        <w:rPr/>
      </w:pPr>
      <w:r>
        <w:rPr>
          <w:rFonts w:ascii="Times New Roman" w:hAnsi="Times New Roman"/>
          <w:highlight w:val="white"/>
        </w:rPr>
        <w:t xml:space="preserve">At 3 dpi </w:t>
      </w:r>
      <w:r>
        <w:rPr>
          <w:rFonts w:ascii="Times New Roman" w:hAnsi="Times New Roman"/>
          <w:i/>
          <w:iCs/>
          <w:color w:val="000000"/>
          <w:highlight w:val="white"/>
        </w:rPr>
        <w:t xml:space="preserve">E. ferrisi </w:t>
      </w:r>
      <w:r>
        <w:rPr>
          <w:rFonts w:ascii="Times New Roman" w:hAnsi="Times New Roman"/>
          <w:color w:val="000000"/>
        </w:rPr>
        <w:t xml:space="preserve">has the highest value of host-parasite ∆Ct (6.19), while most infections with </w:t>
      </w:r>
      <w:r>
        <w:rPr>
          <w:rFonts w:ascii="Times New Roman" w:hAnsi="Times New Roman"/>
          <w:i/>
          <w:iCs/>
          <w:color w:val="000000"/>
        </w:rPr>
        <w:t xml:space="preserve">E. falciformis </w:t>
      </w:r>
      <w:r>
        <w:rPr>
          <w:rFonts w:ascii="Times New Roman" w:hAnsi="Times New Roman"/>
          <w:color w:val="000000"/>
        </w:rPr>
        <w:t xml:space="preserve">were still below the limit of detection (all </w:t>
      </w:r>
      <w:r>
        <w:rPr>
          <w:rFonts w:ascii="Times New Roman" w:hAnsi="Times New Roman"/>
          <w:i/>
          <w:iCs/>
          <w:color w:val="000000"/>
        </w:rPr>
        <w:t>E. falciformis</w:t>
      </w:r>
      <w:r>
        <w:rPr>
          <w:rFonts w:ascii="Times New Roman" w:hAnsi="Times New Roman"/>
          <w:color w:val="000000"/>
        </w:rPr>
        <w:t xml:space="preserve"> Brandenburg88 and for two out of three </w:t>
      </w:r>
      <w:r>
        <w:rPr>
          <w:rFonts w:ascii="Times New Roman" w:hAnsi="Times New Roman"/>
          <w:i/>
          <w:iCs/>
          <w:color w:val="000000"/>
        </w:rPr>
        <w:t>E. falciformis</w:t>
      </w:r>
      <w:r>
        <w:rPr>
          <w:rFonts w:ascii="Times New Roman" w:hAnsi="Times New Roman"/>
          <w:color w:val="000000"/>
        </w:rPr>
        <w:t xml:space="preserve"> BayerHaberkorn1970). For </w:t>
      </w:r>
      <w:r>
        <w:rPr>
          <w:rFonts w:ascii="Times New Roman" w:hAnsi="Times New Roman"/>
          <w:i/>
          <w:iCs/>
          <w:color w:val="000000"/>
        </w:rPr>
        <w:t>E. falciformis</w:t>
      </w:r>
      <w:r>
        <w:rPr>
          <w:rFonts w:ascii="Times New Roman" w:hAnsi="Times New Roman"/>
          <w:color w:val="000000"/>
        </w:rPr>
        <w:t xml:space="preserve"> (both isolates) host-parasite ∆Ct increased to values well above zero (equal numbers of parasite mitochondrial and host nuclear DNA copies) at 5 dpi and highest values were reached at 7 dpi. Again, the amount of DNA measured for </w:t>
      </w:r>
      <w:r>
        <w:rPr>
          <w:rFonts w:ascii="Times New Roman" w:hAnsi="Times New Roman"/>
          <w:i/>
          <w:iCs/>
          <w:color w:val="000000"/>
        </w:rPr>
        <w:t>E. falciformis</w:t>
      </w:r>
      <w:r>
        <w:rPr>
          <w:rFonts w:ascii="Times New Roman" w:hAnsi="Times New Roman"/>
          <w:color w:val="000000"/>
        </w:rPr>
        <w:t xml:space="preserve"> (at this peak intensity) was similar to that of </w:t>
      </w:r>
      <w:r>
        <w:rPr>
          <w:rFonts w:ascii="Times New Roman" w:hAnsi="Times New Roman"/>
          <w:i/>
          <w:iCs/>
          <w:color w:val="000000"/>
        </w:rPr>
        <w:t>E. ferrisi</w:t>
      </w:r>
      <w:r>
        <w:rPr>
          <w:rFonts w:ascii="Times New Roman" w:hAnsi="Times New Roman"/>
          <w:color w:val="000000"/>
        </w:rPr>
        <w:t xml:space="preserve"> (at 3 dpi, its peak). At 11 dpi the parasite-mouse ∆Ct was reduced to values below zero for all samples, and for most samples below the limit of detection (except for one </w:t>
      </w:r>
      <w:r>
        <w:rPr>
          <w:rFonts w:ascii="Times New Roman" w:hAnsi="Times New Roman"/>
          <w:i/>
          <w:iCs/>
          <w:color w:val="000000"/>
        </w:rPr>
        <w:t>E. ferrisi</w:t>
      </w:r>
      <w:r>
        <w:rPr>
          <w:rFonts w:ascii="Times New Roman" w:hAnsi="Times New Roman"/>
          <w:color w:val="000000"/>
        </w:rPr>
        <w:t xml:space="preserve"> sample, for which a value of 3.86 was measured).</w:t>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Normal"/>
        <w:shd w:val="clear" w:color="auto" w:fill="FFFFFF"/>
        <w:spacing w:lineRule="auto" w:line="360"/>
        <w:jc w:val="both"/>
        <w:rPr>
          <w:rFonts w:ascii="Times New Roman" w:hAnsi="Times New Roman"/>
          <w:color w:val="000000"/>
        </w:rPr>
      </w:pPr>
      <w:r>
        <w:rPr>
          <w:rFonts w:ascii="Times New Roman" w:hAnsi="Times New Roman"/>
          <w:color w:val="000000"/>
        </w:rPr>
      </w:r>
    </w:p>
    <w:p>
      <w:pPr>
        <w:pStyle w:val="TextBody"/>
        <w:shd w:val="clear" w:color="auto" w:fill="FFFFFF"/>
        <w:spacing w:lineRule="auto" w:line="360"/>
        <w:jc w:val="both"/>
        <w:rPr>
          <w:sz w:val="26"/>
          <w:szCs w:val="26"/>
        </w:rPr>
      </w:pPr>
      <w:r>
        <w:rPr>
          <w:rFonts w:ascii="Times New Roman" w:hAnsi="Times New Roman"/>
          <w:b/>
          <w:bCs/>
          <w:sz w:val="24"/>
          <w:szCs w:val="24"/>
        </w:rPr>
        <w:t>3.3. Differences in immune gene expression between the laboratory and wild-derived isolates</w:t>
      </w:r>
      <w:r>
        <w:rPr>
          <w:rFonts w:ascii="Times New Roman" w:hAnsi="Times New Roman"/>
          <w:b/>
          <w:bCs/>
          <w:sz w:val="26"/>
          <w:szCs w:val="26"/>
        </w:rPr>
        <w:t xml:space="preserve"> </w:t>
      </w:r>
    </w:p>
    <w:p>
      <w:pPr>
        <w:pStyle w:val="TextBodyIndent"/>
        <w:spacing w:lineRule="auto" w:line="360"/>
        <w:jc w:val="both"/>
        <w:rPr/>
      </w:pPr>
      <w:r>
        <w:rPr>
          <w:rFonts w:ascii="Times New Roman" w:hAnsi="Times New Roman"/>
          <w:color w:val="000000"/>
        </w:rPr>
        <w:t xml:space="preserve">To characterize potential differences in the immune response of NMRI mice against the </w:t>
      </w:r>
      <w:r>
        <w:rPr>
          <w:rFonts w:ascii="Times New Roman" w:hAnsi="Times New Roman"/>
          <w:i/>
          <w:iCs/>
          <w:color w:val="000000"/>
        </w:rPr>
        <w:t>Eimeria</w:t>
      </w:r>
      <w:r>
        <w:rPr>
          <w:rFonts w:ascii="Times New Roman" w:hAnsi="Times New Roman"/>
          <w:color w:val="000000"/>
        </w:rPr>
        <w:t xml:space="preserve"> isolates, we assessed gene expression of relevant cytokines in the spleen </w:t>
      </w:r>
      <w:r>
        <w:rPr>
          <w:rFonts w:ascii="Times New Roman" w:hAnsi="Times New Roman"/>
          <w:color w:val="000000"/>
        </w:rPr>
        <w:t>and caecum</w:t>
      </w:r>
      <w:r>
        <w:rPr>
          <w:rFonts w:ascii="Times New Roman" w:hAnsi="Times New Roman"/>
          <w:color w:val="000000"/>
        </w:rPr>
        <w:t xml:space="preserve">. Expression levels for most genes differ significantly between uninfected controls and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(Figure 4). We used linear mixed effect models with dpi as random effect to “pool” information over multiple dpi, effectively increasing sample sizes (Table 2). Mice infected with </w:t>
      </w:r>
      <w:r>
        <w:rPr>
          <w:rFonts w:ascii="Times New Roman" w:hAnsi="Times New Roman"/>
          <w:i/>
          <w:iCs/>
          <w:color w:val="000000"/>
        </w:rPr>
        <w:t>E. falciformis</w:t>
      </w:r>
      <w:r>
        <w:rPr>
          <w:rFonts w:ascii="Times New Roman" w:hAnsi="Times New Roman"/>
          <w:color w:val="000000"/>
        </w:rPr>
        <w:t xml:space="preserve"> BayerHaberkorn1970 show significantly higher expression levels of </w:t>
      </w:r>
      <w:r>
        <w:rPr/>
        <w:t>ch</w:t>
      </w:r>
      <w:r>
        <w:rPr>
          <w:rFonts w:ascii="Times New Roman" w:hAnsi="Times New Roman"/>
          <w:color w:val="000000"/>
        </w:rPr>
        <w:t>emokine 9 (</w:t>
      </w:r>
      <w:r>
        <w:rPr>
          <w:rFonts w:ascii="Times New Roman" w:hAnsi="Times New Roman"/>
          <w:i/>
          <w:iCs/>
          <w:color w:val="000000"/>
        </w:rPr>
        <w:t>CxCl9</w:t>
      </w:r>
      <w:r>
        <w:rPr>
          <w:rFonts w:ascii="Times New Roman" w:hAnsi="Times New Roman"/>
          <w:color w:val="000000"/>
        </w:rPr>
        <w:t>), interleukins 10 and 12 (</w:t>
      </w:r>
      <w:r>
        <w:rPr>
          <w:rFonts w:ascii="Times New Roman" w:hAnsi="Times New Roman"/>
          <w:i/>
          <w:iCs/>
          <w:color w:val="000000"/>
        </w:rPr>
        <w:t>Il10</w:t>
      </w:r>
      <w:r>
        <w:rPr>
          <w:rFonts w:ascii="Times New Roman" w:hAnsi="Times New Roman"/>
          <w:color w:val="000000"/>
        </w:rPr>
        <w:t xml:space="preserve"> and </w:t>
      </w:r>
      <w:r>
        <w:rPr>
          <w:rFonts w:ascii="Times New Roman" w:hAnsi="Times New Roman"/>
          <w:i/>
          <w:iCs/>
          <w:color w:val="000000"/>
        </w:rPr>
        <w:t>Il12</w:t>
      </w:r>
      <w:r>
        <w:rPr>
          <w:rFonts w:ascii="Times New Roman" w:hAnsi="Times New Roman"/>
          <w:color w:val="000000"/>
        </w:rPr>
        <w:t>), tumour growth factor beta (</w:t>
      </w:r>
      <w:r>
        <w:rPr>
          <w:rFonts w:ascii="Times New Roman" w:hAnsi="Times New Roman"/>
          <w:i/>
          <w:iCs/>
          <w:color w:val="000000"/>
        </w:rPr>
        <w:t>Tgfβ</w:t>
      </w:r>
      <w:r>
        <w:rPr>
          <w:rFonts w:ascii="Times New Roman" w:hAnsi="Times New Roman"/>
          <w:color w:val="000000"/>
        </w:rPr>
        <w:t>), and signal transducer and activator of transcription 6 (</w:t>
      </w:r>
      <w:r>
        <w:rPr>
          <w:rFonts w:ascii="Times New Roman" w:hAnsi="Times New Roman"/>
          <w:i/>
          <w:iCs/>
          <w:color w:val="000000"/>
        </w:rPr>
        <w:t>Stat6</w:t>
      </w:r>
      <w:r>
        <w:rPr>
          <w:rFonts w:ascii="Times New Roman" w:hAnsi="Times New Roman"/>
          <w:color w:val="000000"/>
        </w:rPr>
        <w:t xml:space="preserve">). We did not detect significant expression differences between control and </w:t>
      </w:r>
      <w:r>
        <w:rPr>
          <w:rFonts w:ascii="Times New Roman" w:hAnsi="Times New Roman"/>
          <w:i/>
          <w:iCs/>
          <w:color w:val="000000"/>
        </w:rPr>
        <w:t>E. falciformis</w:t>
      </w:r>
      <w:r>
        <w:rPr>
          <w:rFonts w:ascii="Times New Roman" w:hAnsi="Times New Roman"/>
          <w:color w:val="000000"/>
        </w:rPr>
        <w:t xml:space="preserve"> BayerHaberkorn1970 infected mice for interleukin 6 (</w:t>
      </w:r>
      <w:r>
        <w:rPr>
          <w:rFonts w:ascii="Times New Roman" w:hAnsi="Times New Roman"/>
          <w:i/>
          <w:iCs/>
          <w:color w:val="000000"/>
        </w:rPr>
        <w:t>Il6</w:t>
      </w:r>
      <w:r>
        <w:rPr>
          <w:rFonts w:ascii="Times New Roman" w:hAnsi="Times New Roman"/>
          <w:color w:val="000000"/>
        </w:rPr>
        <w:t>) and interferon gamma (</w:t>
      </w:r>
      <w:r>
        <w:rPr>
          <w:rFonts w:ascii="Times New Roman" w:hAnsi="Times New Roman"/>
          <w:i/>
          <w:iCs/>
          <w:color w:val="000000"/>
        </w:rPr>
        <w:t>Ifnγ</w:t>
      </w:r>
      <w:r>
        <w:rPr>
          <w:rFonts w:ascii="Times New Roman" w:hAnsi="Times New Roman"/>
          <w:color w:val="000000"/>
        </w:rPr>
        <w:t xml:space="preserve">). </w:t>
      </w:r>
    </w:p>
    <w:p>
      <w:pPr>
        <w:pStyle w:val="TextBodyIndent"/>
        <w:spacing w:lineRule="auto" w:line="360"/>
        <w:jc w:val="both"/>
        <w:rPr/>
      </w:pPr>
      <w:r>
        <w:rPr>
          <w:rFonts w:ascii="Times New Roman" w:hAnsi="Times New Roman"/>
          <w:color w:val="000000"/>
          <w:highlight w:val="white"/>
        </w:rPr>
        <w:t xml:space="preserve">In contrast, </w:t>
      </w:r>
      <w:r>
        <w:rPr>
          <w:rFonts w:ascii="Times New Roman" w:hAnsi="Times New Roman"/>
          <w:color w:val="000000"/>
        </w:rPr>
        <w:t xml:space="preserve">for both wild-derived strains, </w:t>
      </w:r>
      <w:r>
        <w:rPr>
          <w:rFonts w:ascii="Times New Roman" w:hAnsi="Times New Roman"/>
          <w:i/>
          <w:iCs/>
          <w:color w:val="000000"/>
          <w:highlight w:val="white"/>
        </w:rPr>
        <w:t>E. falciformis</w:t>
      </w:r>
      <w:r>
        <w:rPr>
          <w:rFonts w:ascii="Times New Roman" w:hAnsi="Times New Roman"/>
          <w:color w:val="000000"/>
          <w:highlight w:val="white"/>
        </w:rPr>
        <w:t xml:space="preserve"> Brandenburg88 and </w:t>
      </w:r>
      <w:r>
        <w:rPr>
          <w:rFonts w:ascii="Times New Roman" w:hAnsi="Times New Roman"/>
          <w:i/>
          <w:iCs/>
          <w:color w:val="000000"/>
          <w:highlight w:val="white"/>
        </w:rPr>
        <w:t>E. ferris</w:t>
      </w:r>
      <w:bookmarkStart w:id="16" w:name="move515364668"/>
      <w:bookmarkEnd w:id="16"/>
      <w:r>
        <w:rPr>
          <w:rFonts w:ascii="Times New Roman" w:hAnsi="Times New Roman"/>
          <w:i/>
          <w:iCs/>
          <w:color w:val="000000"/>
          <w:highlight w:val="white"/>
        </w:rPr>
        <w:t>i</w:t>
      </w:r>
      <w:r>
        <w:rPr>
          <w:rFonts w:ascii="Times New Roman" w:hAnsi="Times New Roman"/>
          <w:color w:val="000000"/>
          <w:highlight w:val="white"/>
        </w:rPr>
        <w:t xml:space="preserve"> Brandenburg64, </w:t>
      </w:r>
      <w:r>
        <w:rPr>
          <w:rFonts w:ascii="Times New Roman" w:hAnsi="Times New Roman"/>
          <w:color w:val="000000"/>
        </w:rPr>
        <w:t xml:space="preserve">expression levels </w:t>
      </w:r>
      <w:r>
        <w:rPr>
          <w:rFonts w:ascii="Times New Roman" w:hAnsi="Times New Roman"/>
          <w:color w:val="000000"/>
          <w:highlight w:val="white"/>
        </w:rPr>
        <w:t>for any of the examined genes</w:t>
      </w:r>
      <w:r>
        <w:rPr>
          <w:rFonts w:ascii="Times New Roman" w:hAnsi="Times New Roman"/>
          <w:color w:val="000000"/>
        </w:rPr>
        <w:t xml:space="preserve"> do not differ significantly between uninfected and infected mice</w:t>
      </w:r>
      <w:r>
        <w:rPr>
          <w:rFonts w:ascii="Times New Roman" w:hAnsi="Times New Roman"/>
          <w:color w:val="000000"/>
          <w:highlight w:val="white"/>
        </w:rPr>
        <w:t>. E</w:t>
      </w:r>
      <w:r>
        <w:rPr>
          <w:rFonts w:ascii="Times New Roman" w:hAnsi="Times New Roman"/>
          <w:color w:val="000000"/>
        </w:rPr>
        <w:t xml:space="preserve">xpression levels in infections with the laboratory isolate are significantly elevated also compared to infections with both wild derived parasite isolates </w:t>
      </w:r>
      <w:r>
        <w:rPr>
          <w:rFonts w:ascii="Times New Roman" w:hAnsi="Times New Roman"/>
          <w:color w:val="000000"/>
          <w:highlight w:val="white"/>
        </w:rPr>
        <w:t xml:space="preserve">(Table 2). </w:t>
      </w:r>
    </w:p>
    <w:p>
      <w:pPr>
        <w:pStyle w:val="TextBodyIndent"/>
        <w:spacing w:lineRule="auto" w:line="360"/>
        <w:jc w:val="both"/>
        <w:rPr/>
      </w:pPr>
      <w:r>
        <w:rPr>
          <w:rFonts w:ascii="Times New Roman" w:hAnsi="Times New Roman"/>
          <w:color w:val="000000"/>
        </w:rPr>
        <w:t>Some genes show (according to the model outlined above) non-significant differences in gene expression profiles over the negative control for the whole course of infection. This includes differences between infections with different parasite isolates (Figure 4).</w:t>
      </w:r>
      <w:r>
        <w:rPr>
          <w:rFonts w:ascii="Times New Roman" w:hAnsi="Times New Roman"/>
        </w:rPr>
        <w:t xml:space="preserve"> We did not analyse these differences on individual days statistically due to the low sample sizes, but give a description of our observations. </w:t>
      </w:r>
      <w:r>
        <w:rPr>
          <w:rFonts w:ascii="Times New Roman" w:hAnsi="Times New Roman"/>
          <w:i/>
          <w:iCs/>
        </w:rPr>
        <w:t>Il6</w:t>
      </w:r>
      <w:r>
        <w:rPr>
          <w:rFonts w:ascii="Times New Roman" w:hAnsi="Times New Roman"/>
        </w:rPr>
        <w:t xml:space="preserve"> shows elevated levels of expression for all infection groups compared to controls at 5 dpi. Expression levels for </w:t>
      </w:r>
      <w:r>
        <w:rPr>
          <w:rFonts w:ascii="Times New Roman" w:hAnsi="Times New Roman"/>
          <w:i/>
          <w:iCs/>
          <w:color w:val="000000"/>
          <w:highlight w:val="white"/>
        </w:rPr>
        <w:t>Ifnγ</w:t>
      </w:r>
      <w:r>
        <w:rPr>
          <w:rFonts w:ascii="Times New Roman" w:hAnsi="Times New Roman"/>
          <w:color w:val="000000"/>
          <w:highlight w:val="white"/>
        </w:rPr>
        <w:t xml:space="preserve"> seem elevated only at 5 dpi and only in infections with the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Both cases of potential elevations in expression fail to be detected as significant over controls in our mixed effect models, likely because they are transient and diminished already at 7 dpi. </w:t>
      </w:r>
      <w:r>
        <w:rPr>
          <w:rFonts w:ascii="Times New Roman" w:hAnsi="Times New Roman"/>
          <w:i/>
          <w:iCs/>
        </w:rPr>
        <w:t>Il10</w:t>
      </w:r>
      <w:r>
        <w:rPr>
          <w:rFonts w:ascii="Times New Roman" w:hAnsi="Times New Roman"/>
        </w:rPr>
        <w:t xml:space="preserve">, </w:t>
      </w:r>
      <w:r>
        <w:rPr>
          <w:rFonts w:ascii="Times New Roman" w:hAnsi="Times New Roman"/>
          <w:i/>
          <w:iCs/>
        </w:rPr>
        <w:t>Il12</w:t>
      </w:r>
      <w:r>
        <w:rPr>
          <w:rFonts w:ascii="Times New Roman" w:hAnsi="Times New Roman"/>
        </w:rPr>
        <w:t xml:space="preserve">, </w:t>
      </w:r>
      <w:r>
        <w:rPr>
          <w:rFonts w:ascii="Times New Roman" w:hAnsi="Times New Roman"/>
          <w:i/>
          <w:iCs/>
        </w:rPr>
        <w:t>Stat6</w:t>
      </w:r>
      <w:r>
        <w:rPr>
          <w:rFonts w:ascii="Times New Roman" w:hAnsi="Times New Roman"/>
        </w:rPr>
        <w:t xml:space="preserve"> and </w:t>
      </w:r>
      <w:r>
        <w:rPr>
          <w:rFonts w:ascii="Times New Roman" w:hAnsi="Times New Roman"/>
          <w:i/>
          <w:iCs/>
        </w:rPr>
        <w:t>CxCl9</w:t>
      </w:r>
      <w:r>
        <w:rPr>
          <w:rFonts w:ascii="Times New Roman" w:hAnsi="Times New Roman"/>
        </w:rPr>
        <w:t xml:space="preserve"> show elevated expression levels at multiple days of infection with </w:t>
      </w:r>
      <w:r>
        <w:rPr>
          <w:rFonts w:ascii="Times New Roman" w:hAnsi="Times New Roman"/>
          <w:i/>
          <w:iCs/>
        </w:rPr>
        <w:t>E. falciformis</w:t>
      </w:r>
      <w:r>
        <w:rPr>
          <w:rFonts w:ascii="Times New Roman" w:hAnsi="Times New Roman"/>
        </w:rPr>
        <w:t xml:space="preserve"> BayerHaberkorn1970 compared to all other infection groups (and were thus significant in our model). </w:t>
      </w:r>
      <w:r>
        <w:rPr>
          <w:rFonts w:ascii="Times New Roman" w:hAnsi="Times New Roman"/>
          <w:i/>
          <w:iCs/>
          <w:color w:val="000000"/>
          <w:highlight w:val="white"/>
        </w:rPr>
        <w:t>Tgfβ</w:t>
      </w:r>
      <w:r>
        <w:rPr>
          <w:rFonts w:ascii="Times New Roman" w:hAnsi="Times New Roman"/>
          <w:color w:val="000000"/>
          <w:highlight w:val="white"/>
        </w:rPr>
        <w:t xml:space="preserve"> shows elevated expression levels early in infection with </w:t>
      </w:r>
      <w:r>
        <w:rPr>
          <w:rFonts w:ascii="Times New Roman" w:hAnsi="Times New Roman"/>
          <w:i/>
          <w:iCs/>
          <w:color w:val="000000"/>
          <w:highlight w:val="white"/>
        </w:rPr>
        <w:t>E. ferrisi</w:t>
      </w:r>
      <w:r>
        <w:rPr>
          <w:rFonts w:ascii="Times New Roman" w:hAnsi="Times New Roman"/>
          <w:color w:val="000000"/>
          <w:highlight w:val="white"/>
        </w:rPr>
        <w:t xml:space="preserve"> (3 and 5 dpi) and late in infections with </w:t>
      </w:r>
      <w:r>
        <w:rPr>
          <w:rFonts w:ascii="Times New Roman" w:hAnsi="Times New Roman"/>
          <w:i/>
          <w:iCs/>
          <w:color w:val="000000"/>
          <w:highlight w:val="white"/>
        </w:rPr>
        <w:t>E. falciformis</w:t>
      </w:r>
      <w:r>
        <w:rPr>
          <w:rFonts w:ascii="Times New Roman" w:hAnsi="Times New Roman"/>
          <w:color w:val="000000"/>
          <w:highlight w:val="white"/>
        </w:rPr>
        <w:t xml:space="preserve"> BayerHaberkorn (7 and 9 dpi). Taken together these observations add detail on the individual cytokines and underline our general finding of differences between wild-derived and laboratory isolates of </w:t>
      </w:r>
      <w:r>
        <w:rPr>
          <w:rFonts w:ascii="Times New Roman" w:hAnsi="Times New Roman"/>
          <w:i/>
          <w:iCs/>
          <w:color w:val="000000"/>
          <w:highlight w:val="white"/>
        </w:rPr>
        <w:t>E. falciformis</w:t>
      </w:r>
      <w:r>
        <w:rPr>
          <w:rFonts w:ascii="Times New Roman" w:hAnsi="Times New Roman"/>
          <w:color w:val="000000"/>
          <w:highlight w:val="white"/>
        </w:rPr>
        <w:t xml:space="preserve">. </w:t>
      </w:r>
    </w:p>
    <w:p>
      <w:pPr>
        <w:sectPr>
          <w:footerReference w:type="default" r:id="rId9"/>
          <w:type w:val="nextPage"/>
          <w:pgSz w:w="12240" w:h="15840"/>
          <w:pgMar w:left="1134" w:right="1134" w:header="0" w:top="1134" w:footer="0" w:bottom="1134" w:gutter="0"/>
          <w:pgNumType w:fmt="decimal"/>
          <w:formProt w:val="false"/>
          <w:textDirection w:val="lrTb"/>
          <w:docGrid w:type="default" w:linePitch="312" w:charSpace="0"/>
        </w:sectPr>
        <w:pStyle w:val="TextBodyIndent"/>
        <w:spacing w:lineRule="auto" w:line="360"/>
        <w:jc w:val="both"/>
        <w:rPr/>
      </w:pPr>
      <w:r>
        <w:rPr>
          <w:rFonts w:ascii="Times New Roman" w:hAnsi="Times New Roman"/>
          <w:color w:val="000000"/>
          <w:highlight w:val="white"/>
        </w:rPr>
        <w:t xml:space="preserve">In summary host gene expression of genes relevant for immune responses does not differ significantly from uninfected controls during infection with wild derived isolates of both </w:t>
      </w:r>
      <w:r>
        <w:rPr>
          <w:rFonts w:ascii="Times New Roman" w:hAnsi="Times New Roman"/>
          <w:i/>
          <w:iCs/>
          <w:color w:val="000000"/>
          <w:highlight w:val="white"/>
        </w:rPr>
        <w:t>E. falciformis</w:t>
      </w:r>
      <w:r>
        <w:rPr>
          <w:rFonts w:ascii="Times New Roman" w:hAnsi="Times New Roman"/>
          <w:color w:val="000000"/>
          <w:highlight w:val="white"/>
        </w:rPr>
        <w:t xml:space="preserve"> and </w:t>
      </w:r>
      <w:r>
        <w:rPr>
          <w:rFonts w:ascii="Times New Roman" w:hAnsi="Times New Roman"/>
          <w:i/>
          <w:iCs/>
          <w:color w:val="000000"/>
          <w:highlight w:val="white"/>
        </w:rPr>
        <w:t>E. ferrisi</w:t>
      </w:r>
      <w:r>
        <w:rPr>
          <w:rFonts w:ascii="Times New Roman" w:hAnsi="Times New Roman"/>
          <w:color w:val="000000"/>
          <w:highlight w:val="white"/>
        </w:rPr>
        <w:t xml:space="preserve">. In contrast, most genes are expressed at significantly higher levels in infections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compared to uninfected controls but also to all other infections including those with the wild derived </w:t>
      </w:r>
      <w:r>
        <w:rPr>
          <w:rFonts w:ascii="Times New Roman" w:hAnsi="Times New Roman"/>
          <w:i/>
          <w:iCs/>
          <w:color w:val="000000"/>
          <w:highlight w:val="white"/>
        </w:rPr>
        <w:t>E. falciformis</w:t>
      </w:r>
      <w:r>
        <w:rPr>
          <w:rFonts w:ascii="Times New Roman" w:hAnsi="Times New Roman"/>
          <w:color w:val="000000"/>
          <w:highlight w:val="white"/>
        </w:rPr>
        <w:t xml:space="preserve"> Brandenburg88 isolate</w:t>
      </w:r>
      <w:r>
        <w:rPr>
          <w:rFonts w:ascii="Times New Roman" w:hAnsi="Times New Roman"/>
          <w:i/>
          <w:iCs/>
          <w:color w:val="000000"/>
          <w:highlight w:val="white"/>
        </w:rPr>
        <w:t xml:space="preserve">. </w:t>
      </w:r>
    </w:p>
    <w:p>
      <w:pPr>
        <w:pStyle w:val="Normal"/>
        <w:rPr/>
      </w:pPr>
      <w:r>
        <w:rPr/>
      </w:r>
    </w:p>
    <w:p>
      <w:pPr>
        <w:pStyle w:val="Normal"/>
        <w:rPr/>
      </w:pPr>
      <w:r>
        <w:rPr/>
      </w:r>
    </w:p>
    <w:p>
      <w:pPr>
        <w:pStyle w:val="TextBodyIndent"/>
        <w:spacing w:lineRule="auto" w:line="360"/>
        <w:jc w:val="both"/>
        <w:rPr>
          <w:rFonts w:ascii="Times New Roman" w:hAnsi="Times New Roman"/>
          <w:i/>
          <w:i/>
          <w:iCs/>
          <w:color w:val="000000"/>
          <w:highlight w:val="white"/>
        </w:rPr>
      </w:pPr>
      <w:r>
        <w:rPr>
          <w:rFonts w:ascii="Times New Roman" w:hAnsi="Times New Roman"/>
          <w:i/>
          <w:iCs/>
          <w:color w:val="000000"/>
          <w:highlight w:val="white"/>
        </w:rPr>
      </w:r>
    </w:p>
    <w:p>
      <w:pPr>
        <w:pStyle w:val="Normal"/>
        <w:spacing w:lineRule="auto" w:line="360"/>
        <w:jc w:val="both"/>
        <w:rPr/>
      </w:pPr>
      <w:r>
        <w:rPr>
          <w:rFonts w:ascii="Times New Roman" w:hAnsi="Times New Roman"/>
          <w:b/>
          <w:bCs/>
          <w:color w:val="000000"/>
        </w:rPr>
        <w:t>Table 2</w:t>
      </w:r>
      <w:r>
        <w:rPr>
          <w:rFonts w:ascii="Times New Roman" w:hAnsi="Times New Roman"/>
          <w:color w:val="000000"/>
        </w:rPr>
        <w:t xml:space="preserve"> – Generalized linear mixed effect models show gene expression differences between wild (Brandenburg88; EfalW) and laboratory (BayerHaberkorn1970; EfalL) isolates of </w:t>
      </w:r>
      <w:r>
        <w:rPr>
          <w:rFonts w:ascii="Times New Roman" w:hAnsi="Times New Roman"/>
          <w:i/>
          <w:iCs/>
          <w:color w:val="000000"/>
        </w:rPr>
        <w:t xml:space="preserve">E. falciformis, </w:t>
      </w:r>
      <w:r>
        <w:rPr>
          <w:rFonts w:ascii="Times New Roman" w:hAnsi="Times New Roman"/>
          <w:i w:val="false"/>
          <w:iCs w:val="false"/>
          <w:color w:val="000000"/>
        </w:rPr>
        <w:t xml:space="preserve">a wild-derived isolate of </w:t>
      </w:r>
      <w:r>
        <w:rPr>
          <w:rFonts w:ascii="Times New Roman" w:hAnsi="Times New Roman"/>
          <w:i/>
          <w:iCs/>
          <w:color w:val="000000"/>
        </w:rPr>
        <w:t>E. ferrisi</w:t>
      </w:r>
      <w:r>
        <w:rPr>
          <w:rFonts w:ascii="Times New Roman" w:hAnsi="Times New Roman"/>
          <w:i w:val="false"/>
          <w:iCs w:val="false"/>
          <w:color w:val="000000"/>
        </w:rPr>
        <w:t xml:space="preserve"> (Brandenburg64) and uninfected controls (Uninf).</w:t>
      </w:r>
    </w:p>
    <w:tbl>
      <w:tblPr>
        <w:tblW w:w="18881" w:type="dxa"/>
        <w:jc w:val="left"/>
        <w:tblInd w:w="0" w:type="dxa"/>
        <w:tblCellMar>
          <w:top w:w="113" w:type="dxa"/>
          <w:left w:w="0" w:type="dxa"/>
          <w:bottom w:w="0" w:type="dxa"/>
          <w:right w:w="0" w:type="dxa"/>
        </w:tblCellMar>
      </w:tblPr>
      <w:tblGrid>
        <w:gridCol w:w="1793"/>
        <w:gridCol w:w="76"/>
        <w:gridCol w:w="572"/>
        <w:gridCol w:w="1235"/>
        <w:gridCol w:w="572"/>
        <w:gridCol w:w="9"/>
        <w:gridCol w:w="47"/>
        <w:gridCol w:w="8"/>
        <w:gridCol w:w="555"/>
        <w:gridCol w:w="1133"/>
        <w:gridCol w:w="689"/>
        <w:gridCol w:w="6"/>
        <w:gridCol w:w="39"/>
        <w:gridCol w:w="8"/>
        <w:gridCol w:w="564"/>
        <w:gridCol w:w="1188"/>
        <w:gridCol w:w="572"/>
        <w:gridCol w:w="13"/>
        <w:gridCol w:w="44"/>
        <w:gridCol w:w="9"/>
        <w:gridCol w:w="540"/>
        <w:gridCol w:w="1146"/>
        <w:gridCol w:w="565"/>
        <w:gridCol w:w="11"/>
        <w:gridCol w:w="51"/>
        <w:gridCol w:w="11"/>
        <w:gridCol w:w="607"/>
        <w:gridCol w:w="1195"/>
        <w:gridCol w:w="506"/>
        <w:gridCol w:w="15"/>
        <w:gridCol w:w="64"/>
        <w:gridCol w:w="17"/>
        <w:gridCol w:w="580"/>
        <w:gridCol w:w="1134"/>
        <w:gridCol w:w="797"/>
        <w:gridCol w:w="25"/>
        <w:gridCol w:w="32"/>
        <w:gridCol w:w="23"/>
        <w:gridCol w:w="481"/>
        <w:gridCol w:w="1301"/>
        <w:gridCol w:w="641"/>
      </w:tblGrid>
      <w:tr>
        <w:trPr/>
        <w:tc>
          <w:tcPr>
            <w:tcW w:w="1793" w:type="dxa"/>
            <w:tcBorders>
              <w:top w:val="double" w:sz="2" w:space="0" w:color="000001"/>
            </w:tcBorders>
            <w:shd w:fill="auto" w:val="clear"/>
            <w:vAlign w:val="center"/>
          </w:tcPr>
          <w:p>
            <w:pPr>
              <w:pStyle w:val="TableContents"/>
              <w:rPr/>
            </w:pPr>
            <w:r>
              <w:rPr/>
            </w:r>
          </w:p>
        </w:tc>
        <w:tc>
          <w:tcPr>
            <w:tcW w:w="76" w:type="dxa"/>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8"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CxCL9</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83"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Il10</w:t>
            </w:r>
          </w:p>
        </w:tc>
        <w:tc>
          <w:tcPr>
            <w:tcW w:w="47"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37"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Il12</w:t>
            </w:r>
          </w:p>
        </w:tc>
        <w:tc>
          <w:tcPr>
            <w:tcW w:w="53"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262"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Il6</w:t>
            </w:r>
          </w:p>
        </w:tc>
        <w:tc>
          <w:tcPr>
            <w:tcW w:w="62"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323"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Infγ</w:t>
            </w:r>
          </w:p>
        </w:tc>
        <w:tc>
          <w:tcPr>
            <w:tcW w:w="81"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536" w:type="dxa"/>
            <w:gridSpan w:val="4"/>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Stat6</w:t>
            </w:r>
          </w:p>
        </w:tc>
        <w:tc>
          <w:tcPr>
            <w:tcW w:w="55" w:type="dxa"/>
            <w:gridSpan w:val="2"/>
            <w:tcBorders>
              <w:top w:val="double" w:sz="2" w:space="0" w:color="000001"/>
              <w:bottom w:val="single" w:sz="2" w:space="0" w:color="000001"/>
            </w:tcBorders>
            <w:shd w:fill="auto" w:val="clear"/>
            <w:tcMar>
              <w:top w:w="28" w:type="dxa"/>
              <w:bottom w:w="28" w:type="dxa"/>
            </w:tcMar>
            <w:vAlign w:val="center"/>
          </w:tcPr>
          <w:p>
            <w:pPr>
              <w:pStyle w:val="TableContents"/>
              <w:rPr/>
            </w:pPr>
            <w:r>
              <w:rPr/>
            </w:r>
          </w:p>
        </w:tc>
        <w:tc>
          <w:tcPr>
            <w:tcW w:w="2423" w:type="dxa"/>
            <w:gridSpan w:val="3"/>
            <w:tcBorders>
              <w:top w:val="double" w:sz="2" w:space="0" w:color="000001"/>
              <w:bottom w:val="single" w:sz="2" w:space="0" w:color="000001"/>
            </w:tcBorders>
            <w:shd w:fill="auto" w:val="clear"/>
            <w:tcMar>
              <w:bottom w:w="113" w:type="dxa"/>
            </w:tcMar>
            <w:vAlign w:val="center"/>
          </w:tcPr>
          <w:p>
            <w:pPr>
              <w:pStyle w:val="Normal"/>
              <w:spacing w:lineRule="auto" w:line="360"/>
              <w:jc w:val="center"/>
              <w:rPr/>
            </w:pPr>
            <w:r>
              <w:rPr>
                <w:rFonts w:ascii="Times New Roman" w:hAnsi="Times New Roman"/>
                <w:i/>
                <w:iCs/>
                <w:color w:val="000000"/>
              </w:rPr>
              <w:t>Tgfβ</w:t>
            </w:r>
          </w:p>
        </w:tc>
      </w:tr>
      <w:tr>
        <w:trPr/>
        <w:tc>
          <w:tcPr>
            <w:tcW w:w="1793" w:type="dxa"/>
            <w:tcBorders/>
            <w:shd w:fill="auto" w:val="clear"/>
            <w:tcMar>
              <w:top w:w="0" w:type="dxa"/>
            </w:tcMar>
            <w:vAlign w:val="center"/>
          </w:tcPr>
          <w:p>
            <w:pPr>
              <w:pStyle w:val="TableContents"/>
              <w:rPr/>
            </w:pPr>
            <w:r>
              <w:rPr/>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i/>
                <w:i/>
              </w:rPr>
            </w:pPr>
            <w:r>
              <w:rPr>
                <w:i/>
              </w:rPr>
              <w:t>B</w:t>
            </w:r>
          </w:p>
        </w:tc>
        <w:tc>
          <w:tcPr>
            <w:tcW w:w="1235"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i/>
                <w:i/>
              </w:rPr>
            </w:pPr>
            <w:r>
              <w:rPr>
                <w:i/>
              </w:rPr>
              <w:t>B</w:t>
            </w:r>
          </w:p>
        </w:tc>
        <w:tc>
          <w:tcPr>
            <w:tcW w:w="1133" w:type="dxa"/>
            <w:tcBorders/>
            <w:shd w:fill="auto" w:val="clear"/>
            <w:tcMar>
              <w:top w:w="0" w:type="dxa"/>
            </w:tcMar>
            <w:vAlign w:val="center"/>
          </w:tcPr>
          <w:p>
            <w:pPr>
              <w:pStyle w:val="TableContents"/>
              <w:jc w:val="center"/>
              <w:rPr>
                <w:i/>
                <w:i/>
              </w:rPr>
            </w:pPr>
            <w:r>
              <w:rPr>
                <w:i/>
              </w:rPr>
              <w:t>CI</w:t>
            </w:r>
          </w:p>
        </w:tc>
        <w:tc>
          <w:tcPr>
            <w:tcW w:w="689" w:type="dxa"/>
            <w:tcBorders/>
            <w:shd w:fill="auto" w:val="clear"/>
            <w:tcMar>
              <w:top w:w="0" w:type="dxa"/>
            </w:tcMar>
            <w:vAlign w:val="center"/>
          </w:tcPr>
          <w:p>
            <w:pPr>
              <w:pStyle w:val="TableContents"/>
              <w:jc w:val="center"/>
              <w:rPr>
                <w:i/>
                <w:i/>
              </w:rPr>
            </w:pPr>
            <w:r>
              <w:rPr>
                <w:i/>
              </w:rPr>
              <w:t>p</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i/>
                <w:i/>
              </w:rPr>
            </w:pPr>
            <w:r>
              <w:rPr>
                <w:i/>
              </w:rPr>
              <w:t>B</w:t>
            </w:r>
          </w:p>
        </w:tc>
        <w:tc>
          <w:tcPr>
            <w:tcW w:w="1188" w:type="dxa"/>
            <w:tcBorders/>
            <w:shd w:fill="auto" w:val="clear"/>
            <w:tcMar>
              <w:top w:w="0" w:type="dxa"/>
            </w:tcMar>
            <w:vAlign w:val="center"/>
          </w:tcPr>
          <w:p>
            <w:pPr>
              <w:pStyle w:val="TableContents"/>
              <w:jc w:val="center"/>
              <w:rPr>
                <w:i/>
                <w:i/>
              </w:rPr>
            </w:pPr>
            <w:r>
              <w:rPr>
                <w:i/>
              </w:rPr>
              <w:t>CI</w:t>
            </w:r>
          </w:p>
        </w:tc>
        <w:tc>
          <w:tcPr>
            <w:tcW w:w="572"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i/>
                <w:i/>
              </w:rPr>
            </w:pPr>
            <w:r>
              <w:rPr>
                <w:i/>
              </w:rPr>
              <w:t>B</w:t>
            </w:r>
          </w:p>
        </w:tc>
        <w:tc>
          <w:tcPr>
            <w:tcW w:w="1146" w:type="dxa"/>
            <w:tcBorders/>
            <w:shd w:fill="auto" w:val="clear"/>
            <w:tcMar>
              <w:top w:w="0" w:type="dxa"/>
            </w:tcMar>
            <w:vAlign w:val="center"/>
          </w:tcPr>
          <w:p>
            <w:pPr>
              <w:pStyle w:val="TableContents"/>
              <w:jc w:val="center"/>
              <w:rPr>
                <w:i/>
                <w:i/>
              </w:rPr>
            </w:pPr>
            <w:r>
              <w:rPr>
                <w:i/>
              </w:rPr>
              <w:t>CI</w:t>
            </w:r>
          </w:p>
        </w:tc>
        <w:tc>
          <w:tcPr>
            <w:tcW w:w="565" w:type="dxa"/>
            <w:tcBorders/>
            <w:shd w:fill="auto" w:val="clear"/>
            <w:tcMar>
              <w:top w:w="0" w:type="dxa"/>
            </w:tcMar>
            <w:vAlign w:val="center"/>
          </w:tcPr>
          <w:p>
            <w:pPr>
              <w:pStyle w:val="TableContents"/>
              <w:jc w:val="center"/>
              <w:rPr>
                <w:i/>
                <w:i/>
              </w:rPr>
            </w:pPr>
            <w:r>
              <w:rPr>
                <w:i/>
              </w:rPr>
              <w:t>p</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i/>
                <w:i/>
              </w:rPr>
            </w:pPr>
            <w:r>
              <w:rPr>
                <w:i/>
              </w:rPr>
              <w:t>B</w:t>
            </w:r>
          </w:p>
        </w:tc>
        <w:tc>
          <w:tcPr>
            <w:tcW w:w="1195" w:type="dxa"/>
            <w:tcBorders/>
            <w:shd w:fill="auto" w:val="clear"/>
            <w:tcMar>
              <w:top w:w="0" w:type="dxa"/>
            </w:tcMar>
            <w:vAlign w:val="center"/>
          </w:tcPr>
          <w:p>
            <w:pPr>
              <w:pStyle w:val="TableContents"/>
              <w:jc w:val="center"/>
              <w:rPr>
                <w:i/>
                <w:i/>
              </w:rPr>
            </w:pPr>
            <w:r>
              <w:rPr>
                <w:i/>
              </w:rPr>
              <w:t>CI</w:t>
            </w:r>
          </w:p>
        </w:tc>
        <w:tc>
          <w:tcPr>
            <w:tcW w:w="506" w:type="dxa"/>
            <w:tcBorders/>
            <w:shd w:fill="auto" w:val="clear"/>
            <w:tcMar>
              <w:top w:w="0" w:type="dxa"/>
            </w:tcMar>
            <w:vAlign w:val="center"/>
          </w:tcPr>
          <w:p>
            <w:pPr>
              <w:pStyle w:val="TableContents"/>
              <w:jc w:val="center"/>
              <w:rPr>
                <w:i/>
                <w:i/>
              </w:rPr>
            </w:pPr>
            <w:r>
              <w:rPr>
                <w:i/>
              </w:rPr>
              <w:t>p</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i/>
                <w:i/>
              </w:rPr>
            </w:pPr>
            <w:r>
              <w:rPr>
                <w:i/>
              </w:rPr>
              <w:t>B</w:t>
            </w:r>
          </w:p>
        </w:tc>
        <w:tc>
          <w:tcPr>
            <w:tcW w:w="1134" w:type="dxa"/>
            <w:tcBorders/>
            <w:shd w:fill="auto" w:val="clear"/>
            <w:tcMar>
              <w:top w:w="0" w:type="dxa"/>
            </w:tcMar>
            <w:vAlign w:val="center"/>
          </w:tcPr>
          <w:p>
            <w:pPr>
              <w:pStyle w:val="TableContents"/>
              <w:jc w:val="center"/>
              <w:rPr>
                <w:i/>
                <w:i/>
              </w:rPr>
            </w:pPr>
            <w:r>
              <w:rPr>
                <w:i/>
              </w:rPr>
              <w:t>CI</w:t>
            </w:r>
          </w:p>
        </w:tc>
        <w:tc>
          <w:tcPr>
            <w:tcW w:w="797" w:type="dxa"/>
            <w:tcBorders/>
            <w:shd w:fill="auto" w:val="clear"/>
            <w:tcMar>
              <w:top w:w="0" w:type="dxa"/>
            </w:tcMar>
            <w:vAlign w:val="center"/>
          </w:tcPr>
          <w:p>
            <w:pPr>
              <w:pStyle w:val="TableContents"/>
              <w:jc w:val="center"/>
              <w:rPr>
                <w:i/>
                <w:i/>
              </w:rPr>
            </w:pPr>
            <w:r>
              <w:rPr>
                <w:i/>
              </w:rPr>
              <w:t>p</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i/>
                <w:i/>
              </w:rPr>
            </w:pPr>
            <w:r>
              <w:rPr>
                <w:i/>
              </w:rPr>
              <w:t>B</w:t>
            </w:r>
          </w:p>
        </w:tc>
        <w:tc>
          <w:tcPr>
            <w:tcW w:w="1301" w:type="dxa"/>
            <w:tcBorders/>
            <w:shd w:fill="auto" w:val="clear"/>
            <w:tcMar>
              <w:top w:w="0" w:type="dxa"/>
            </w:tcMar>
            <w:vAlign w:val="center"/>
          </w:tcPr>
          <w:p>
            <w:pPr>
              <w:pStyle w:val="TableContents"/>
              <w:jc w:val="center"/>
              <w:rPr>
                <w:i/>
                <w:i/>
              </w:rPr>
            </w:pPr>
            <w:r>
              <w:rPr>
                <w:i/>
              </w:rPr>
              <w:t>CI</w:t>
            </w:r>
          </w:p>
        </w:tc>
        <w:tc>
          <w:tcPr>
            <w:tcW w:w="641" w:type="dxa"/>
            <w:tcBorders/>
            <w:shd w:fill="auto" w:val="clear"/>
            <w:tcMar>
              <w:top w:w="0" w:type="dxa"/>
            </w:tcMar>
            <w:vAlign w:val="center"/>
          </w:tcPr>
          <w:p>
            <w:pPr>
              <w:pStyle w:val="TableContents"/>
              <w:jc w:val="center"/>
              <w:rPr>
                <w:i/>
                <w:i/>
              </w:rPr>
            </w:pPr>
            <w:r>
              <w:rPr>
                <w:i/>
              </w:rPr>
              <w:t>p</w:t>
            </w:r>
          </w:p>
        </w:tc>
      </w:tr>
      <w:tr>
        <w:trPr/>
        <w:tc>
          <w:tcPr>
            <w:tcW w:w="18874" w:type="dxa"/>
            <w:gridSpan w:val="41"/>
            <w:tcBorders>
              <w:top w:val="single" w:sz="2" w:space="0" w:color="000001"/>
            </w:tcBorders>
            <w:shd w:fill="auto" w:val="clear"/>
            <w:vAlign w:val="center"/>
          </w:tcPr>
          <w:p>
            <w:pPr>
              <w:pStyle w:val="TableContents"/>
              <w:jc w:val="left"/>
              <w:rPr>
                <w:b/>
                <w:b/>
              </w:rPr>
            </w:pPr>
            <w:r>
              <w:rPr>
                <w:b/>
              </w:rPr>
              <w:t>Fixed Par</w:t>
            </w:r>
            <w:r>
              <w:rPr>
                <w:b/>
                <w:sz w:val="24"/>
                <w:szCs w:val="24"/>
              </w:rPr>
              <w:t xml:space="preserve">ts: </w:t>
            </w:r>
            <w:r>
              <w:rPr>
                <w:b/>
                <w:i w:val="false"/>
                <w:caps w:val="false"/>
                <w:smallCaps w:val="false"/>
                <w:strike w:val="false"/>
                <w:dstrike w:val="false"/>
                <w:color w:val="000000"/>
                <w:spacing w:val="0"/>
                <w:sz w:val="24"/>
                <w:szCs w:val="24"/>
                <w:u w:val="none"/>
                <w:effect w:val="none"/>
              </w:rPr>
              <w:t>Contrast against uninfected (intercept)</w:t>
            </w:r>
          </w:p>
        </w:tc>
      </w:tr>
      <w:tr>
        <w:trPr/>
        <w:tc>
          <w:tcPr>
            <w:tcW w:w="1793" w:type="dxa"/>
            <w:tcBorders/>
            <w:shd w:fill="auto" w:val="clear"/>
            <w:tcMar>
              <w:top w:w="0" w:type="dxa"/>
            </w:tcMar>
            <w:vAlign w:val="center"/>
          </w:tcPr>
          <w:p>
            <w:pPr>
              <w:pStyle w:val="TableContents"/>
              <w:jc w:val="left"/>
              <w:rPr/>
            </w:pPr>
            <w:r>
              <w:rPr/>
              <w:t>(Intercept)</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0.39</w:t>
            </w:r>
          </w:p>
        </w:tc>
        <w:tc>
          <w:tcPr>
            <w:tcW w:w="1235" w:type="dxa"/>
            <w:tcBorders/>
            <w:shd w:fill="auto" w:val="clear"/>
            <w:tcMar>
              <w:top w:w="0" w:type="dxa"/>
            </w:tcMar>
            <w:vAlign w:val="center"/>
          </w:tcPr>
          <w:p>
            <w:pPr>
              <w:pStyle w:val="TableContents"/>
              <w:jc w:val="center"/>
              <w:rPr/>
            </w:pPr>
            <w:r>
              <w:rPr/>
              <w:t>-0.15–0.92</w:t>
            </w:r>
          </w:p>
        </w:tc>
        <w:tc>
          <w:tcPr>
            <w:tcW w:w="572" w:type="dxa"/>
            <w:tcBorders/>
            <w:shd w:fill="auto" w:val="clear"/>
            <w:tcMar>
              <w:top w:w="0" w:type="dxa"/>
            </w:tcMar>
            <w:vAlign w:val="center"/>
          </w:tcPr>
          <w:p>
            <w:pPr>
              <w:pStyle w:val="TableContents"/>
              <w:jc w:val="center"/>
              <w:rPr/>
            </w:pPr>
            <w:r>
              <w:rPr/>
              <w:t>.194</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0.04</w:t>
            </w:r>
          </w:p>
        </w:tc>
        <w:tc>
          <w:tcPr>
            <w:tcW w:w="1133" w:type="dxa"/>
            <w:tcBorders/>
            <w:shd w:fill="auto" w:val="clear"/>
            <w:tcMar>
              <w:top w:w="0" w:type="dxa"/>
            </w:tcMar>
            <w:vAlign w:val="center"/>
          </w:tcPr>
          <w:p>
            <w:pPr>
              <w:pStyle w:val="TableContents"/>
              <w:jc w:val="center"/>
              <w:rPr/>
            </w:pPr>
            <w:r>
              <w:rPr/>
              <w:t>0.01–0.07</w:t>
            </w:r>
          </w:p>
        </w:tc>
        <w:tc>
          <w:tcPr>
            <w:tcW w:w="689" w:type="dxa"/>
            <w:tcBorders/>
            <w:shd w:fill="auto" w:val="clear"/>
            <w:tcMar>
              <w:top w:w="0" w:type="dxa"/>
            </w:tcMar>
            <w:vAlign w:val="center"/>
          </w:tcPr>
          <w:p>
            <w:pPr>
              <w:pStyle w:val="TableContents"/>
              <w:jc w:val="center"/>
              <w:rPr/>
            </w:pPr>
            <w:r>
              <w:rPr/>
              <w:t>.012</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.035</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0.13</w:t>
            </w:r>
          </w:p>
        </w:tc>
        <w:tc>
          <w:tcPr>
            <w:tcW w:w="1146" w:type="dxa"/>
            <w:tcBorders/>
            <w:shd w:fill="auto" w:val="clear"/>
            <w:tcMar>
              <w:top w:w="0" w:type="dxa"/>
            </w:tcMar>
            <w:vAlign w:val="center"/>
          </w:tcPr>
          <w:p>
            <w:pPr>
              <w:pStyle w:val="TableContents"/>
              <w:jc w:val="center"/>
              <w:rPr/>
            </w:pPr>
            <w:r>
              <w:rPr/>
              <w:t>0.00–0.26</w:t>
            </w:r>
          </w:p>
        </w:tc>
        <w:tc>
          <w:tcPr>
            <w:tcW w:w="565" w:type="dxa"/>
            <w:tcBorders/>
            <w:shd w:fill="auto" w:val="clear"/>
            <w:tcMar>
              <w:top w:w="0" w:type="dxa"/>
            </w:tcMar>
            <w:vAlign w:val="center"/>
          </w:tcPr>
          <w:p>
            <w:pPr>
              <w:pStyle w:val="TableContents"/>
              <w:jc w:val="center"/>
              <w:rPr/>
            </w:pPr>
            <w:r>
              <w:rPr/>
              <w:t>.087</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0.04</w:t>
            </w:r>
          </w:p>
        </w:tc>
        <w:tc>
          <w:tcPr>
            <w:tcW w:w="1195" w:type="dxa"/>
            <w:tcBorders/>
            <w:shd w:fill="auto" w:val="clear"/>
            <w:tcMar>
              <w:top w:w="0" w:type="dxa"/>
            </w:tcMar>
            <w:vAlign w:val="center"/>
          </w:tcPr>
          <w:p>
            <w:pPr>
              <w:pStyle w:val="TableContents"/>
              <w:jc w:val="center"/>
              <w:rPr/>
            </w:pPr>
            <w:r>
              <w:rPr/>
              <w:t>-0.05–0.14</w:t>
            </w:r>
          </w:p>
        </w:tc>
        <w:tc>
          <w:tcPr>
            <w:tcW w:w="506" w:type="dxa"/>
            <w:tcBorders/>
            <w:shd w:fill="auto" w:val="clear"/>
            <w:tcMar>
              <w:top w:w="0" w:type="dxa"/>
            </w:tcMar>
            <w:vAlign w:val="center"/>
          </w:tcPr>
          <w:p>
            <w:pPr>
              <w:pStyle w:val="TableContents"/>
              <w:jc w:val="center"/>
              <w:rPr/>
            </w:pPr>
            <w:r>
              <w:rPr/>
              <w:t>.400</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0.07</w:t>
            </w:r>
          </w:p>
        </w:tc>
        <w:tc>
          <w:tcPr>
            <w:tcW w:w="1134" w:type="dxa"/>
            <w:tcBorders/>
            <w:shd w:fill="auto" w:val="clear"/>
            <w:tcMar>
              <w:top w:w="0" w:type="dxa"/>
            </w:tcMar>
            <w:vAlign w:val="center"/>
          </w:tcPr>
          <w:p>
            <w:pPr>
              <w:pStyle w:val="TableContents"/>
              <w:jc w:val="center"/>
              <w:rPr/>
            </w:pPr>
            <w:r>
              <w:rPr/>
              <w:t>0.01–0.13</w:t>
            </w:r>
          </w:p>
        </w:tc>
        <w:tc>
          <w:tcPr>
            <w:tcW w:w="797" w:type="dxa"/>
            <w:tcBorders/>
            <w:shd w:fill="auto" w:val="clear"/>
            <w:tcMar>
              <w:top w:w="0" w:type="dxa"/>
            </w:tcMar>
            <w:vAlign w:val="center"/>
          </w:tcPr>
          <w:p>
            <w:pPr>
              <w:pStyle w:val="TableContents"/>
              <w:jc w:val="center"/>
              <w:rPr/>
            </w:pPr>
            <w:r>
              <w:rPr/>
              <w:t>.045</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1.11</w:t>
            </w:r>
          </w:p>
        </w:tc>
        <w:tc>
          <w:tcPr>
            <w:tcW w:w="1301" w:type="dxa"/>
            <w:tcBorders/>
            <w:shd w:fill="auto" w:val="clear"/>
            <w:tcMar>
              <w:top w:w="0" w:type="dxa"/>
            </w:tcMar>
            <w:vAlign w:val="center"/>
          </w:tcPr>
          <w:p>
            <w:pPr>
              <w:pStyle w:val="TableContents"/>
              <w:jc w:val="center"/>
              <w:rPr/>
            </w:pPr>
            <w:r>
              <w:rPr/>
              <w:t>0.61–1.60</w:t>
            </w:r>
          </w:p>
        </w:tc>
        <w:tc>
          <w:tcPr>
            <w:tcW w:w="641" w:type="dxa"/>
            <w:tcBorders/>
            <w:shd w:fill="auto" w:val="clear"/>
            <w:tcMar>
              <w:top w:w="0" w:type="dxa"/>
            </w:tcMar>
            <w:vAlign w:val="center"/>
          </w:tcPr>
          <w:p>
            <w:pPr>
              <w:pStyle w:val="TableContents"/>
              <w:jc w:val="center"/>
              <w:rPr/>
            </w:pPr>
            <w:r>
              <w:rPr/>
              <w:t>&lt;.001</w:t>
            </w:r>
          </w:p>
        </w:tc>
      </w:tr>
      <w:tr>
        <w:trPr/>
        <w:tc>
          <w:tcPr>
            <w:tcW w:w="1793" w:type="dxa"/>
            <w:tcBorders/>
            <w:shd w:fill="auto" w:val="clear"/>
            <w:tcMar>
              <w:top w:w="0" w:type="dxa"/>
            </w:tcMar>
            <w:vAlign w:val="center"/>
          </w:tcPr>
          <w:p>
            <w:pPr>
              <w:pStyle w:val="TableContents"/>
              <w:jc w:val="left"/>
              <w:rPr/>
            </w:pPr>
            <w:r>
              <w:rPr/>
              <w:t>inf.strain (EfalL)</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0.87</w:t>
            </w:r>
          </w:p>
        </w:tc>
        <w:tc>
          <w:tcPr>
            <w:tcW w:w="1235" w:type="dxa"/>
            <w:tcBorders/>
            <w:shd w:fill="auto" w:val="clear"/>
            <w:tcMar>
              <w:top w:w="0" w:type="dxa"/>
            </w:tcMar>
            <w:vAlign w:val="center"/>
          </w:tcPr>
          <w:p>
            <w:pPr>
              <w:pStyle w:val="TableContents"/>
              <w:jc w:val="center"/>
              <w:rPr/>
            </w:pPr>
            <w:r>
              <w:rPr/>
              <w:t>0.38–1.36</w:t>
            </w:r>
          </w:p>
        </w:tc>
        <w:tc>
          <w:tcPr>
            <w:tcW w:w="572" w:type="dxa"/>
            <w:tcBorders/>
            <w:shd w:fill="auto" w:val="clear"/>
            <w:tcMar>
              <w:top w:w="0" w:type="dxa"/>
            </w:tcMar>
            <w:vAlign w:val="center"/>
          </w:tcPr>
          <w:p>
            <w:pPr>
              <w:pStyle w:val="TableContents"/>
              <w:jc w:val="center"/>
              <w:rPr>
                <w:b/>
                <w:b/>
              </w:rPr>
            </w:pPr>
            <w:r>
              <w:rPr>
                <w:b/>
              </w:rPr>
              <w:t>.001</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0.06</w:t>
            </w:r>
          </w:p>
        </w:tc>
        <w:tc>
          <w:tcPr>
            <w:tcW w:w="1133" w:type="dxa"/>
            <w:tcBorders/>
            <w:shd w:fill="auto" w:val="clear"/>
            <w:tcMar>
              <w:top w:w="0" w:type="dxa"/>
            </w:tcMar>
            <w:vAlign w:val="center"/>
          </w:tcPr>
          <w:p>
            <w:pPr>
              <w:pStyle w:val="TableContents"/>
              <w:jc w:val="center"/>
              <w:rPr/>
            </w:pPr>
            <w:r>
              <w:rPr/>
              <w:t>0.03–0.08</w:t>
            </w:r>
          </w:p>
        </w:tc>
        <w:tc>
          <w:tcPr>
            <w:tcW w:w="689" w:type="dxa"/>
            <w:tcBorders/>
            <w:shd w:fill="auto" w:val="clear"/>
            <w:tcMar>
              <w:top w:w="0" w:type="dxa"/>
            </w:tcMar>
            <w:vAlign w:val="center"/>
          </w:tcPr>
          <w:p>
            <w:pPr>
              <w:pStyle w:val="TableContents"/>
              <w:jc w:val="center"/>
              <w:rPr>
                <w:b/>
                <w:b/>
              </w:rPr>
            </w:pPr>
            <w:r>
              <w:rPr>
                <w:b/>
              </w:rPr>
              <w:t>&lt;.001</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0.01</w:t>
            </w:r>
          </w:p>
        </w:tc>
        <w:tc>
          <w:tcPr>
            <w:tcW w:w="1188" w:type="dxa"/>
            <w:tcBorders/>
            <w:shd w:fill="auto" w:val="clear"/>
            <w:tcMar>
              <w:top w:w="0" w:type="dxa"/>
            </w:tcMar>
            <w:vAlign w:val="center"/>
          </w:tcPr>
          <w:p>
            <w:pPr>
              <w:pStyle w:val="TableContents"/>
              <w:jc w:val="center"/>
              <w:rPr/>
            </w:pPr>
            <w:r>
              <w:rPr/>
              <w:t>0.00–0.02</w:t>
            </w:r>
          </w:p>
        </w:tc>
        <w:tc>
          <w:tcPr>
            <w:tcW w:w="572"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0.03</w:t>
            </w:r>
          </w:p>
        </w:tc>
        <w:tc>
          <w:tcPr>
            <w:tcW w:w="1146" w:type="dxa"/>
            <w:tcBorders/>
            <w:shd w:fill="auto" w:val="clear"/>
            <w:tcMar>
              <w:top w:w="0" w:type="dxa"/>
            </w:tcMar>
            <w:vAlign w:val="center"/>
          </w:tcPr>
          <w:p>
            <w:pPr>
              <w:pStyle w:val="TableContents"/>
              <w:jc w:val="center"/>
              <w:rPr/>
            </w:pPr>
            <w:r>
              <w:rPr/>
              <w:t>-0.06–0.13</w:t>
            </w:r>
          </w:p>
        </w:tc>
        <w:tc>
          <w:tcPr>
            <w:tcW w:w="565" w:type="dxa"/>
            <w:tcBorders/>
            <w:shd w:fill="auto" w:val="clear"/>
            <w:tcMar>
              <w:top w:w="0" w:type="dxa"/>
            </w:tcMar>
            <w:vAlign w:val="center"/>
          </w:tcPr>
          <w:p>
            <w:pPr>
              <w:pStyle w:val="TableContents"/>
              <w:jc w:val="center"/>
              <w:rPr/>
            </w:pPr>
            <w:r>
              <w:rPr/>
              <w:t>.499</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0.08</w:t>
            </w:r>
          </w:p>
        </w:tc>
        <w:tc>
          <w:tcPr>
            <w:tcW w:w="1195" w:type="dxa"/>
            <w:tcBorders/>
            <w:shd w:fill="auto" w:val="clear"/>
            <w:tcMar>
              <w:top w:w="0" w:type="dxa"/>
            </w:tcMar>
            <w:vAlign w:val="center"/>
          </w:tcPr>
          <w:p>
            <w:pPr>
              <w:pStyle w:val="TableContents"/>
              <w:jc w:val="center"/>
              <w:rPr/>
            </w:pPr>
            <w:r>
              <w:rPr/>
              <w:t>-0.04–0.20</w:t>
            </w:r>
          </w:p>
        </w:tc>
        <w:tc>
          <w:tcPr>
            <w:tcW w:w="506" w:type="dxa"/>
            <w:tcBorders/>
            <w:shd w:fill="auto" w:val="clear"/>
            <w:tcMar>
              <w:top w:w="0" w:type="dxa"/>
            </w:tcMar>
            <w:vAlign w:val="center"/>
          </w:tcPr>
          <w:p>
            <w:pPr>
              <w:pStyle w:val="TableContents"/>
              <w:jc w:val="center"/>
              <w:rPr/>
            </w:pPr>
            <w:r>
              <w:rPr/>
              <w:t>.194</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0.13</w:t>
            </w:r>
          </w:p>
        </w:tc>
        <w:tc>
          <w:tcPr>
            <w:tcW w:w="1134" w:type="dxa"/>
            <w:tcBorders/>
            <w:shd w:fill="auto" w:val="clear"/>
            <w:tcMar>
              <w:top w:w="0" w:type="dxa"/>
            </w:tcMar>
            <w:vAlign w:val="center"/>
          </w:tcPr>
          <w:p>
            <w:pPr>
              <w:pStyle w:val="TableContents"/>
              <w:jc w:val="center"/>
              <w:rPr/>
            </w:pPr>
            <w:r>
              <w:rPr/>
              <w:t>0.06–0.21</w:t>
            </w:r>
          </w:p>
        </w:tc>
        <w:tc>
          <w:tcPr>
            <w:tcW w:w="797" w:type="dxa"/>
            <w:tcBorders/>
            <w:shd w:fill="auto" w:val="clear"/>
            <w:tcMar>
              <w:top w:w="0" w:type="dxa"/>
            </w:tcMar>
            <w:vAlign w:val="center"/>
          </w:tcPr>
          <w:p>
            <w:pPr>
              <w:pStyle w:val="TableContents"/>
              <w:jc w:val="center"/>
              <w:rPr>
                <w:b/>
                <w:b/>
              </w:rPr>
            </w:pPr>
            <w:r>
              <w:rPr>
                <w:b/>
              </w:rPr>
              <w:t>&lt;.001</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0.81</w:t>
            </w:r>
          </w:p>
        </w:tc>
        <w:tc>
          <w:tcPr>
            <w:tcW w:w="1301" w:type="dxa"/>
            <w:tcBorders/>
            <w:shd w:fill="auto" w:val="clear"/>
            <w:tcMar>
              <w:top w:w="0" w:type="dxa"/>
            </w:tcMar>
            <w:vAlign w:val="center"/>
          </w:tcPr>
          <w:p>
            <w:pPr>
              <w:pStyle w:val="TableContents"/>
              <w:jc w:val="center"/>
              <w:rPr/>
            </w:pPr>
            <w:r>
              <w:rPr/>
              <w:t>0.14–1.48</w:t>
            </w:r>
          </w:p>
        </w:tc>
        <w:tc>
          <w:tcPr>
            <w:tcW w:w="641" w:type="dxa"/>
            <w:tcBorders/>
            <w:shd w:fill="auto" w:val="clear"/>
            <w:tcMar>
              <w:top w:w="0" w:type="dxa"/>
            </w:tcMar>
            <w:vAlign w:val="center"/>
          </w:tcPr>
          <w:p>
            <w:pPr>
              <w:pStyle w:val="TableContents"/>
              <w:jc w:val="center"/>
              <w:rPr>
                <w:b/>
                <w:b/>
              </w:rPr>
            </w:pPr>
            <w:r>
              <w:rPr>
                <w:b/>
              </w:rPr>
              <w:t>.021</w:t>
            </w:r>
          </w:p>
        </w:tc>
      </w:tr>
      <w:tr>
        <w:trPr/>
        <w:tc>
          <w:tcPr>
            <w:tcW w:w="1793" w:type="dxa"/>
            <w:tcBorders/>
            <w:shd w:fill="auto" w:val="clear"/>
            <w:tcMar>
              <w:top w:w="0" w:type="dxa"/>
            </w:tcMar>
            <w:vAlign w:val="center"/>
          </w:tcPr>
          <w:p>
            <w:pPr>
              <w:pStyle w:val="TableContents"/>
              <w:jc w:val="left"/>
              <w:rPr/>
            </w:pPr>
            <w:r>
              <w:rPr/>
              <w:t>inf.strain (EfalW)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0.24</w:t>
            </w:r>
          </w:p>
        </w:tc>
        <w:tc>
          <w:tcPr>
            <w:tcW w:w="1235" w:type="dxa"/>
            <w:tcBorders/>
            <w:shd w:fill="auto" w:val="clear"/>
            <w:tcMar>
              <w:top w:w="0" w:type="dxa"/>
            </w:tcMar>
            <w:vAlign w:val="center"/>
          </w:tcPr>
          <w:p>
            <w:pPr>
              <w:pStyle w:val="TableContents"/>
              <w:jc w:val="center"/>
              <w:rPr/>
            </w:pPr>
            <w:r>
              <w:rPr/>
              <w:t>-0.25–0.73</w:t>
            </w:r>
          </w:p>
        </w:tc>
        <w:tc>
          <w:tcPr>
            <w:tcW w:w="572" w:type="dxa"/>
            <w:tcBorders/>
            <w:shd w:fill="auto" w:val="clear"/>
            <w:tcMar>
              <w:top w:w="0" w:type="dxa"/>
            </w:tcMar>
            <w:vAlign w:val="center"/>
          </w:tcPr>
          <w:p>
            <w:pPr>
              <w:pStyle w:val="TableContents"/>
              <w:jc w:val="center"/>
              <w:rPr/>
            </w:pPr>
            <w:r>
              <w:rPr/>
              <w:t>.334</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-0.00</w:t>
            </w:r>
          </w:p>
        </w:tc>
        <w:tc>
          <w:tcPr>
            <w:tcW w:w="1133" w:type="dxa"/>
            <w:tcBorders/>
            <w:shd w:fill="auto" w:val="clear"/>
            <w:tcMar>
              <w:top w:w="0" w:type="dxa"/>
            </w:tcMar>
            <w:vAlign w:val="center"/>
          </w:tcPr>
          <w:p>
            <w:pPr>
              <w:pStyle w:val="TableContents"/>
              <w:jc w:val="center"/>
              <w:rPr/>
            </w:pPr>
            <w:r>
              <w:rPr/>
              <w:t>-0.03–0.03</w:t>
            </w:r>
          </w:p>
        </w:tc>
        <w:tc>
          <w:tcPr>
            <w:tcW w:w="689" w:type="dxa"/>
            <w:tcBorders/>
            <w:shd w:fill="auto" w:val="clear"/>
            <w:tcMar>
              <w:top w:w="0" w:type="dxa"/>
            </w:tcMar>
            <w:vAlign w:val="center"/>
          </w:tcPr>
          <w:p>
            <w:pPr>
              <w:pStyle w:val="TableContents"/>
              <w:jc w:val="center"/>
              <w:rPr/>
            </w:pPr>
            <w:r>
              <w:rPr/>
              <w:t>.918</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.606</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0.08</w:t>
            </w:r>
          </w:p>
        </w:tc>
        <w:tc>
          <w:tcPr>
            <w:tcW w:w="1146" w:type="dxa"/>
            <w:tcBorders/>
            <w:shd w:fill="auto" w:val="clear"/>
            <w:tcMar>
              <w:top w:w="0" w:type="dxa"/>
            </w:tcMar>
            <w:vAlign w:val="center"/>
          </w:tcPr>
          <w:p>
            <w:pPr>
              <w:pStyle w:val="TableContents"/>
              <w:jc w:val="center"/>
              <w:rPr/>
            </w:pPr>
            <w:r>
              <w:rPr/>
              <w:t>-0.02–0.17</w:t>
            </w:r>
          </w:p>
        </w:tc>
        <w:tc>
          <w:tcPr>
            <w:tcW w:w="565" w:type="dxa"/>
            <w:tcBorders/>
            <w:shd w:fill="auto" w:val="clear"/>
            <w:tcMar>
              <w:top w:w="0" w:type="dxa"/>
            </w:tcMar>
            <w:vAlign w:val="center"/>
          </w:tcPr>
          <w:p>
            <w:pPr>
              <w:pStyle w:val="TableContents"/>
              <w:jc w:val="center"/>
              <w:rPr/>
            </w:pPr>
            <w:r>
              <w:rPr/>
              <w:t>.109</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0.00</w:t>
            </w:r>
          </w:p>
        </w:tc>
        <w:tc>
          <w:tcPr>
            <w:tcW w:w="1195" w:type="dxa"/>
            <w:tcBorders/>
            <w:shd w:fill="auto" w:val="clear"/>
            <w:tcMar>
              <w:top w:w="0" w:type="dxa"/>
            </w:tcMar>
            <w:vAlign w:val="center"/>
          </w:tcPr>
          <w:p>
            <w:pPr>
              <w:pStyle w:val="TableContents"/>
              <w:jc w:val="center"/>
              <w:rPr/>
            </w:pPr>
            <w:r>
              <w:rPr/>
              <w:t>-0.12–0.13</w:t>
            </w:r>
          </w:p>
        </w:tc>
        <w:tc>
          <w:tcPr>
            <w:tcW w:w="506" w:type="dxa"/>
            <w:tcBorders/>
            <w:shd w:fill="auto" w:val="clear"/>
            <w:tcMar>
              <w:top w:w="0" w:type="dxa"/>
            </w:tcMar>
            <w:vAlign w:val="center"/>
          </w:tcPr>
          <w:p>
            <w:pPr>
              <w:pStyle w:val="TableContents"/>
              <w:jc w:val="center"/>
              <w:rPr/>
            </w:pPr>
            <w:r>
              <w:rPr/>
              <w:t>.955</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0.03</w:t>
            </w:r>
          </w:p>
        </w:tc>
        <w:tc>
          <w:tcPr>
            <w:tcW w:w="1134" w:type="dxa"/>
            <w:tcBorders/>
            <w:shd w:fill="auto" w:val="clear"/>
            <w:tcMar>
              <w:top w:w="0" w:type="dxa"/>
            </w:tcMar>
            <w:vAlign w:val="center"/>
          </w:tcPr>
          <w:p>
            <w:pPr>
              <w:pStyle w:val="TableContents"/>
              <w:jc w:val="center"/>
              <w:rPr/>
            </w:pPr>
            <w:r>
              <w:rPr/>
              <w:t>-0.04–0.11</w:t>
            </w:r>
          </w:p>
        </w:tc>
        <w:tc>
          <w:tcPr>
            <w:tcW w:w="797" w:type="dxa"/>
            <w:tcBorders/>
            <w:shd w:fill="auto" w:val="clear"/>
            <w:tcMar>
              <w:top w:w="0" w:type="dxa"/>
            </w:tcMar>
            <w:vAlign w:val="center"/>
          </w:tcPr>
          <w:p>
            <w:pPr>
              <w:pStyle w:val="TableContents"/>
              <w:jc w:val="center"/>
              <w:rPr/>
            </w:pPr>
            <w:r>
              <w:rPr/>
              <w:t>.380</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0.24</w:t>
            </w:r>
          </w:p>
        </w:tc>
        <w:tc>
          <w:tcPr>
            <w:tcW w:w="1301" w:type="dxa"/>
            <w:tcBorders/>
            <w:shd w:fill="auto" w:val="clear"/>
            <w:tcMar>
              <w:top w:w="0" w:type="dxa"/>
            </w:tcMar>
            <w:vAlign w:val="center"/>
          </w:tcPr>
          <w:p>
            <w:pPr>
              <w:pStyle w:val="TableContents"/>
              <w:jc w:val="center"/>
              <w:rPr/>
            </w:pPr>
            <w:r>
              <w:rPr/>
              <w:t>-0.43–0.91</w:t>
            </w:r>
          </w:p>
        </w:tc>
        <w:tc>
          <w:tcPr>
            <w:tcW w:w="641" w:type="dxa"/>
            <w:tcBorders/>
            <w:shd w:fill="auto" w:val="clear"/>
            <w:tcMar>
              <w:top w:w="0" w:type="dxa"/>
            </w:tcMar>
            <w:vAlign w:val="center"/>
          </w:tcPr>
          <w:p>
            <w:pPr>
              <w:pStyle w:val="TableContents"/>
              <w:jc w:val="center"/>
              <w:rPr/>
            </w:pPr>
            <w:r>
              <w:rPr/>
              <w:t>.480</w:t>
            </w:r>
          </w:p>
        </w:tc>
      </w:tr>
      <w:tr>
        <w:trPr/>
        <w:tc>
          <w:tcPr>
            <w:tcW w:w="1793" w:type="dxa"/>
            <w:tcBorders/>
            <w:shd w:fill="auto" w:val="clear"/>
            <w:tcMar>
              <w:top w:w="0" w:type="dxa"/>
            </w:tcMar>
            <w:vAlign w:val="center"/>
          </w:tcPr>
          <w:p>
            <w:pPr>
              <w:pStyle w:val="TableContents"/>
              <w:jc w:val="left"/>
              <w:rPr/>
            </w:pPr>
            <w:r>
              <w:rPr/>
              <w:t>inf.strain (EferW)</w:t>
            </w:r>
          </w:p>
        </w:tc>
        <w:tc>
          <w:tcPr>
            <w:tcW w:w="76" w:type="dxa"/>
            <w:tcBorders/>
            <w:shd w:fill="auto" w:val="clear"/>
            <w:tcMar>
              <w:top w:w="0" w:type="dxa"/>
            </w:tcMar>
            <w:vAlign w:val="center"/>
          </w:tcPr>
          <w:p>
            <w:pPr>
              <w:pStyle w:val="TableContents"/>
              <w:rPr/>
            </w:pPr>
            <w:r>
              <w:rPr/>
            </w:r>
          </w:p>
        </w:tc>
        <w:tc>
          <w:tcPr>
            <w:tcW w:w="572" w:type="dxa"/>
            <w:tcBorders/>
            <w:shd w:fill="auto" w:val="clear"/>
            <w:tcMar>
              <w:top w:w="0" w:type="dxa"/>
            </w:tcMar>
            <w:vAlign w:val="center"/>
          </w:tcPr>
          <w:p>
            <w:pPr>
              <w:pStyle w:val="TableContents"/>
              <w:jc w:val="center"/>
              <w:rPr/>
            </w:pPr>
            <w:r>
              <w:rPr/>
              <w:t>0.10</w:t>
            </w:r>
          </w:p>
        </w:tc>
        <w:tc>
          <w:tcPr>
            <w:tcW w:w="1235" w:type="dxa"/>
            <w:tcBorders/>
            <w:shd w:fill="auto" w:val="clear"/>
            <w:tcMar>
              <w:top w:w="0" w:type="dxa"/>
            </w:tcMar>
            <w:vAlign w:val="center"/>
          </w:tcPr>
          <w:p>
            <w:pPr>
              <w:pStyle w:val="TableContents"/>
              <w:jc w:val="center"/>
              <w:rPr/>
            </w:pPr>
            <w:r>
              <w:rPr/>
              <w:t>-0.38–0.58</w:t>
            </w:r>
          </w:p>
        </w:tc>
        <w:tc>
          <w:tcPr>
            <w:tcW w:w="572" w:type="dxa"/>
            <w:tcBorders/>
            <w:shd w:fill="auto" w:val="clear"/>
            <w:tcMar>
              <w:top w:w="0" w:type="dxa"/>
            </w:tcMar>
            <w:vAlign w:val="center"/>
          </w:tcPr>
          <w:p>
            <w:pPr>
              <w:pStyle w:val="TableContents"/>
              <w:jc w:val="center"/>
              <w:rPr/>
            </w:pPr>
            <w:r>
              <w:rPr/>
              <w:t>.694</w:t>
            </w:r>
          </w:p>
        </w:tc>
        <w:tc>
          <w:tcPr>
            <w:tcW w:w="56" w:type="dxa"/>
            <w:gridSpan w:val="2"/>
            <w:tcBorders/>
            <w:shd w:fill="auto" w:val="clear"/>
            <w:tcMar>
              <w:top w:w="0" w:type="dxa"/>
            </w:tcMar>
            <w:vAlign w:val="center"/>
          </w:tcPr>
          <w:p>
            <w:pPr>
              <w:pStyle w:val="TableContents"/>
              <w:rPr/>
            </w:pPr>
            <w:r>
              <w:rPr/>
            </w:r>
          </w:p>
        </w:tc>
        <w:tc>
          <w:tcPr>
            <w:tcW w:w="563" w:type="dxa"/>
            <w:gridSpan w:val="2"/>
            <w:tcBorders/>
            <w:shd w:fill="auto" w:val="clear"/>
            <w:tcMar>
              <w:top w:w="0" w:type="dxa"/>
            </w:tcMar>
            <w:vAlign w:val="center"/>
          </w:tcPr>
          <w:p>
            <w:pPr>
              <w:pStyle w:val="TableContents"/>
              <w:jc w:val="center"/>
              <w:rPr/>
            </w:pPr>
            <w:r>
              <w:rPr/>
              <w:t>0.01</w:t>
            </w:r>
          </w:p>
        </w:tc>
        <w:tc>
          <w:tcPr>
            <w:tcW w:w="1133" w:type="dxa"/>
            <w:tcBorders/>
            <w:shd w:fill="auto" w:val="clear"/>
            <w:tcMar>
              <w:top w:w="0" w:type="dxa"/>
            </w:tcMar>
            <w:vAlign w:val="center"/>
          </w:tcPr>
          <w:p>
            <w:pPr>
              <w:pStyle w:val="TableContents"/>
              <w:jc w:val="center"/>
              <w:rPr/>
            </w:pPr>
            <w:r>
              <w:rPr/>
              <w:t>-0.01–0.04</w:t>
            </w:r>
          </w:p>
        </w:tc>
        <w:tc>
          <w:tcPr>
            <w:tcW w:w="689" w:type="dxa"/>
            <w:tcBorders/>
            <w:shd w:fill="auto" w:val="clear"/>
            <w:tcMar>
              <w:top w:w="0" w:type="dxa"/>
            </w:tcMar>
            <w:vAlign w:val="center"/>
          </w:tcPr>
          <w:p>
            <w:pPr>
              <w:pStyle w:val="TableContents"/>
              <w:jc w:val="center"/>
              <w:rPr/>
            </w:pPr>
            <w:r>
              <w:rPr/>
              <w:t>.374</w:t>
            </w:r>
          </w:p>
        </w:tc>
        <w:tc>
          <w:tcPr>
            <w:tcW w:w="45" w:type="dxa"/>
            <w:gridSpan w:val="2"/>
            <w:tcBorders/>
            <w:shd w:fill="auto" w:val="clear"/>
            <w:tcMar>
              <w:top w:w="0" w:type="dxa"/>
            </w:tcMar>
            <w:vAlign w:val="center"/>
          </w:tcPr>
          <w:p>
            <w:pPr>
              <w:pStyle w:val="TableContents"/>
              <w:rPr/>
            </w:pPr>
            <w:r>
              <w:rPr/>
            </w:r>
          </w:p>
        </w:tc>
        <w:tc>
          <w:tcPr>
            <w:tcW w:w="572" w:type="dxa"/>
            <w:gridSpan w:val="2"/>
            <w:tcBorders/>
            <w:shd w:fill="auto" w:val="clear"/>
            <w:tcMar>
              <w:top w:w="0" w:type="dxa"/>
            </w:tcMar>
            <w:vAlign w:val="center"/>
          </w:tcPr>
          <w:p>
            <w:pPr>
              <w:pStyle w:val="TableContents"/>
              <w:jc w:val="center"/>
              <w:rPr/>
            </w:pPr>
            <w:r>
              <w:rPr/>
              <w:t>0.00</w:t>
            </w:r>
          </w:p>
        </w:tc>
        <w:tc>
          <w:tcPr>
            <w:tcW w:w="1188" w:type="dxa"/>
            <w:tcBorders/>
            <w:shd w:fill="auto" w:val="clear"/>
            <w:tcMar>
              <w:top w:w="0" w:type="dxa"/>
            </w:tcMar>
            <w:vAlign w:val="center"/>
          </w:tcPr>
          <w:p>
            <w:pPr>
              <w:pStyle w:val="TableContents"/>
              <w:jc w:val="center"/>
              <w:rPr/>
            </w:pPr>
            <w:r>
              <w:rPr/>
              <w:t>-0.00–0.01</w:t>
            </w:r>
          </w:p>
        </w:tc>
        <w:tc>
          <w:tcPr>
            <w:tcW w:w="572" w:type="dxa"/>
            <w:tcBorders/>
            <w:shd w:fill="auto" w:val="clear"/>
            <w:tcMar>
              <w:top w:w="0" w:type="dxa"/>
            </w:tcMar>
            <w:vAlign w:val="center"/>
          </w:tcPr>
          <w:p>
            <w:pPr>
              <w:pStyle w:val="TableContents"/>
              <w:jc w:val="center"/>
              <w:rPr/>
            </w:pPr>
            <w:r>
              <w:rPr/>
              <w:t>.403</w:t>
            </w:r>
          </w:p>
        </w:tc>
        <w:tc>
          <w:tcPr>
            <w:tcW w:w="57" w:type="dxa"/>
            <w:gridSpan w:val="2"/>
            <w:tcBorders/>
            <w:shd w:fill="auto" w:val="clear"/>
            <w:tcMar>
              <w:top w:w="0" w:type="dxa"/>
            </w:tcMar>
            <w:vAlign w:val="center"/>
          </w:tcPr>
          <w:p>
            <w:pPr>
              <w:pStyle w:val="TableContents"/>
              <w:rPr/>
            </w:pPr>
            <w:r>
              <w:rPr/>
            </w:r>
          </w:p>
        </w:tc>
        <w:tc>
          <w:tcPr>
            <w:tcW w:w="549" w:type="dxa"/>
            <w:gridSpan w:val="2"/>
            <w:tcBorders/>
            <w:shd w:fill="auto" w:val="clear"/>
            <w:tcMar>
              <w:top w:w="0" w:type="dxa"/>
            </w:tcMar>
            <w:vAlign w:val="center"/>
          </w:tcPr>
          <w:p>
            <w:pPr>
              <w:pStyle w:val="TableContents"/>
              <w:jc w:val="center"/>
              <w:rPr/>
            </w:pPr>
            <w:r>
              <w:rPr/>
              <w:t>0.02</w:t>
            </w:r>
          </w:p>
        </w:tc>
        <w:tc>
          <w:tcPr>
            <w:tcW w:w="1146" w:type="dxa"/>
            <w:tcBorders/>
            <w:shd w:fill="auto" w:val="clear"/>
            <w:tcMar>
              <w:top w:w="0" w:type="dxa"/>
            </w:tcMar>
            <w:vAlign w:val="center"/>
          </w:tcPr>
          <w:p>
            <w:pPr>
              <w:pStyle w:val="TableContents"/>
              <w:jc w:val="center"/>
              <w:rPr/>
            </w:pPr>
            <w:r>
              <w:rPr/>
              <w:t>-0.08–0.11</w:t>
            </w:r>
          </w:p>
        </w:tc>
        <w:tc>
          <w:tcPr>
            <w:tcW w:w="565" w:type="dxa"/>
            <w:tcBorders/>
            <w:shd w:fill="auto" w:val="clear"/>
            <w:tcMar>
              <w:top w:w="0" w:type="dxa"/>
            </w:tcMar>
            <w:vAlign w:val="center"/>
          </w:tcPr>
          <w:p>
            <w:pPr>
              <w:pStyle w:val="TableContents"/>
              <w:jc w:val="center"/>
              <w:rPr/>
            </w:pPr>
            <w:r>
              <w:rPr/>
              <w:t>.721</w:t>
            </w:r>
          </w:p>
        </w:tc>
        <w:tc>
          <w:tcPr>
            <w:tcW w:w="62" w:type="dxa"/>
            <w:gridSpan w:val="2"/>
            <w:tcBorders/>
            <w:shd w:fill="auto" w:val="clear"/>
            <w:tcMar>
              <w:top w:w="0" w:type="dxa"/>
            </w:tcMar>
            <w:vAlign w:val="center"/>
          </w:tcPr>
          <w:p>
            <w:pPr>
              <w:pStyle w:val="TableContents"/>
              <w:rPr/>
            </w:pPr>
            <w:r>
              <w:rPr/>
            </w:r>
          </w:p>
        </w:tc>
        <w:tc>
          <w:tcPr>
            <w:tcW w:w="618" w:type="dxa"/>
            <w:gridSpan w:val="2"/>
            <w:tcBorders/>
            <w:shd w:fill="auto" w:val="clear"/>
            <w:tcMar>
              <w:top w:w="0" w:type="dxa"/>
            </w:tcMar>
            <w:vAlign w:val="center"/>
          </w:tcPr>
          <w:p>
            <w:pPr>
              <w:pStyle w:val="TableContents"/>
              <w:jc w:val="center"/>
              <w:rPr/>
            </w:pPr>
            <w:r>
              <w:rPr/>
              <w:t>0.06</w:t>
            </w:r>
          </w:p>
        </w:tc>
        <w:tc>
          <w:tcPr>
            <w:tcW w:w="1195" w:type="dxa"/>
            <w:tcBorders/>
            <w:shd w:fill="auto" w:val="clear"/>
            <w:tcMar>
              <w:top w:w="0" w:type="dxa"/>
            </w:tcMar>
            <w:vAlign w:val="center"/>
          </w:tcPr>
          <w:p>
            <w:pPr>
              <w:pStyle w:val="TableContents"/>
              <w:jc w:val="center"/>
              <w:rPr/>
            </w:pPr>
            <w:r>
              <w:rPr/>
              <w:t>-0.06–0.18</w:t>
            </w:r>
          </w:p>
        </w:tc>
        <w:tc>
          <w:tcPr>
            <w:tcW w:w="506" w:type="dxa"/>
            <w:tcBorders/>
            <w:shd w:fill="auto" w:val="clear"/>
            <w:tcMar>
              <w:top w:w="0" w:type="dxa"/>
            </w:tcMar>
            <w:vAlign w:val="center"/>
          </w:tcPr>
          <w:p>
            <w:pPr>
              <w:pStyle w:val="TableContents"/>
              <w:jc w:val="center"/>
              <w:rPr/>
            </w:pPr>
            <w:r>
              <w:rPr/>
              <w:t>.353</w:t>
            </w:r>
          </w:p>
        </w:tc>
        <w:tc>
          <w:tcPr>
            <w:tcW w:w="79" w:type="dxa"/>
            <w:gridSpan w:val="2"/>
            <w:tcBorders/>
            <w:shd w:fill="auto" w:val="clear"/>
            <w:tcMar>
              <w:top w:w="0" w:type="dxa"/>
            </w:tcMar>
            <w:vAlign w:val="center"/>
          </w:tcPr>
          <w:p>
            <w:pPr>
              <w:pStyle w:val="TableContents"/>
              <w:rPr/>
            </w:pPr>
            <w:r>
              <w:rPr/>
            </w:r>
          </w:p>
        </w:tc>
        <w:tc>
          <w:tcPr>
            <w:tcW w:w="597" w:type="dxa"/>
            <w:gridSpan w:val="2"/>
            <w:tcBorders/>
            <w:shd w:fill="auto" w:val="clear"/>
            <w:tcMar>
              <w:top w:w="0" w:type="dxa"/>
            </w:tcMar>
            <w:vAlign w:val="center"/>
          </w:tcPr>
          <w:p>
            <w:pPr>
              <w:pStyle w:val="TableContents"/>
              <w:jc w:val="center"/>
              <w:rPr/>
            </w:pPr>
            <w:r>
              <w:rPr/>
              <w:t>0.02</w:t>
            </w:r>
          </w:p>
        </w:tc>
        <w:tc>
          <w:tcPr>
            <w:tcW w:w="1134" w:type="dxa"/>
            <w:tcBorders/>
            <w:shd w:fill="auto" w:val="clear"/>
            <w:tcMar>
              <w:top w:w="0" w:type="dxa"/>
            </w:tcMar>
            <w:vAlign w:val="center"/>
          </w:tcPr>
          <w:p>
            <w:pPr>
              <w:pStyle w:val="TableContents"/>
              <w:jc w:val="center"/>
              <w:rPr/>
            </w:pPr>
            <w:r>
              <w:rPr/>
              <w:t>-0.05–0.09</w:t>
            </w:r>
          </w:p>
        </w:tc>
        <w:tc>
          <w:tcPr>
            <w:tcW w:w="797" w:type="dxa"/>
            <w:tcBorders/>
            <w:shd w:fill="auto" w:val="clear"/>
            <w:tcMar>
              <w:top w:w="0" w:type="dxa"/>
            </w:tcMar>
            <w:vAlign w:val="center"/>
          </w:tcPr>
          <w:p>
            <w:pPr>
              <w:pStyle w:val="TableContents"/>
              <w:jc w:val="center"/>
              <w:rPr/>
            </w:pPr>
            <w:r>
              <w:rPr/>
              <w:t>.622</w:t>
            </w:r>
          </w:p>
        </w:tc>
        <w:tc>
          <w:tcPr>
            <w:tcW w:w="57" w:type="dxa"/>
            <w:gridSpan w:val="2"/>
            <w:tcBorders/>
            <w:shd w:fill="auto" w:val="clear"/>
            <w:tcMar>
              <w:top w:w="0" w:type="dxa"/>
            </w:tcMar>
            <w:vAlign w:val="center"/>
          </w:tcPr>
          <w:p>
            <w:pPr>
              <w:pStyle w:val="TableContents"/>
              <w:rPr/>
            </w:pPr>
            <w:r>
              <w:rPr/>
            </w:r>
          </w:p>
        </w:tc>
        <w:tc>
          <w:tcPr>
            <w:tcW w:w="504" w:type="dxa"/>
            <w:gridSpan w:val="2"/>
            <w:tcBorders/>
            <w:shd w:fill="auto" w:val="clear"/>
            <w:tcMar>
              <w:top w:w="0" w:type="dxa"/>
            </w:tcMar>
            <w:vAlign w:val="center"/>
          </w:tcPr>
          <w:p>
            <w:pPr>
              <w:pStyle w:val="TableContents"/>
              <w:jc w:val="center"/>
              <w:rPr/>
            </w:pPr>
            <w:r>
              <w:rPr/>
              <w:t>0.61</w:t>
            </w:r>
          </w:p>
        </w:tc>
        <w:tc>
          <w:tcPr>
            <w:tcW w:w="1301" w:type="dxa"/>
            <w:tcBorders/>
            <w:shd w:fill="auto" w:val="clear"/>
            <w:tcMar>
              <w:top w:w="0" w:type="dxa"/>
            </w:tcMar>
            <w:vAlign w:val="center"/>
          </w:tcPr>
          <w:p>
            <w:pPr>
              <w:pStyle w:val="TableContents"/>
              <w:jc w:val="center"/>
              <w:rPr/>
            </w:pPr>
            <w:r>
              <w:rPr/>
              <w:t>-0.04–1.27</w:t>
            </w:r>
          </w:p>
        </w:tc>
        <w:tc>
          <w:tcPr>
            <w:tcW w:w="641" w:type="dxa"/>
            <w:tcBorders/>
            <w:shd w:fill="auto" w:val="clear"/>
            <w:tcMar>
              <w:top w:w="0" w:type="dxa"/>
            </w:tcMar>
            <w:vAlign w:val="center"/>
          </w:tcPr>
          <w:p>
            <w:pPr>
              <w:pStyle w:val="TableContents"/>
              <w:jc w:val="center"/>
              <w:rPr/>
            </w:pPr>
            <w:r>
              <w:rPr/>
              <w:t>.074</w:t>
            </w:r>
          </w:p>
        </w:tc>
      </w:tr>
      <w:tr>
        <w:trPr/>
        <w:tc>
          <w:tcPr>
            <w:tcW w:w="18874" w:type="dxa"/>
            <w:gridSpan w:val="41"/>
            <w:tcBorders/>
            <w:shd w:fill="auto" w:val="clear"/>
            <w:tcMar>
              <w:top w:w="0" w:type="dxa"/>
            </w:tcMar>
            <w:vAlign w:val="center"/>
          </w:tcPr>
          <w:p>
            <w:pPr>
              <w:pStyle w:val="TableContents"/>
              <w:jc w:val="left"/>
              <w:rPr>
                <w:b/>
                <w:b/>
              </w:rPr>
            </w:pPr>
            <w:r>
              <w:rPr>
                <w:b/>
              </w:rPr>
              <w:t>Random Parts</w:t>
            </w:r>
          </w:p>
        </w:tc>
      </w:tr>
      <w:tr>
        <w:trPr>
          <w:trHeight w:val="397" w:hRule="exact"/>
        </w:trPr>
        <w:tc>
          <w:tcPr>
            <w:tcW w:w="1793" w:type="dxa"/>
            <w:tcBorders/>
            <w:shd w:fill="auto" w:val="clear"/>
            <w:tcMar>
              <w:top w:w="0" w:type="dxa"/>
            </w:tcMar>
            <w:vAlign w:val="center"/>
          </w:tcPr>
          <w:p>
            <w:pPr>
              <w:pStyle w:val="TableContents"/>
              <w:jc w:val="left"/>
              <w:rPr/>
            </w:pPr>
            <w:r>
              <w:rPr/>
              <w:t>σ</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0.437</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0.001</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0.016</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0.027</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0.010</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0.814</w:t>
            </w:r>
          </w:p>
        </w:tc>
      </w:tr>
      <w:tr>
        <w:trPr>
          <w:trHeight w:val="397" w:hRule="exact"/>
        </w:trPr>
        <w:tc>
          <w:tcPr>
            <w:tcW w:w="1793" w:type="dxa"/>
            <w:tcBorders/>
            <w:shd w:fill="auto" w:val="clear"/>
            <w:tcMar>
              <w:top w:w="0" w:type="dxa"/>
            </w:tcMar>
            <w:vAlign w:val="center"/>
          </w:tcPr>
          <w:p>
            <w:pPr>
              <w:pStyle w:val="TableContents"/>
              <w:jc w:val="left"/>
              <w:rPr/>
            </w:pPr>
            <w:r>
              <w:rPr/>
              <w:t>τ</w:t>
            </w:r>
            <w:r>
              <w:rPr>
                <w:sz w:val="19"/>
              </w:rPr>
              <w:t>00, 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0.216</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0.000</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0.000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0.015</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0.003</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0.002</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0.028</w:t>
            </w:r>
          </w:p>
        </w:tc>
      </w:tr>
      <w:tr>
        <w:trPr>
          <w:trHeight w:val="397" w:hRule="exact"/>
        </w:trPr>
        <w:tc>
          <w:tcPr>
            <w:tcW w:w="1793" w:type="dxa"/>
            <w:tcBorders/>
            <w:shd w:fill="auto" w:val="clear"/>
            <w:tcMar>
              <w:top w:w="0" w:type="dxa"/>
            </w:tcMar>
            <w:vAlign w:val="center"/>
          </w:tcPr>
          <w:p>
            <w:pPr>
              <w:pStyle w:val="TableContents"/>
              <w:jc w:val="left"/>
              <w:rPr/>
            </w:pPr>
            <w:r>
              <w:rPr/>
              <w:t>N</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5</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5</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5</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5</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5</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5</w:t>
            </w:r>
          </w:p>
        </w:tc>
      </w:tr>
      <w:tr>
        <w:trPr>
          <w:trHeight w:val="397" w:hRule="exact"/>
        </w:trPr>
        <w:tc>
          <w:tcPr>
            <w:tcW w:w="1793" w:type="dxa"/>
            <w:tcBorders/>
            <w:shd w:fill="auto" w:val="clear"/>
            <w:tcMar>
              <w:top w:w="0" w:type="dxa"/>
            </w:tcMar>
            <w:vAlign w:val="center"/>
          </w:tcPr>
          <w:p>
            <w:pPr>
              <w:pStyle w:val="TableContents"/>
              <w:jc w:val="left"/>
              <w:rPr/>
            </w:pPr>
            <w:r>
              <w:rPr/>
              <w:t>ICC</w:t>
            </w:r>
            <w:r>
              <w:rPr>
                <w:sz w:val="19"/>
              </w:rPr>
              <w:t>dpi.diss</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0.331</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0.227</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0.270</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0.478</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0.084</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0.140</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0.033</w:t>
            </w:r>
          </w:p>
        </w:tc>
      </w:tr>
      <w:tr>
        <w:trPr>
          <w:trHeight w:val="397" w:hRule="exact"/>
        </w:trPr>
        <w:tc>
          <w:tcPr>
            <w:tcW w:w="1793" w:type="dxa"/>
            <w:tcBorders>
              <w:top w:val="single" w:sz="2" w:space="0" w:color="000001"/>
            </w:tcBorders>
            <w:shd w:fill="auto" w:val="clear"/>
            <w:tcMar>
              <w:top w:w="57" w:type="dxa"/>
            </w:tcMar>
            <w:vAlign w:val="center"/>
          </w:tcPr>
          <w:p>
            <w:pPr>
              <w:pStyle w:val="TableContents"/>
              <w:jc w:val="left"/>
              <w:rPr/>
            </w:pPr>
            <w:r>
              <w:rPr/>
              <w:t>Observations</w:t>
            </w:r>
          </w:p>
        </w:tc>
        <w:tc>
          <w:tcPr>
            <w:tcW w:w="76" w:type="dxa"/>
            <w:tcBorders>
              <w:top w:val="single" w:sz="2" w:space="0" w:color="000001"/>
            </w:tcBorders>
            <w:shd w:fill="auto" w:val="clear"/>
            <w:tcMar>
              <w:top w:w="28" w:type="dxa"/>
            </w:tcMar>
            <w:vAlign w:val="center"/>
          </w:tcPr>
          <w:p>
            <w:pPr>
              <w:pStyle w:val="TableContents"/>
              <w:rPr/>
            </w:pPr>
            <w:r>
              <w:rPr/>
            </w:r>
          </w:p>
        </w:tc>
        <w:tc>
          <w:tcPr>
            <w:tcW w:w="2388"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383" w:type="dxa"/>
            <w:gridSpan w:val="4"/>
            <w:tcBorders>
              <w:top w:val="single" w:sz="2" w:space="0" w:color="000001"/>
            </w:tcBorders>
            <w:shd w:fill="auto" w:val="clear"/>
            <w:tcMar>
              <w:top w:w="57" w:type="dxa"/>
            </w:tcMar>
            <w:vAlign w:val="center"/>
          </w:tcPr>
          <w:p>
            <w:pPr>
              <w:pStyle w:val="TableContents"/>
              <w:jc w:val="center"/>
              <w:rPr/>
            </w:pPr>
            <w:r>
              <w:rPr/>
              <w:t>57</w:t>
            </w:r>
          </w:p>
        </w:tc>
        <w:tc>
          <w:tcPr>
            <w:tcW w:w="47" w:type="dxa"/>
            <w:gridSpan w:val="2"/>
            <w:tcBorders>
              <w:top w:val="single" w:sz="2" w:space="0" w:color="000001"/>
            </w:tcBorders>
            <w:shd w:fill="auto" w:val="clear"/>
            <w:tcMar>
              <w:top w:w="28" w:type="dxa"/>
            </w:tcMar>
            <w:vAlign w:val="center"/>
          </w:tcPr>
          <w:p>
            <w:pPr>
              <w:pStyle w:val="TableContents"/>
              <w:rPr/>
            </w:pPr>
            <w:r>
              <w:rPr/>
            </w:r>
          </w:p>
        </w:tc>
        <w:tc>
          <w:tcPr>
            <w:tcW w:w="2337" w:type="dxa"/>
            <w:gridSpan w:val="4"/>
            <w:tcBorders>
              <w:top w:val="single" w:sz="2" w:space="0" w:color="000001"/>
            </w:tcBorders>
            <w:shd w:fill="auto" w:val="clear"/>
            <w:tcMar>
              <w:top w:w="57" w:type="dxa"/>
            </w:tcMar>
            <w:vAlign w:val="center"/>
          </w:tcPr>
          <w:p>
            <w:pPr>
              <w:pStyle w:val="TableContents"/>
              <w:jc w:val="center"/>
              <w:rPr/>
            </w:pPr>
            <w:r>
              <w:rPr/>
              <w:t>57</w:t>
            </w:r>
          </w:p>
        </w:tc>
        <w:tc>
          <w:tcPr>
            <w:tcW w:w="53" w:type="dxa"/>
            <w:gridSpan w:val="2"/>
            <w:tcBorders>
              <w:top w:val="single" w:sz="2" w:space="0" w:color="000001"/>
            </w:tcBorders>
            <w:shd w:fill="auto" w:val="clear"/>
            <w:tcMar>
              <w:top w:w="28" w:type="dxa"/>
            </w:tcMar>
            <w:vAlign w:val="center"/>
          </w:tcPr>
          <w:p>
            <w:pPr>
              <w:pStyle w:val="TableContents"/>
              <w:rPr/>
            </w:pPr>
            <w:r>
              <w:rPr/>
            </w:r>
          </w:p>
        </w:tc>
        <w:tc>
          <w:tcPr>
            <w:tcW w:w="2262" w:type="dxa"/>
            <w:gridSpan w:val="4"/>
            <w:tcBorders>
              <w:top w:val="single" w:sz="2" w:space="0" w:color="000001"/>
            </w:tcBorders>
            <w:shd w:fill="auto" w:val="clear"/>
            <w:tcMar>
              <w:top w:w="57" w:type="dxa"/>
            </w:tcMar>
            <w:vAlign w:val="center"/>
          </w:tcPr>
          <w:p>
            <w:pPr>
              <w:pStyle w:val="TableContents"/>
              <w:jc w:val="center"/>
              <w:rPr/>
            </w:pPr>
            <w:r>
              <w:rPr/>
              <w:t>57</w:t>
            </w:r>
          </w:p>
        </w:tc>
        <w:tc>
          <w:tcPr>
            <w:tcW w:w="62" w:type="dxa"/>
            <w:gridSpan w:val="2"/>
            <w:tcBorders>
              <w:top w:val="single" w:sz="2" w:space="0" w:color="000001"/>
            </w:tcBorders>
            <w:shd w:fill="auto" w:val="clear"/>
            <w:tcMar>
              <w:top w:w="28" w:type="dxa"/>
            </w:tcMar>
            <w:vAlign w:val="center"/>
          </w:tcPr>
          <w:p>
            <w:pPr>
              <w:pStyle w:val="TableContents"/>
              <w:rPr/>
            </w:pPr>
            <w:r>
              <w:rPr/>
            </w:r>
          </w:p>
        </w:tc>
        <w:tc>
          <w:tcPr>
            <w:tcW w:w="2323" w:type="dxa"/>
            <w:gridSpan w:val="4"/>
            <w:tcBorders>
              <w:top w:val="single" w:sz="2" w:space="0" w:color="000001"/>
            </w:tcBorders>
            <w:shd w:fill="auto" w:val="clear"/>
            <w:tcMar>
              <w:top w:w="57" w:type="dxa"/>
            </w:tcMar>
            <w:vAlign w:val="center"/>
          </w:tcPr>
          <w:p>
            <w:pPr>
              <w:pStyle w:val="TableContents"/>
              <w:jc w:val="center"/>
              <w:rPr/>
            </w:pPr>
            <w:r>
              <w:rPr/>
              <w:t>57</w:t>
            </w:r>
          </w:p>
        </w:tc>
        <w:tc>
          <w:tcPr>
            <w:tcW w:w="81" w:type="dxa"/>
            <w:gridSpan w:val="2"/>
            <w:tcBorders>
              <w:top w:val="single" w:sz="2" w:space="0" w:color="000001"/>
            </w:tcBorders>
            <w:shd w:fill="auto" w:val="clear"/>
            <w:tcMar>
              <w:top w:w="28" w:type="dxa"/>
            </w:tcMar>
            <w:vAlign w:val="center"/>
          </w:tcPr>
          <w:p>
            <w:pPr>
              <w:pStyle w:val="TableContents"/>
              <w:rPr/>
            </w:pPr>
            <w:r>
              <w:rPr/>
            </w:r>
          </w:p>
        </w:tc>
        <w:tc>
          <w:tcPr>
            <w:tcW w:w="2536" w:type="dxa"/>
            <w:gridSpan w:val="4"/>
            <w:tcBorders>
              <w:top w:val="single" w:sz="2" w:space="0" w:color="000001"/>
            </w:tcBorders>
            <w:shd w:fill="auto" w:val="clear"/>
            <w:tcMar>
              <w:top w:w="57" w:type="dxa"/>
            </w:tcMar>
            <w:vAlign w:val="center"/>
          </w:tcPr>
          <w:p>
            <w:pPr>
              <w:pStyle w:val="TableContents"/>
              <w:jc w:val="center"/>
              <w:rPr/>
            </w:pPr>
            <w:r>
              <w:rPr/>
              <w:t>57</w:t>
            </w:r>
          </w:p>
        </w:tc>
        <w:tc>
          <w:tcPr>
            <w:tcW w:w="55" w:type="dxa"/>
            <w:gridSpan w:val="2"/>
            <w:tcBorders>
              <w:top w:val="single" w:sz="2" w:space="0" w:color="000001"/>
            </w:tcBorders>
            <w:shd w:fill="auto" w:val="clear"/>
            <w:tcMar>
              <w:top w:w="28" w:type="dxa"/>
            </w:tcMar>
            <w:vAlign w:val="center"/>
          </w:tcPr>
          <w:p>
            <w:pPr>
              <w:pStyle w:val="TableContents"/>
              <w:rPr/>
            </w:pPr>
            <w:r>
              <w:rPr/>
            </w:r>
          </w:p>
        </w:tc>
        <w:tc>
          <w:tcPr>
            <w:tcW w:w="2423" w:type="dxa"/>
            <w:gridSpan w:val="3"/>
            <w:tcBorders>
              <w:top w:val="single" w:sz="2" w:space="0" w:color="000001"/>
            </w:tcBorders>
            <w:shd w:fill="auto" w:val="clear"/>
            <w:tcMar>
              <w:top w:w="57" w:type="dxa"/>
            </w:tcMar>
            <w:vAlign w:val="center"/>
          </w:tcPr>
          <w:p>
            <w:pPr>
              <w:pStyle w:val="TableContents"/>
              <w:jc w:val="center"/>
              <w:rPr/>
            </w:pPr>
            <w:r>
              <w:rPr/>
              <w:t>57</w:t>
            </w:r>
          </w:p>
        </w:tc>
      </w:tr>
      <w:tr>
        <w:trPr>
          <w:trHeight w:val="397" w:hRule="exact"/>
        </w:trPr>
        <w:tc>
          <w:tcPr>
            <w:tcW w:w="1793" w:type="dxa"/>
            <w:tcBorders/>
            <w:shd w:fill="auto" w:val="clear"/>
            <w:tcMar>
              <w:top w:w="0" w:type="dxa"/>
            </w:tcMar>
            <w:vAlign w:val="center"/>
          </w:tcPr>
          <w:p>
            <w:pPr>
              <w:pStyle w:val="TableContents"/>
              <w:jc w:val="left"/>
              <w:rPr/>
            </w:pPr>
            <w:r>
              <w:rPr/>
              <w:t>R</w:t>
            </w:r>
            <w:r>
              <w:rPr>
                <w:position w:val="8"/>
                <w:sz w:val="19"/>
              </w:rPr>
              <w:t>2</w:t>
            </w:r>
            <w:r>
              <w:rPr/>
              <w:t xml:space="preserve"> / Ω</w:t>
            </w:r>
            <w:r>
              <w:rPr>
                <w:sz w:val="19"/>
              </w:rPr>
              <w:t>0</w:t>
            </w:r>
            <w:r>
              <w:rPr>
                <w:position w:val="8"/>
                <w:sz w:val="19"/>
              </w:rPr>
              <w:t>2</w:t>
            </w:r>
          </w:p>
        </w:tc>
        <w:tc>
          <w:tcPr>
            <w:tcW w:w="76" w:type="dxa"/>
            <w:tcBorders/>
            <w:shd w:fill="auto" w:val="clear"/>
            <w:tcMar>
              <w:top w:w="0" w:type="dxa"/>
            </w:tcMar>
            <w:vAlign w:val="center"/>
          </w:tcPr>
          <w:p>
            <w:pPr>
              <w:pStyle w:val="TableContents"/>
              <w:rPr/>
            </w:pPr>
            <w:r>
              <w:rPr/>
            </w:r>
          </w:p>
        </w:tc>
        <w:tc>
          <w:tcPr>
            <w:tcW w:w="2388" w:type="dxa"/>
            <w:gridSpan w:val="4"/>
            <w:tcBorders/>
            <w:shd w:fill="auto" w:val="clear"/>
            <w:tcMar>
              <w:top w:w="0" w:type="dxa"/>
            </w:tcMar>
            <w:vAlign w:val="center"/>
          </w:tcPr>
          <w:p>
            <w:pPr>
              <w:pStyle w:val="TableContents"/>
              <w:jc w:val="center"/>
              <w:rPr/>
            </w:pPr>
            <w:r>
              <w:rPr/>
              <w:t>.456 / .453</w:t>
            </w:r>
          </w:p>
        </w:tc>
        <w:tc>
          <w:tcPr>
            <w:tcW w:w="55" w:type="dxa"/>
            <w:gridSpan w:val="2"/>
            <w:tcBorders/>
            <w:shd w:fill="auto" w:val="clear"/>
            <w:tcMar>
              <w:top w:w="0" w:type="dxa"/>
            </w:tcMar>
            <w:vAlign w:val="center"/>
          </w:tcPr>
          <w:p>
            <w:pPr>
              <w:pStyle w:val="TableContents"/>
              <w:rPr/>
            </w:pPr>
            <w:r>
              <w:rPr/>
            </w:r>
          </w:p>
        </w:tc>
        <w:tc>
          <w:tcPr>
            <w:tcW w:w="2383" w:type="dxa"/>
            <w:gridSpan w:val="4"/>
            <w:tcBorders/>
            <w:shd w:fill="auto" w:val="clear"/>
            <w:tcMar>
              <w:top w:w="0" w:type="dxa"/>
            </w:tcMar>
            <w:vAlign w:val="center"/>
          </w:tcPr>
          <w:p>
            <w:pPr>
              <w:pStyle w:val="TableContents"/>
              <w:jc w:val="center"/>
              <w:rPr/>
            </w:pPr>
            <w:r>
              <w:rPr/>
              <w:t>.440 / .437</w:t>
            </w:r>
          </w:p>
        </w:tc>
        <w:tc>
          <w:tcPr>
            <w:tcW w:w="47" w:type="dxa"/>
            <w:gridSpan w:val="2"/>
            <w:tcBorders/>
            <w:shd w:fill="auto" w:val="clear"/>
            <w:tcMar>
              <w:top w:w="0" w:type="dxa"/>
            </w:tcMar>
            <w:vAlign w:val="center"/>
          </w:tcPr>
          <w:p>
            <w:pPr>
              <w:pStyle w:val="TableContents"/>
              <w:rPr/>
            </w:pPr>
            <w:r>
              <w:rPr/>
            </w:r>
          </w:p>
        </w:tc>
        <w:tc>
          <w:tcPr>
            <w:tcW w:w="2337" w:type="dxa"/>
            <w:gridSpan w:val="4"/>
            <w:tcBorders/>
            <w:shd w:fill="auto" w:val="clear"/>
            <w:tcMar>
              <w:top w:w="0" w:type="dxa"/>
            </w:tcMar>
            <w:vAlign w:val="center"/>
          </w:tcPr>
          <w:p>
            <w:pPr>
              <w:pStyle w:val="TableContents"/>
              <w:jc w:val="center"/>
              <w:rPr/>
            </w:pPr>
            <w:r>
              <w:rPr/>
              <w:t>.421 / .417</w:t>
            </w:r>
          </w:p>
        </w:tc>
        <w:tc>
          <w:tcPr>
            <w:tcW w:w="53" w:type="dxa"/>
            <w:gridSpan w:val="2"/>
            <w:tcBorders/>
            <w:shd w:fill="auto" w:val="clear"/>
            <w:tcMar>
              <w:top w:w="0" w:type="dxa"/>
            </w:tcMar>
            <w:vAlign w:val="center"/>
          </w:tcPr>
          <w:p>
            <w:pPr>
              <w:pStyle w:val="TableContents"/>
              <w:rPr/>
            </w:pPr>
            <w:r>
              <w:rPr/>
            </w:r>
          </w:p>
        </w:tc>
        <w:tc>
          <w:tcPr>
            <w:tcW w:w="2262" w:type="dxa"/>
            <w:gridSpan w:val="4"/>
            <w:tcBorders/>
            <w:shd w:fill="auto" w:val="clear"/>
            <w:tcMar>
              <w:top w:w="0" w:type="dxa"/>
            </w:tcMar>
            <w:vAlign w:val="center"/>
          </w:tcPr>
          <w:p>
            <w:pPr>
              <w:pStyle w:val="TableContents"/>
              <w:jc w:val="center"/>
              <w:rPr/>
            </w:pPr>
            <w:r>
              <w:rPr/>
              <w:t>.498 / .495</w:t>
            </w:r>
          </w:p>
        </w:tc>
        <w:tc>
          <w:tcPr>
            <w:tcW w:w="62" w:type="dxa"/>
            <w:gridSpan w:val="2"/>
            <w:tcBorders/>
            <w:shd w:fill="auto" w:val="clear"/>
            <w:tcMar>
              <w:top w:w="0" w:type="dxa"/>
            </w:tcMar>
            <w:vAlign w:val="center"/>
          </w:tcPr>
          <w:p>
            <w:pPr>
              <w:pStyle w:val="TableContents"/>
              <w:rPr/>
            </w:pPr>
            <w:r>
              <w:rPr/>
            </w:r>
          </w:p>
        </w:tc>
        <w:tc>
          <w:tcPr>
            <w:tcW w:w="2323" w:type="dxa"/>
            <w:gridSpan w:val="4"/>
            <w:tcBorders/>
            <w:shd w:fill="auto" w:val="clear"/>
            <w:tcMar>
              <w:top w:w="0" w:type="dxa"/>
            </w:tcMar>
            <w:vAlign w:val="center"/>
          </w:tcPr>
          <w:p>
            <w:pPr>
              <w:pStyle w:val="TableContents"/>
              <w:jc w:val="center"/>
              <w:rPr/>
            </w:pPr>
            <w:r>
              <w:rPr/>
              <w:t>.162 / .147</w:t>
            </w:r>
          </w:p>
        </w:tc>
        <w:tc>
          <w:tcPr>
            <w:tcW w:w="81" w:type="dxa"/>
            <w:gridSpan w:val="2"/>
            <w:tcBorders/>
            <w:shd w:fill="auto" w:val="clear"/>
            <w:tcMar>
              <w:top w:w="0" w:type="dxa"/>
            </w:tcMar>
            <w:vAlign w:val="center"/>
          </w:tcPr>
          <w:p>
            <w:pPr>
              <w:pStyle w:val="TableContents"/>
              <w:rPr/>
            </w:pPr>
            <w:r>
              <w:rPr/>
            </w:r>
          </w:p>
        </w:tc>
        <w:tc>
          <w:tcPr>
            <w:tcW w:w="2536" w:type="dxa"/>
            <w:gridSpan w:val="4"/>
            <w:tcBorders/>
            <w:shd w:fill="auto" w:val="clear"/>
            <w:tcMar>
              <w:top w:w="0" w:type="dxa"/>
            </w:tcMar>
            <w:vAlign w:val="center"/>
          </w:tcPr>
          <w:p>
            <w:pPr>
              <w:pStyle w:val="TableContents"/>
              <w:jc w:val="center"/>
              <w:rPr/>
            </w:pPr>
            <w:r>
              <w:rPr/>
              <w:t>.342 / .338</w:t>
            </w:r>
          </w:p>
        </w:tc>
        <w:tc>
          <w:tcPr>
            <w:tcW w:w="55" w:type="dxa"/>
            <w:gridSpan w:val="2"/>
            <w:tcBorders/>
            <w:shd w:fill="auto" w:val="clear"/>
            <w:tcMar>
              <w:top w:w="0" w:type="dxa"/>
            </w:tcMar>
            <w:vAlign w:val="center"/>
          </w:tcPr>
          <w:p>
            <w:pPr>
              <w:pStyle w:val="TableContents"/>
              <w:rPr/>
            </w:pPr>
            <w:r>
              <w:rPr/>
            </w:r>
          </w:p>
        </w:tc>
        <w:tc>
          <w:tcPr>
            <w:tcW w:w="2423" w:type="dxa"/>
            <w:gridSpan w:val="3"/>
            <w:tcBorders/>
            <w:shd w:fill="auto" w:val="clear"/>
            <w:tcMar>
              <w:top w:w="0" w:type="dxa"/>
            </w:tcMar>
            <w:vAlign w:val="center"/>
          </w:tcPr>
          <w:p>
            <w:pPr>
              <w:pStyle w:val="TableContents"/>
              <w:jc w:val="center"/>
              <w:rPr/>
            </w:pPr>
            <w:r>
              <w:rPr/>
              <w:t>.157 / .154</w:t>
            </w:r>
          </w:p>
        </w:tc>
      </w:tr>
    </w:tbl>
    <w:p>
      <w:pPr>
        <w:pStyle w:val="Normal"/>
        <w:rPr/>
      </w:pPr>
      <w:r>
        <w:rPr/>
      </w:r>
    </w:p>
    <w:tbl>
      <w:tblPr>
        <w:tblW w:w="18881" w:type="dxa"/>
        <w:jc w:val="left"/>
        <w:tblInd w:w="0" w:type="dxa"/>
        <w:tblCellMar>
          <w:top w:w="113" w:type="dxa"/>
          <w:left w:w="0" w:type="dxa"/>
          <w:bottom w:w="0" w:type="dxa"/>
          <w:right w:w="0" w:type="dxa"/>
        </w:tblCellMar>
      </w:tblPr>
      <w:tblGrid>
        <w:gridCol w:w="1803"/>
        <w:gridCol w:w="68"/>
        <w:gridCol w:w="562"/>
        <w:gridCol w:w="1246"/>
        <w:gridCol w:w="573"/>
        <w:gridCol w:w="56"/>
        <w:gridCol w:w="563"/>
        <w:gridCol w:w="1131"/>
        <w:gridCol w:w="683"/>
        <w:gridCol w:w="55"/>
        <w:gridCol w:w="561"/>
        <w:gridCol w:w="1189"/>
        <w:gridCol w:w="627"/>
        <w:gridCol w:w="55"/>
        <w:gridCol w:w="506"/>
        <w:gridCol w:w="1133"/>
        <w:gridCol w:w="628"/>
        <w:gridCol w:w="55"/>
        <w:gridCol w:w="561"/>
        <w:gridCol w:w="1191"/>
        <w:gridCol w:w="506"/>
        <w:gridCol w:w="80"/>
        <w:gridCol w:w="598"/>
        <w:gridCol w:w="1135"/>
        <w:gridCol w:w="795"/>
        <w:gridCol w:w="57"/>
        <w:gridCol w:w="506"/>
        <w:gridCol w:w="1302"/>
        <w:gridCol w:w="649"/>
      </w:tblGrid>
      <w:tr>
        <w:trPr/>
        <w:tc>
          <w:tcPr>
            <w:tcW w:w="18874" w:type="dxa"/>
            <w:gridSpan w:val="29"/>
            <w:tcBorders>
              <w:top w:val="single" w:sz="2" w:space="0" w:color="000001"/>
            </w:tcBorders>
            <w:shd w:fill="auto" w:val="clear"/>
            <w:vAlign w:val="center"/>
          </w:tcPr>
          <w:p>
            <w:pPr>
              <w:pStyle w:val="TableContents"/>
              <w:jc w:val="left"/>
              <w:rPr>
                <w:b/>
                <w:b/>
              </w:rPr>
            </w:pPr>
            <w:r>
              <w:rPr>
                <w:b/>
              </w:rPr>
              <w:t>Fixed Par</w:t>
            </w:r>
            <w:r>
              <w:rPr>
                <w:b/>
                <w:sz w:val="24"/>
                <w:szCs w:val="24"/>
              </w:rPr>
              <w:t xml:space="preserve">ts: Contrast against </w:t>
            </w:r>
            <w:r>
              <w:rPr>
                <w:b/>
                <w:i/>
                <w:sz w:val="24"/>
                <w:szCs w:val="24"/>
              </w:rPr>
              <w:t>E. falciformis</w:t>
            </w:r>
            <w:r>
              <w:rPr>
                <w:b/>
                <w:i w:val="false"/>
                <w:iCs w:val="false"/>
                <w:sz w:val="24"/>
                <w:szCs w:val="24"/>
              </w:rPr>
              <w:t xml:space="preserve"> BayerHaberkorn 1970 (intercept; same random effects)</w:t>
            </w:r>
          </w:p>
        </w:tc>
      </w:tr>
      <w:tr>
        <w:trPr/>
        <w:tc>
          <w:tcPr>
            <w:tcW w:w="1803" w:type="dxa"/>
            <w:tcBorders>
              <w:top w:val="double" w:sz="2" w:space="0" w:color="000001"/>
            </w:tcBorders>
            <w:shd w:fill="auto" w:val="clear"/>
            <w:tcMar>
              <w:top w:w="28" w:type="dxa"/>
            </w:tcMar>
            <w:vAlign w:val="center"/>
          </w:tcPr>
          <w:p>
            <w:pPr>
              <w:pStyle w:val="TableContents"/>
              <w:jc w:val="left"/>
              <w:rPr/>
            </w:pPr>
            <w:r>
              <w:rPr/>
              <w:t>(Intercept)</w:t>
            </w:r>
          </w:p>
        </w:tc>
        <w:tc>
          <w:tcPr>
            <w:tcW w:w="68" w:type="dxa"/>
            <w:tcBorders>
              <w:top w:val="double" w:sz="2" w:space="0" w:color="000001"/>
            </w:tcBorders>
            <w:shd w:fill="auto" w:val="clear"/>
            <w:tcMar>
              <w:top w:w="28"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1.26</w:t>
            </w:r>
          </w:p>
        </w:tc>
        <w:tc>
          <w:tcPr>
            <w:tcW w:w="1246" w:type="dxa"/>
            <w:tcBorders/>
            <w:shd w:fill="auto" w:val="clear"/>
            <w:tcMar>
              <w:top w:w="0" w:type="dxa"/>
            </w:tcMar>
            <w:vAlign w:val="center"/>
          </w:tcPr>
          <w:p>
            <w:pPr>
              <w:pStyle w:val="TableContents"/>
              <w:jc w:val="center"/>
              <w:rPr/>
            </w:pPr>
            <w:r>
              <w:rPr/>
              <w:t>0.72–1.79</w:t>
            </w:r>
          </w:p>
        </w:tc>
        <w:tc>
          <w:tcPr>
            <w:tcW w:w="573" w:type="dxa"/>
            <w:tcBorders/>
            <w:shd w:fill="auto" w:val="clear"/>
            <w:tcMar>
              <w:top w:w="0" w:type="dxa"/>
            </w:tcMar>
            <w:vAlign w:val="center"/>
          </w:tcPr>
          <w:p>
            <w:pPr>
              <w:pStyle w:val="TableContents"/>
              <w:jc w:val="center"/>
              <w:rPr/>
            </w:pPr>
            <w:r>
              <w:rPr/>
              <w:t>.002</w:t>
            </w:r>
          </w:p>
        </w:tc>
        <w:tc>
          <w:tcPr>
            <w:tcW w:w="56" w:type="dxa"/>
            <w:tcBorders>
              <w:top w:val="double" w:sz="2" w:space="0" w:color="000001"/>
            </w:tcBorders>
            <w:shd w:fill="auto" w:val="clear"/>
            <w:tcMar>
              <w:top w:w="28"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0.10</w:t>
            </w:r>
          </w:p>
        </w:tc>
        <w:tc>
          <w:tcPr>
            <w:tcW w:w="1131" w:type="dxa"/>
            <w:tcBorders/>
            <w:shd w:fill="auto" w:val="clear"/>
            <w:tcMar>
              <w:top w:w="0" w:type="dxa"/>
            </w:tcMar>
            <w:vAlign w:val="center"/>
          </w:tcPr>
          <w:p>
            <w:pPr>
              <w:pStyle w:val="TableContents"/>
              <w:jc w:val="center"/>
              <w:rPr/>
            </w:pPr>
            <w:r>
              <w:rPr/>
              <w:t>0.07–0.12</w:t>
            </w:r>
          </w:p>
        </w:tc>
        <w:tc>
          <w:tcPr>
            <w:tcW w:w="683"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89" w:type="dxa"/>
            <w:tcBorders/>
            <w:shd w:fill="auto" w:val="clear"/>
            <w:tcMar>
              <w:top w:w="0" w:type="dxa"/>
            </w:tcMar>
            <w:vAlign w:val="center"/>
          </w:tcPr>
          <w:p>
            <w:pPr>
              <w:pStyle w:val="TableContents"/>
              <w:jc w:val="center"/>
              <w:rPr/>
            </w:pPr>
            <w:r>
              <w:rPr/>
              <w:t>0.01–0.02</w:t>
            </w:r>
          </w:p>
        </w:tc>
        <w:tc>
          <w:tcPr>
            <w:tcW w:w="627" w:type="dxa"/>
            <w:tcBorders/>
            <w:shd w:fill="auto" w:val="clear"/>
            <w:tcMar>
              <w:top w:w="0" w:type="dxa"/>
            </w:tcMar>
            <w:vAlign w:val="center"/>
          </w:tcPr>
          <w:p>
            <w:pPr>
              <w:pStyle w:val="TableContents"/>
              <w:jc w:val="center"/>
              <w:rPr/>
            </w:pPr>
            <w:r>
              <w:rPr/>
              <w:t>&lt;.001</w:t>
            </w:r>
          </w:p>
        </w:tc>
        <w:tc>
          <w:tcPr>
            <w:tcW w:w="55"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0.16</w:t>
            </w:r>
          </w:p>
        </w:tc>
        <w:tc>
          <w:tcPr>
            <w:tcW w:w="1133" w:type="dxa"/>
            <w:tcBorders/>
            <w:shd w:fill="auto" w:val="clear"/>
            <w:tcMar>
              <w:top w:w="0" w:type="dxa"/>
            </w:tcMar>
            <w:vAlign w:val="center"/>
          </w:tcPr>
          <w:p>
            <w:pPr>
              <w:pStyle w:val="TableContents"/>
              <w:jc w:val="center"/>
              <w:rPr/>
            </w:pPr>
            <w:r>
              <w:rPr/>
              <w:t>0.04–0.29</w:t>
            </w:r>
          </w:p>
        </w:tc>
        <w:tc>
          <w:tcPr>
            <w:tcW w:w="628" w:type="dxa"/>
            <w:tcBorders/>
            <w:shd w:fill="auto" w:val="clear"/>
            <w:tcMar>
              <w:top w:w="0" w:type="dxa"/>
            </w:tcMar>
            <w:vAlign w:val="center"/>
          </w:tcPr>
          <w:p>
            <w:pPr>
              <w:pStyle w:val="TableContents"/>
              <w:jc w:val="center"/>
              <w:rPr/>
            </w:pPr>
            <w:r>
              <w:rPr/>
              <w:t>.042</w:t>
            </w:r>
          </w:p>
        </w:tc>
        <w:tc>
          <w:tcPr>
            <w:tcW w:w="55" w:type="dxa"/>
            <w:tcBorders>
              <w:top w:val="double" w:sz="2" w:space="0" w:color="000001"/>
            </w:tcBorders>
            <w:shd w:fill="auto" w:val="clear"/>
            <w:tcMar>
              <w:top w:w="28"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0.12</w:t>
            </w:r>
          </w:p>
        </w:tc>
        <w:tc>
          <w:tcPr>
            <w:tcW w:w="1191" w:type="dxa"/>
            <w:tcBorders/>
            <w:shd w:fill="auto" w:val="clear"/>
            <w:tcMar>
              <w:top w:w="0" w:type="dxa"/>
            </w:tcMar>
            <w:vAlign w:val="center"/>
          </w:tcPr>
          <w:p>
            <w:pPr>
              <w:pStyle w:val="TableContents"/>
              <w:jc w:val="center"/>
              <w:rPr/>
            </w:pPr>
            <w:r>
              <w:rPr/>
              <w:t>0.03–0.22</w:t>
            </w:r>
          </w:p>
        </w:tc>
        <w:tc>
          <w:tcPr>
            <w:tcW w:w="506" w:type="dxa"/>
            <w:tcBorders/>
            <w:shd w:fill="auto" w:val="clear"/>
            <w:tcMar>
              <w:top w:w="0" w:type="dxa"/>
            </w:tcMar>
            <w:vAlign w:val="center"/>
          </w:tcPr>
          <w:p>
            <w:pPr>
              <w:pStyle w:val="TableContents"/>
              <w:jc w:val="center"/>
              <w:rPr/>
            </w:pPr>
            <w:r>
              <w:rPr/>
              <w:t>.020</w:t>
            </w:r>
          </w:p>
        </w:tc>
        <w:tc>
          <w:tcPr>
            <w:tcW w:w="80" w:type="dxa"/>
            <w:tcBorders>
              <w:top w:val="double" w:sz="2" w:space="0" w:color="000001"/>
            </w:tcBorders>
            <w:shd w:fill="auto" w:val="clear"/>
            <w:tcMar>
              <w:top w:w="28"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0.20</w:t>
            </w:r>
          </w:p>
        </w:tc>
        <w:tc>
          <w:tcPr>
            <w:tcW w:w="1135" w:type="dxa"/>
            <w:tcBorders/>
            <w:shd w:fill="auto" w:val="clear"/>
            <w:tcMar>
              <w:top w:w="0" w:type="dxa"/>
            </w:tcMar>
            <w:vAlign w:val="center"/>
          </w:tcPr>
          <w:p>
            <w:pPr>
              <w:pStyle w:val="TableContents"/>
              <w:jc w:val="center"/>
              <w:rPr/>
            </w:pPr>
            <w:r>
              <w:rPr/>
              <w:t>0.14–0.26</w:t>
            </w:r>
          </w:p>
        </w:tc>
        <w:tc>
          <w:tcPr>
            <w:tcW w:w="795" w:type="dxa"/>
            <w:tcBorders/>
            <w:shd w:fill="auto" w:val="clear"/>
            <w:tcMar>
              <w:top w:w="0" w:type="dxa"/>
            </w:tcMar>
            <w:vAlign w:val="center"/>
          </w:tcPr>
          <w:p>
            <w:pPr>
              <w:pStyle w:val="TableContents"/>
              <w:jc w:val="center"/>
              <w:rPr/>
            </w:pPr>
            <w:r>
              <w:rPr/>
              <w:t>&lt;.001</w:t>
            </w:r>
          </w:p>
        </w:tc>
        <w:tc>
          <w:tcPr>
            <w:tcW w:w="57" w:type="dxa"/>
            <w:tcBorders>
              <w:top w:val="double" w:sz="2" w:space="0" w:color="000001"/>
            </w:tcBorders>
            <w:shd w:fill="auto" w:val="clear"/>
            <w:tcMar>
              <w:top w:w="28"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1.92</w:t>
            </w:r>
          </w:p>
        </w:tc>
        <w:tc>
          <w:tcPr>
            <w:tcW w:w="1302" w:type="dxa"/>
            <w:tcBorders/>
            <w:shd w:fill="auto" w:val="clear"/>
            <w:tcMar>
              <w:top w:w="0" w:type="dxa"/>
            </w:tcMar>
            <w:vAlign w:val="center"/>
          </w:tcPr>
          <w:p>
            <w:pPr>
              <w:pStyle w:val="TableContents"/>
              <w:jc w:val="center"/>
              <w:rPr/>
            </w:pPr>
            <w:r>
              <w:rPr/>
              <w:t>1.43–2.42</w:t>
            </w:r>
          </w:p>
        </w:tc>
        <w:tc>
          <w:tcPr>
            <w:tcW w:w="649" w:type="dxa"/>
            <w:tcBorders/>
            <w:shd w:fill="auto" w:val="clear"/>
            <w:tcMar>
              <w:top w:w="0" w:type="dxa"/>
            </w:tcMar>
            <w:vAlign w:val="center"/>
          </w:tcPr>
          <w:p>
            <w:pPr>
              <w:pStyle w:val="TableContents"/>
              <w:jc w:val="center"/>
              <w:rPr/>
            </w:pPr>
            <w:r>
              <w:rPr/>
              <w:t>&lt;.001</w:t>
            </w:r>
          </w:p>
        </w:tc>
      </w:tr>
      <w:tr>
        <w:trPr/>
        <w:tc>
          <w:tcPr>
            <w:tcW w:w="1803" w:type="dxa"/>
            <w:tcBorders/>
            <w:shd w:fill="auto" w:val="clear"/>
            <w:tcMar>
              <w:top w:w="0" w:type="dxa"/>
            </w:tcMar>
            <w:vAlign w:val="center"/>
          </w:tcPr>
          <w:p>
            <w:pPr>
              <w:pStyle w:val="TableContents"/>
              <w:jc w:val="left"/>
              <w:rPr/>
            </w:pPr>
            <w:r>
              <w:rPr/>
              <w:t>inf.strain (EfalW)</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-0.63</w:t>
            </w:r>
          </w:p>
        </w:tc>
        <w:tc>
          <w:tcPr>
            <w:tcW w:w="1246" w:type="dxa"/>
            <w:tcBorders/>
            <w:shd w:fill="auto" w:val="clear"/>
            <w:tcMar>
              <w:top w:w="0" w:type="dxa"/>
            </w:tcMar>
            <w:vAlign w:val="center"/>
          </w:tcPr>
          <w:p>
            <w:pPr>
              <w:pStyle w:val="TableContents"/>
              <w:jc w:val="center"/>
              <w:rPr/>
            </w:pPr>
            <w:r>
              <w:rPr/>
              <w:t>-1.12–-0.14</w:t>
            </w:r>
          </w:p>
        </w:tc>
        <w:tc>
          <w:tcPr>
            <w:tcW w:w="573" w:type="dxa"/>
            <w:tcBorders/>
            <w:shd w:fill="auto" w:val="clear"/>
            <w:tcMar>
              <w:top w:w="0" w:type="dxa"/>
            </w:tcMar>
            <w:vAlign w:val="center"/>
          </w:tcPr>
          <w:p>
            <w:pPr>
              <w:pStyle w:val="TableContents"/>
              <w:jc w:val="center"/>
              <w:rPr>
                <w:b/>
                <w:b/>
              </w:rPr>
            </w:pPr>
            <w:r>
              <w:rPr>
                <w:b/>
              </w:rPr>
              <w:t>.015</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.003</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0.05</w:t>
            </w:r>
          </w:p>
        </w:tc>
        <w:tc>
          <w:tcPr>
            <w:tcW w:w="1133" w:type="dxa"/>
            <w:tcBorders/>
            <w:shd w:fill="auto" w:val="clear"/>
            <w:tcMar>
              <w:top w:w="0" w:type="dxa"/>
            </w:tcMar>
            <w:vAlign w:val="center"/>
          </w:tcPr>
          <w:p>
            <w:pPr>
              <w:pStyle w:val="TableContents"/>
              <w:jc w:val="center"/>
              <w:rPr/>
            </w:pPr>
            <w:r>
              <w:rPr/>
              <w:t>-0.05–0.14</w:t>
            </w:r>
          </w:p>
        </w:tc>
        <w:tc>
          <w:tcPr>
            <w:tcW w:w="628" w:type="dxa"/>
            <w:tcBorders/>
            <w:shd w:fill="auto" w:val="clear"/>
            <w:tcMar>
              <w:top w:w="0" w:type="dxa"/>
            </w:tcMar>
            <w:vAlign w:val="center"/>
          </w:tcPr>
          <w:p>
            <w:pPr>
              <w:pStyle w:val="TableContents"/>
              <w:jc w:val="center"/>
              <w:rPr/>
            </w:pPr>
            <w:r>
              <w:rPr/>
              <w:t>.347</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.213</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-0.10</w:t>
            </w:r>
          </w:p>
        </w:tc>
        <w:tc>
          <w:tcPr>
            <w:tcW w:w="1135" w:type="dxa"/>
            <w:tcBorders/>
            <w:shd w:fill="auto" w:val="clear"/>
            <w:tcMar>
              <w:top w:w="0" w:type="dxa"/>
            </w:tcMar>
            <w:vAlign w:val="center"/>
          </w:tcPr>
          <w:p>
            <w:pPr>
              <w:pStyle w:val="TableContents"/>
              <w:jc w:val="center"/>
              <w:rPr/>
            </w:pPr>
            <w:r>
              <w:rPr/>
              <w:t>-0.17–-0.03</w:t>
            </w:r>
          </w:p>
        </w:tc>
        <w:tc>
          <w:tcPr>
            <w:tcW w:w="795" w:type="dxa"/>
            <w:tcBorders/>
            <w:shd w:fill="auto" w:val="clear"/>
            <w:tcMar>
              <w:top w:w="0" w:type="dxa"/>
            </w:tcMar>
            <w:vAlign w:val="center"/>
          </w:tcPr>
          <w:p>
            <w:pPr>
              <w:pStyle w:val="TableContents"/>
              <w:jc w:val="center"/>
              <w:rPr>
                <w:b/>
                <w:b/>
              </w:rPr>
            </w:pPr>
            <w:r>
              <w:rPr>
                <w:b/>
              </w:rPr>
              <w:t>.010</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-0.57</w:t>
            </w:r>
          </w:p>
        </w:tc>
        <w:tc>
          <w:tcPr>
            <w:tcW w:w="1302" w:type="dxa"/>
            <w:tcBorders/>
            <w:shd w:fill="auto" w:val="clear"/>
            <w:tcMar>
              <w:top w:w="0" w:type="dxa"/>
            </w:tcMar>
            <w:vAlign w:val="center"/>
          </w:tcPr>
          <w:p>
            <w:pPr>
              <w:pStyle w:val="TableContents"/>
              <w:jc w:val="center"/>
              <w:rPr/>
            </w:pPr>
            <w:r>
              <w:rPr/>
              <w:t>-1.24–0.10</w:t>
            </w:r>
          </w:p>
        </w:tc>
        <w:tc>
          <w:tcPr>
            <w:tcW w:w="649" w:type="dxa"/>
            <w:tcBorders/>
            <w:shd w:fill="auto" w:val="clear"/>
            <w:tcMar>
              <w:top w:w="0" w:type="dxa"/>
            </w:tcMar>
            <w:vAlign w:val="center"/>
          </w:tcPr>
          <w:p>
            <w:pPr>
              <w:pStyle w:val="TableContents"/>
              <w:jc w:val="center"/>
              <w:rPr/>
            </w:pPr>
            <w:r>
              <w:rPr/>
              <w:t>.101</w:t>
            </w:r>
          </w:p>
        </w:tc>
      </w:tr>
      <w:tr>
        <w:trPr/>
        <w:tc>
          <w:tcPr>
            <w:tcW w:w="1803" w:type="dxa"/>
            <w:tcBorders/>
            <w:shd w:fill="auto" w:val="clear"/>
            <w:tcMar>
              <w:top w:w="0" w:type="dxa"/>
            </w:tcMar>
            <w:vAlign w:val="center"/>
          </w:tcPr>
          <w:p>
            <w:pPr>
              <w:pStyle w:val="TableContents"/>
              <w:jc w:val="left"/>
              <w:rPr/>
            </w:pPr>
            <w:r>
              <w:rPr/>
              <w:t>inf.strain (EferW)</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-0.78</w:t>
            </w:r>
          </w:p>
        </w:tc>
        <w:tc>
          <w:tcPr>
            <w:tcW w:w="1246" w:type="dxa"/>
            <w:tcBorders/>
            <w:shd w:fill="auto" w:val="clear"/>
            <w:tcMar>
              <w:top w:w="0" w:type="dxa"/>
            </w:tcMar>
            <w:vAlign w:val="center"/>
          </w:tcPr>
          <w:p>
            <w:pPr>
              <w:pStyle w:val="TableContents"/>
              <w:jc w:val="center"/>
              <w:rPr/>
            </w:pPr>
            <w:r>
              <w:rPr/>
              <w:t>-1.26–-0.29</w:t>
            </w:r>
          </w:p>
        </w:tc>
        <w:tc>
          <w:tcPr>
            <w:tcW w:w="573" w:type="dxa"/>
            <w:tcBorders/>
            <w:shd w:fill="auto" w:val="clear"/>
            <w:tcMar>
              <w:top w:w="0" w:type="dxa"/>
            </w:tcMar>
            <w:vAlign w:val="center"/>
          </w:tcPr>
          <w:p>
            <w:pPr>
              <w:pStyle w:val="TableContents"/>
              <w:jc w:val="center"/>
              <w:rPr>
                <w:b/>
                <w:b/>
              </w:rPr>
            </w:pPr>
            <w:r>
              <w:rPr>
                <w:b/>
              </w:rPr>
              <w:t>.003</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-0.04</w:t>
            </w:r>
          </w:p>
        </w:tc>
        <w:tc>
          <w:tcPr>
            <w:tcW w:w="1131" w:type="dxa"/>
            <w:tcBorders/>
            <w:shd w:fill="auto" w:val="clear"/>
            <w:tcMar>
              <w:top w:w="0" w:type="dxa"/>
            </w:tcMar>
            <w:vAlign w:val="center"/>
          </w:tcPr>
          <w:p>
            <w:pPr>
              <w:pStyle w:val="TableContents"/>
              <w:jc w:val="center"/>
              <w:rPr/>
            </w:pPr>
            <w:r>
              <w:rPr/>
              <w:t>-0.07–-0.02</w:t>
            </w:r>
          </w:p>
        </w:tc>
        <w:tc>
          <w:tcPr>
            <w:tcW w:w="683" w:type="dxa"/>
            <w:tcBorders/>
            <w:shd w:fill="auto" w:val="clear"/>
            <w:tcMar>
              <w:top w:w="0" w:type="dxa"/>
            </w:tcMar>
            <w:vAlign w:val="center"/>
          </w:tcPr>
          <w:p>
            <w:pPr>
              <w:pStyle w:val="TableContents"/>
              <w:jc w:val="center"/>
              <w:rPr>
                <w:b/>
                <w:b/>
              </w:rPr>
            </w:pPr>
            <w:r>
              <w:rPr>
                <w:b/>
              </w:rPr>
              <w:t>.002</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-0.01–-0.00</w:t>
            </w:r>
          </w:p>
        </w:tc>
        <w:tc>
          <w:tcPr>
            <w:tcW w:w="627" w:type="dxa"/>
            <w:tcBorders/>
            <w:shd w:fill="auto" w:val="clear"/>
            <w:tcMar>
              <w:top w:w="0" w:type="dxa"/>
            </w:tcMar>
            <w:vAlign w:val="center"/>
          </w:tcPr>
          <w:p>
            <w:pPr>
              <w:pStyle w:val="TableContents"/>
              <w:jc w:val="center"/>
              <w:rPr>
                <w:b/>
                <w:b/>
              </w:rPr>
            </w:pPr>
            <w:r>
              <w:rPr>
                <w:b/>
              </w:rPr>
              <w:t>.006</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-0.02</w:t>
            </w:r>
          </w:p>
        </w:tc>
        <w:tc>
          <w:tcPr>
            <w:tcW w:w="1133" w:type="dxa"/>
            <w:tcBorders/>
            <w:shd w:fill="auto" w:val="clear"/>
            <w:tcMar>
              <w:top w:w="0" w:type="dxa"/>
            </w:tcMar>
            <w:vAlign w:val="center"/>
          </w:tcPr>
          <w:p>
            <w:pPr>
              <w:pStyle w:val="TableContents"/>
              <w:jc w:val="center"/>
              <w:rPr/>
            </w:pPr>
            <w:r>
              <w:rPr/>
              <w:t>-0.11–0.08</w:t>
            </w:r>
          </w:p>
        </w:tc>
        <w:tc>
          <w:tcPr>
            <w:tcW w:w="628" w:type="dxa"/>
            <w:tcBorders/>
            <w:shd w:fill="auto" w:val="clear"/>
            <w:tcMar>
              <w:top w:w="0" w:type="dxa"/>
            </w:tcMar>
            <w:vAlign w:val="center"/>
          </w:tcPr>
          <w:p>
            <w:pPr>
              <w:pStyle w:val="TableContents"/>
              <w:jc w:val="center"/>
              <w:rPr/>
            </w:pPr>
            <w:r>
              <w:rPr/>
              <w:t>.741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-0.02</w:t>
            </w:r>
          </w:p>
        </w:tc>
        <w:tc>
          <w:tcPr>
            <w:tcW w:w="1191" w:type="dxa"/>
            <w:tcBorders/>
            <w:shd w:fill="auto" w:val="clear"/>
            <w:tcMar>
              <w:top w:w="0" w:type="dxa"/>
            </w:tcMar>
            <w:vAlign w:val="center"/>
          </w:tcPr>
          <w:p>
            <w:pPr>
              <w:pStyle w:val="TableContents"/>
              <w:jc w:val="center"/>
              <w:rPr/>
            </w:pPr>
            <w:r>
              <w:rPr/>
              <w:t>-0.15–0.10</w:t>
            </w:r>
          </w:p>
        </w:tc>
        <w:tc>
          <w:tcPr>
            <w:tcW w:w="506" w:type="dxa"/>
            <w:tcBorders/>
            <w:shd w:fill="auto" w:val="clear"/>
            <w:tcMar>
              <w:top w:w="0" w:type="dxa"/>
            </w:tcMar>
            <w:vAlign w:val="center"/>
          </w:tcPr>
          <w:p>
            <w:pPr>
              <w:pStyle w:val="TableContents"/>
              <w:jc w:val="center"/>
              <w:rPr/>
            </w:pPr>
            <w:r>
              <w:rPr/>
              <w:t>.690</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-0.12</w:t>
            </w:r>
          </w:p>
        </w:tc>
        <w:tc>
          <w:tcPr>
            <w:tcW w:w="1135" w:type="dxa"/>
            <w:tcBorders/>
            <w:shd w:fill="auto" w:val="clear"/>
            <w:tcMar>
              <w:top w:w="0" w:type="dxa"/>
            </w:tcMar>
            <w:vAlign w:val="center"/>
          </w:tcPr>
          <w:p>
            <w:pPr>
              <w:pStyle w:val="TableContents"/>
              <w:jc w:val="center"/>
              <w:rPr/>
            </w:pPr>
            <w:r>
              <w:rPr/>
              <w:t>-0.19–-0.04</w:t>
            </w:r>
          </w:p>
        </w:tc>
        <w:tc>
          <w:tcPr>
            <w:tcW w:w="795" w:type="dxa"/>
            <w:tcBorders/>
            <w:shd w:fill="auto" w:val="clear"/>
            <w:tcMar>
              <w:top w:w="0" w:type="dxa"/>
            </w:tcMar>
            <w:vAlign w:val="center"/>
          </w:tcPr>
          <w:p>
            <w:pPr>
              <w:pStyle w:val="TableContents"/>
              <w:jc w:val="center"/>
              <w:rPr>
                <w:b/>
                <w:b/>
              </w:rPr>
            </w:pPr>
            <w:r>
              <w:rPr>
                <w:b/>
              </w:rPr>
              <w:t>.003</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-0.20</w:t>
            </w:r>
          </w:p>
        </w:tc>
        <w:tc>
          <w:tcPr>
            <w:tcW w:w="1302" w:type="dxa"/>
            <w:tcBorders/>
            <w:shd w:fill="auto" w:val="clear"/>
            <w:tcMar>
              <w:top w:w="0" w:type="dxa"/>
            </w:tcMar>
            <w:vAlign w:val="center"/>
          </w:tcPr>
          <w:p>
            <w:pPr>
              <w:pStyle w:val="TableContents"/>
              <w:jc w:val="center"/>
              <w:rPr/>
            </w:pPr>
            <w:r>
              <w:rPr/>
              <w:t>-0.86–0.46</w:t>
            </w:r>
          </w:p>
        </w:tc>
        <w:tc>
          <w:tcPr>
            <w:tcW w:w="649" w:type="dxa"/>
            <w:tcBorders/>
            <w:shd w:fill="auto" w:val="clear"/>
            <w:tcMar>
              <w:top w:w="0" w:type="dxa"/>
            </w:tcMar>
            <w:vAlign w:val="center"/>
          </w:tcPr>
          <w:p>
            <w:pPr>
              <w:pStyle w:val="TableContents"/>
              <w:jc w:val="center"/>
              <w:rPr/>
            </w:pPr>
            <w:r>
              <w:rPr/>
              <w:t>.553</w:t>
            </w:r>
          </w:p>
        </w:tc>
      </w:tr>
      <w:tr>
        <w:trPr/>
        <w:tc>
          <w:tcPr>
            <w:tcW w:w="1803" w:type="dxa"/>
            <w:tcBorders/>
            <w:shd w:fill="auto" w:val="clear"/>
            <w:tcMar>
              <w:top w:w="0" w:type="dxa"/>
            </w:tcMar>
            <w:vAlign w:val="center"/>
          </w:tcPr>
          <w:p>
            <w:pPr>
              <w:pStyle w:val="TableContents"/>
              <w:jc w:val="left"/>
              <w:rPr/>
            </w:pPr>
            <w:r>
              <w:rPr/>
              <w:t>inf.strain (Uninf)</w:t>
            </w:r>
          </w:p>
        </w:tc>
        <w:tc>
          <w:tcPr>
            <w:tcW w:w="68" w:type="dxa"/>
            <w:tcBorders/>
            <w:shd w:fill="auto" w:val="clear"/>
            <w:tcMar>
              <w:top w:w="0" w:type="dxa"/>
            </w:tcMar>
            <w:vAlign w:val="center"/>
          </w:tcPr>
          <w:p>
            <w:pPr>
              <w:pStyle w:val="TableContents"/>
              <w:rPr/>
            </w:pPr>
            <w:r>
              <w:rPr/>
            </w:r>
          </w:p>
        </w:tc>
        <w:tc>
          <w:tcPr>
            <w:tcW w:w="562" w:type="dxa"/>
            <w:tcBorders/>
            <w:shd w:fill="auto" w:val="clear"/>
            <w:tcMar>
              <w:top w:w="0" w:type="dxa"/>
            </w:tcMar>
            <w:vAlign w:val="center"/>
          </w:tcPr>
          <w:p>
            <w:pPr>
              <w:pStyle w:val="TableContents"/>
              <w:jc w:val="center"/>
              <w:rPr/>
            </w:pPr>
            <w:r>
              <w:rPr/>
              <w:t>-0.87</w:t>
            </w:r>
          </w:p>
        </w:tc>
        <w:tc>
          <w:tcPr>
            <w:tcW w:w="1246" w:type="dxa"/>
            <w:tcBorders/>
            <w:shd w:fill="auto" w:val="clear"/>
            <w:tcMar>
              <w:top w:w="0" w:type="dxa"/>
            </w:tcMar>
            <w:vAlign w:val="center"/>
          </w:tcPr>
          <w:p>
            <w:pPr>
              <w:pStyle w:val="TableContents"/>
              <w:jc w:val="center"/>
              <w:rPr/>
            </w:pPr>
            <w:r>
              <w:rPr/>
              <w:t>-1.36–-0.38</w:t>
            </w:r>
          </w:p>
        </w:tc>
        <w:tc>
          <w:tcPr>
            <w:tcW w:w="573" w:type="dxa"/>
            <w:tcBorders/>
            <w:shd w:fill="auto" w:val="clear"/>
            <w:tcMar>
              <w:top w:w="0" w:type="dxa"/>
            </w:tcMar>
            <w:vAlign w:val="center"/>
          </w:tcPr>
          <w:p>
            <w:pPr>
              <w:pStyle w:val="TableContents"/>
              <w:jc w:val="center"/>
              <w:rPr>
                <w:b/>
                <w:b/>
              </w:rPr>
            </w:pPr>
            <w:r>
              <w:rPr>
                <w:b/>
              </w:rPr>
              <w:t>.001</w:t>
            </w:r>
          </w:p>
        </w:tc>
        <w:tc>
          <w:tcPr>
            <w:tcW w:w="56" w:type="dxa"/>
            <w:tcBorders/>
            <w:shd w:fill="auto" w:val="clear"/>
            <w:tcMar>
              <w:top w:w="0" w:type="dxa"/>
            </w:tcMar>
            <w:vAlign w:val="center"/>
          </w:tcPr>
          <w:p>
            <w:pPr>
              <w:pStyle w:val="TableContents"/>
              <w:rPr/>
            </w:pPr>
            <w:r>
              <w:rPr/>
            </w:r>
          </w:p>
        </w:tc>
        <w:tc>
          <w:tcPr>
            <w:tcW w:w="563" w:type="dxa"/>
            <w:tcBorders/>
            <w:shd w:fill="auto" w:val="clear"/>
            <w:tcMar>
              <w:top w:w="0" w:type="dxa"/>
            </w:tcMar>
            <w:vAlign w:val="center"/>
          </w:tcPr>
          <w:p>
            <w:pPr>
              <w:pStyle w:val="TableContents"/>
              <w:jc w:val="center"/>
              <w:rPr/>
            </w:pPr>
            <w:r>
              <w:rPr/>
              <w:t>-0.06</w:t>
            </w:r>
          </w:p>
        </w:tc>
        <w:tc>
          <w:tcPr>
            <w:tcW w:w="1131" w:type="dxa"/>
            <w:tcBorders/>
            <w:shd w:fill="auto" w:val="clear"/>
            <w:tcMar>
              <w:top w:w="0" w:type="dxa"/>
            </w:tcMar>
            <w:vAlign w:val="center"/>
          </w:tcPr>
          <w:p>
            <w:pPr>
              <w:pStyle w:val="TableContents"/>
              <w:jc w:val="center"/>
              <w:rPr/>
            </w:pPr>
            <w:r>
              <w:rPr/>
              <w:t>-0.08–-0.03</w:t>
            </w:r>
          </w:p>
        </w:tc>
        <w:tc>
          <w:tcPr>
            <w:tcW w:w="683"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-0.01</w:t>
            </w:r>
          </w:p>
        </w:tc>
        <w:tc>
          <w:tcPr>
            <w:tcW w:w="1189" w:type="dxa"/>
            <w:tcBorders/>
            <w:shd w:fill="auto" w:val="clear"/>
            <w:tcMar>
              <w:top w:w="0" w:type="dxa"/>
            </w:tcMar>
            <w:vAlign w:val="center"/>
          </w:tcPr>
          <w:p>
            <w:pPr>
              <w:pStyle w:val="TableContents"/>
              <w:jc w:val="center"/>
              <w:rPr/>
            </w:pPr>
            <w:r>
              <w:rPr/>
              <w:t>-0.02–-0.00</w:t>
            </w:r>
          </w:p>
        </w:tc>
        <w:tc>
          <w:tcPr>
            <w:tcW w:w="627" w:type="dxa"/>
            <w:tcBorders/>
            <w:shd w:fill="auto" w:val="clear"/>
            <w:tcMar>
              <w:top w:w="0" w:type="dxa"/>
            </w:tcMar>
            <w:vAlign w:val="center"/>
          </w:tcPr>
          <w:p>
            <w:pPr>
              <w:pStyle w:val="TableContents"/>
              <w:jc w:val="center"/>
              <w:rPr>
                <w:b/>
                <w:b/>
              </w:rPr>
            </w:pPr>
            <w:r>
              <w:rPr>
                <w:b/>
              </w:rPr>
              <w:t>&lt;.001</w:t>
            </w:r>
          </w:p>
        </w:tc>
        <w:tc>
          <w:tcPr>
            <w:tcW w:w="55"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-0.03</w:t>
            </w:r>
          </w:p>
        </w:tc>
        <w:tc>
          <w:tcPr>
            <w:tcW w:w="1133" w:type="dxa"/>
            <w:tcBorders/>
            <w:shd w:fill="auto" w:val="clear"/>
            <w:tcMar>
              <w:top w:w="0" w:type="dxa"/>
            </w:tcMar>
            <w:vAlign w:val="center"/>
          </w:tcPr>
          <w:p>
            <w:pPr>
              <w:pStyle w:val="TableContents"/>
              <w:jc w:val="center"/>
              <w:rPr/>
            </w:pPr>
            <w:r>
              <w:rPr/>
              <w:t>-0.13–0.06</w:t>
            </w:r>
          </w:p>
        </w:tc>
        <w:tc>
          <w:tcPr>
            <w:tcW w:w="628" w:type="dxa"/>
            <w:tcBorders/>
            <w:shd w:fill="auto" w:val="clear"/>
            <w:tcMar>
              <w:top w:w="0" w:type="dxa"/>
            </w:tcMar>
            <w:vAlign w:val="center"/>
          </w:tcPr>
          <w:p>
            <w:pPr>
              <w:pStyle w:val="TableContents"/>
              <w:jc w:val="center"/>
              <w:rPr/>
            </w:pPr>
            <w:r>
              <w:rPr/>
              <w:t>.499</w:t>
            </w:r>
          </w:p>
        </w:tc>
        <w:tc>
          <w:tcPr>
            <w:tcW w:w="55" w:type="dxa"/>
            <w:tcBorders/>
            <w:shd w:fill="auto" w:val="clear"/>
            <w:tcMar>
              <w:top w:w="0" w:type="dxa"/>
            </w:tcMar>
            <w:vAlign w:val="center"/>
          </w:tcPr>
          <w:p>
            <w:pPr>
              <w:pStyle w:val="TableContents"/>
              <w:rPr/>
            </w:pPr>
            <w:r>
              <w:rPr/>
            </w:r>
          </w:p>
        </w:tc>
        <w:tc>
          <w:tcPr>
            <w:tcW w:w="561" w:type="dxa"/>
            <w:tcBorders/>
            <w:shd w:fill="auto" w:val="clear"/>
            <w:tcMar>
              <w:top w:w="0" w:type="dxa"/>
            </w:tcMar>
            <w:vAlign w:val="center"/>
          </w:tcPr>
          <w:p>
            <w:pPr>
              <w:pStyle w:val="TableContents"/>
              <w:jc w:val="center"/>
              <w:rPr/>
            </w:pPr>
            <w:r>
              <w:rPr/>
              <w:t>-0.08</w:t>
            </w:r>
          </w:p>
        </w:tc>
        <w:tc>
          <w:tcPr>
            <w:tcW w:w="1191" w:type="dxa"/>
            <w:tcBorders/>
            <w:shd w:fill="auto" w:val="clear"/>
            <w:tcMar>
              <w:top w:w="0" w:type="dxa"/>
            </w:tcMar>
            <w:vAlign w:val="center"/>
          </w:tcPr>
          <w:p>
            <w:pPr>
              <w:pStyle w:val="TableContents"/>
              <w:jc w:val="center"/>
              <w:rPr/>
            </w:pPr>
            <w:r>
              <w:rPr/>
              <w:t>-0.20–0.04</w:t>
            </w:r>
          </w:p>
        </w:tc>
        <w:tc>
          <w:tcPr>
            <w:tcW w:w="506" w:type="dxa"/>
            <w:tcBorders/>
            <w:shd w:fill="auto" w:val="clear"/>
            <w:tcMar>
              <w:top w:w="0" w:type="dxa"/>
            </w:tcMar>
            <w:vAlign w:val="center"/>
          </w:tcPr>
          <w:p>
            <w:pPr>
              <w:pStyle w:val="TableContents"/>
              <w:jc w:val="center"/>
              <w:rPr/>
            </w:pPr>
            <w:r>
              <w:rPr/>
              <w:t>.194</w:t>
            </w:r>
          </w:p>
        </w:tc>
        <w:tc>
          <w:tcPr>
            <w:tcW w:w="80" w:type="dxa"/>
            <w:tcBorders/>
            <w:shd w:fill="auto" w:val="clear"/>
            <w:tcMar>
              <w:top w:w="0" w:type="dxa"/>
            </w:tcMar>
            <w:vAlign w:val="center"/>
          </w:tcPr>
          <w:p>
            <w:pPr>
              <w:pStyle w:val="TableContents"/>
              <w:rPr/>
            </w:pPr>
            <w:r>
              <w:rPr/>
            </w:r>
          </w:p>
        </w:tc>
        <w:tc>
          <w:tcPr>
            <w:tcW w:w="598" w:type="dxa"/>
            <w:tcBorders/>
            <w:shd w:fill="auto" w:val="clear"/>
            <w:tcMar>
              <w:top w:w="0" w:type="dxa"/>
            </w:tcMar>
            <w:vAlign w:val="center"/>
          </w:tcPr>
          <w:p>
            <w:pPr>
              <w:pStyle w:val="TableContents"/>
              <w:jc w:val="center"/>
              <w:rPr/>
            </w:pPr>
            <w:r>
              <w:rPr/>
              <w:t>-0.13</w:t>
            </w:r>
          </w:p>
        </w:tc>
        <w:tc>
          <w:tcPr>
            <w:tcW w:w="1135" w:type="dxa"/>
            <w:tcBorders/>
            <w:shd w:fill="auto" w:val="clear"/>
            <w:tcMar>
              <w:top w:w="0" w:type="dxa"/>
            </w:tcMar>
            <w:vAlign w:val="center"/>
          </w:tcPr>
          <w:p>
            <w:pPr>
              <w:pStyle w:val="TableContents"/>
              <w:jc w:val="center"/>
              <w:rPr/>
            </w:pPr>
            <w:r>
              <w:rPr/>
              <w:t>-0.21–-0.06</w:t>
            </w:r>
          </w:p>
        </w:tc>
        <w:tc>
          <w:tcPr>
            <w:tcW w:w="795" w:type="dxa"/>
            <w:tcBorders/>
            <w:shd w:fill="auto" w:val="clear"/>
            <w:tcMar>
              <w:top w:w="0" w:type="dxa"/>
            </w:tcMar>
            <w:vAlign w:val="center"/>
          </w:tcPr>
          <w:p>
            <w:pPr>
              <w:pStyle w:val="TableContents"/>
              <w:jc w:val="center"/>
              <w:rPr>
                <w:b/>
                <w:b/>
              </w:rPr>
            </w:pPr>
            <w:r>
              <w:rPr>
                <w:b/>
              </w:rPr>
              <w:t>&lt;.001</w:t>
            </w:r>
          </w:p>
        </w:tc>
        <w:tc>
          <w:tcPr>
            <w:tcW w:w="57" w:type="dxa"/>
            <w:tcBorders/>
            <w:shd w:fill="auto" w:val="clear"/>
            <w:tcMar>
              <w:top w:w="0" w:type="dxa"/>
            </w:tcMar>
            <w:vAlign w:val="center"/>
          </w:tcPr>
          <w:p>
            <w:pPr>
              <w:pStyle w:val="TableContents"/>
              <w:rPr/>
            </w:pPr>
            <w:r>
              <w:rPr/>
            </w:r>
          </w:p>
        </w:tc>
        <w:tc>
          <w:tcPr>
            <w:tcW w:w="506" w:type="dxa"/>
            <w:tcBorders/>
            <w:shd w:fill="auto" w:val="clear"/>
            <w:tcMar>
              <w:top w:w="0" w:type="dxa"/>
            </w:tcMar>
            <w:vAlign w:val="center"/>
          </w:tcPr>
          <w:p>
            <w:pPr>
              <w:pStyle w:val="TableContents"/>
              <w:jc w:val="center"/>
              <w:rPr/>
            </w:pPr>
            <w:r>
              <w:rPr/>
              <w:t>-0.81</w:t>
            </w:r>
          </w:p>
        </w:tc>
        <w:tc>
          <w:tcPr>
            <w:tcW w:w="1302" w:type="dxa"/>
            <w:tcBorders/>
            <w:shd w:fill="auto" w:val="clear"/>
            <w:tcMar>
              <w:top w:w="0" w:type="dxa"/>
            </w:tcMar>
            <w:vAlign w:val="center"/>
          </w:tcPr>
          <w:p>
            <w:pPr>
              <w:pStyle w:val="TableContents"/>
              <w:jc w:val="center"/>
              <w:rPr/>
            </w:pPr>
            <w:r>
              <w:rPr/>
              <w:t>-1.48–-0.14</w:t>
            </w:r>
          </w:p>
        </w:tc>
        <w:tc>
          <w:tcPr>
            <w:tcW w:w="649" w:type="dxa"/>
            <w:tcBorders/>
            <w:shd w:fill="auto" w:val="clear"/>
            <w:tcMar>
              <w:top w:w="0" w:type="dxa"/>
            </w:tcMar>
            <w:vAlign w:val="center"/>
          </w:tcPr>
          <w:p>
            <w:pPr>
              <w:pStyle w:val="TableContents"/>
              <w:jc w:val="center"/>
              <w:rPr/>
            </w:pPr>
            <w:r>
              <w:rPr/>
              <w:t>.021</w:t>
            </w:r>
          </w:p>
        </w:tc>
      </w:tr>
    </w:tbl>
    <w:p>
      <w:pPr>
        <w:sectPr>
          <w:footerReference w:type="default" r:id="rId10"/>
          <w:type w:val="nextPage"/>
          <w:pgSz w:orient="landscape" w:w="21420" w:h="12240"/>
          <w:pgMar w:left="1134" w:right="1134" w:header="0" w:top="1134" w:footer="0" w:bottom="1134" w:gutter="0"/>
          <w:pgNumType w:fmt="decimal"/>
          <w:formProt w:val="false"/>
          <w:textDirection w:val="lrTb"/>
          <w:docGrid w:type="default" w:linePitch="100" w:charSpace="0"/>
        </w:sectPr>
      </w:pPr>
    </w:p>
    <w:p>
      <w:pPr>
        <w:pStyle w:val="Normal"/>
        <w:spacing w:lineRule="auto" w:line="360"/>
        <w:jc w:val="both"/>
        <w:rPr>
          <w:sz w:val="24"/>
          <w:szCs w:val="24"/>
        </w:rPr>
      </w:pPr>
      <w:r>
        <w:rPr>
          <w:rFonts w:ascii="Times New Roman" w:hAnsi="Times New Roman"/>
          <w:b/>
          <w:bCs/>
          <w:color w:val="000000"/>
          <w:sz w:val="24"/>
          <w:szCs w:val="24"/>
        </w:rPr>
        <w:t xml:space="preserve">3.4. Inflammatory cell infiltration differs between </w:t>
      </w:r>
      <w:r>
        <w:rPr>
          <w:rFonts w:ascii="Times New Roman" w:hAnsi="Times New Roman"/>
          <w:b/>
          <w:bCs/>
          <w:i/>
          <w:iCs/>
          <w:color w:val="000000"/>
          <w:sz w:val="24"/>
          <w:szCs w:val="24"/>
        </w:rPr>
        <w:t xml:space="preserve">Eimeria </w:t>
      </w:r>
      <w:r>
        <w:rPr>
          <w:rFonts w:ascii="Times New Roman" w:hAnsi="Times New Roman"/>
          <w:b/>
          <w:bCs/>
          <w:iCs/>
          <w:color w:val="000000"/>
          <w:sz w:val="24"/>
          <w:szCs w:val="24"/>
        </w:rPr>
        <w:t>isolates</w:t>
      </w:r>
    </w:p>
    <w:p>
      <w:pPr>
        <w:pStyle w:val="TextBody"/>
        <w:spacing w:lineRule="auto" w:line="360"/>
        <w:jc w:val="both"/>
        <w:rPr/>
      </w:pPr>
      <w:r>
        <w:rPr>
          <w:rFonts w:ascii="Times New Roman" w:hAnsi="Times New Roman"/>
        </w:rPr>
        <w:t>To link our observation of gene expression in the spleen with independent measures of immune response and pathological changes, we performed a histological scoring of inflammatory cell infiltration</w:t>
      </w:r>
      <w:r>
        <w:rPr>
          <w:rFonts w:ascii="Times New Roman" w:hAnsi="Times New Roman"/>
          <w:color w:val="000000"/>
        </w:rPr>
        <w:t xml:space="preserve"> (Table 3, Figure 5). </w:t>
      </w:r>
      <w:r>
        <w:rPr>
          <w:rFonts w:ascii="Times New Roman" w:hAnsi="Times New Roman"/>
        </w:rPr>
        <w:t xml:space="preserve">Uninfected mice did not show inflammatory cell infiltration, besides a few (n = 2) exceptions with very low numbers of infiltrating lymphocytes. </w:t>
      </w:r>
    </w:p>
    <w:p>
      <w:pPr>
        <w:pStyle w:val="TextBody"/>
        <w:spacing w:lineRule="auto" w:line="360"/>
        <w:jc w:val="both"/>
        <w:rPr/>
      </w:pPr>
      <w:r>
        <w:rPr>
          <w:rFonts w:ascii="Times New Roman" w:hAnsi="Times New Roman"/>
          <w:color w:val="000000"/>
        </w:rPr>
        <w:t xml:space="preserve">In mice infected with the laboratory isolate </w:t>
      </w:r>
      <w:r>
        <w:rPr>
          <w:rFonts w:ascii="Times New Roman" w:hAnsi="Times New Roman"/>
          <w:i/>
          <w:iCs/>
          <w:color w:val="000000"/>
        </w:rPr>
        <w:t>E. falciformis</w:t>
      </w:r>
      <w:r>
        <w:rPr>
          <w:rFonts w:ascii="Times New Roman" w:hAnsi="Times New Roman"/>
          <w:color w:val="000000"/>
        </w:rPr>
        <w:t xml:space="preserve"> BayerHaberkorn1970 a relatively high score of inflammation was observed during pre-patency as early as at 5 dpi. The extent of immune infiltration remained high until 9 dpi and declined towards 11 dpi. In contrast, in caeca of mice infected with the wild derived isolate </w:t>
      </w:r>
      <w:r>
        <w:rPr>
          <w:rFonts w:ascii="Times New Roman" w:hAnsi="Times New Roman"/>
          <w:i/>
          <w:iCs/>
          <w:color w:val="000000"/>
        </w:rPr>
        <w:t>E. falciformis</w:t>
      </w:r>
      <w:r>
        <w:rPr>
          <w:rFonts w:ascii="Times New Roman" w:hAnsi="Times New Roman"/>
          <w:color w:val="000000"/>
        </w:rPr>
        <w:t xml:space="preserve"> Brandenburg 88, only low numbers of inflammatory cells were found during the pre-patent period. Infiltration consisted mainly of lymphocytes and plasma cells at this stage of infection. Inflammation then increased at 7 dpi, and during this period, </w:t>
      </w:r>
      <w:r>
        <w:rPr>
          <w:rFonts w:ascii="Times New Roman" w:hAnsi="Times New Roman"/>
          <w:color w:val="2E2E2E"/>
        </w:rPr>
        <w:t xml:space="preserve">eosinophilic granulocytes </w:t>
      </w:r>
      <w:r>
        <w:rPr>
          <w:rFonts w:ascii="Times New Roman" w:hAnsi="Times New Roman"/>
          <w:color w:val="000000"/>
        </w:rPr>
        <w:t xml:space="preserve">were also detected. Infiltration was strongest at 9 dpi in infections with this isolate before decreasing slightly towards 11 dpi. The quality of the infiltration was the same in infection with both wild derived and laboratory isolate of </w:t>
      </w:r>
      <w:r>
        <w:rPr>
          <w:rFonts w:ascii="Times New Roman" w:hAnsi="Times New Roman"/>
          <w:i/>
          <w:iCs/>
          <w:color w:val="000000"/>
        </w:rPr>
        <w:t>E. falciformis</w:t>
      </w:r>
      <w:r>
        <w:rPr>
          <w:rFonts w:ascii="Times New Roman" w:hAnsi="Times New Roman"/>
          <w:color w:val="000000"/>
        </w:rPr>
        <w:t xml:space="preserve">. Infiltrations are consistently characterised by lymphocytes, plasma cells </w:t>
      </w:r>
      <w:r>
        <w:rPr>
          <w:rFonts w:ascii="Times New Roman" w:hAnsi="Times New Roman"/>
          <w:color w:val="2E2E2E"/>
        </w:rPr>
        <w:t>and the presence of eosinophils (Figure 5)</w:t>
      </w:r>
      <w:r>
        <w:rPr>
          <w:rFonts w:ascii="Times New Roman" w:hAnsi="Times New Roman"/>
          <w:color w:val="000000"/>
        </w:rPr>
        <w:t xml:space="preserve">. </w:t>
      </w:r>
    </w:p>
    <w:p>
      <w:pPr>
        <w:pStyle w:val="TextBody"/>
        <w:tabs>
          <w:tab w:val="clear" w:pos="720"/>
          <w:tab w:val="left" w:pos="1080" w:leader="none"/>
        </w:tabs>
        <w:spacing w:lineRule="auto" w:line="360"/>
        <w:jc w:val="both"/>
        <w:rPr/>
      </w:pPr>
      <w:r>
        <w:rPr>
          <w:rFonts w:ascii="Times New Roman" w:hAnsi="Times New Roman"/>
        </w:rPr>
        <w:t xml:space="preserve">In infections with </w:t>
      </w:r>
      <w:r>
        <w:rPr>
          <w:rFonts w:ascii="Times New Roman" w:hAnsi="Times New Roman"/>
          <w:i/>
          <w:iCs/>
        </w:rPr>
        <w:t>E. ferrisi</w:t>
      </w:r>
      <w:r>
        <w:rPr>
          <w:rFonts w:ascii="Times New Roman" w:hAnsi="Times New Roman"/>
        </w:rPr>
        <w:t xml:space="preserve"> Brandenburg64 a milder inflammatory response was detected on 3 dpi and 5 dpi, with the latter being relatively stronger (compared to other dpi of </w:t>
      </w:r>
      <w:r>
        <w:rPr>
          <w:rFonts w:ascii="Times New Roman" w:hAnsi="Times New Roman"/>
          <w:i/>
          <w:iCs/>
        </w:rPr>
        <w:t>E. ferrisi</w:t>
      </w:r>
      <w:r>
        <w:rPr>
          <w:rFonts w:ascii="Times New Roman" w:hAnsi="Times New Roman"/>
        </w:rPr>
        <w:t xml:space="preserve"> infection), </w:t>
      </w:r>
      <w:r>
        <w:rPr>
          <w:rFonts w:ascii="Times New Roman" w:hAnsi="Times New Roman"/>
          <w:color w:val="000000"/>
          <w:highlight w:val="white"/>
        </w:rPr>
        <w:t xml:space="preserve">followed by a subsequent decline towards 7 dpi. </w:t>
      </w:r>
    </w:p>
    <w:p>
      <w:pPr>
        <w:pStyle w:val="TextBody"/>
        <w:tabs>
          <w:tab w:val="clear" w:pos="720"/>
          <w:tab w:val="left" w:pos="1080" w:leader="none"/>
        </w:tabs>
        <w:spacing w:lineRule="auto" w:line="360"/>
        <w:jc w:val="both"/>
        <w:rPr/>
      </w:pPr>
      <w:r>
        <w:rPr>
          <w:rFonts w:ascii="Times New Roman" w:hAnsi="Times New Roman"/>
          <w:color w:val="000000"/>
          <w:highlight w:val="white"/>
        </w:rPr>
        <w:t xml:space="preserve">We analysed the inflammation score of mice sacrificed at different dpi (Table 3) in mixed effect models using dpi as random factor. Overall inflammation was significantly lower in </w:t>
      </w:r>
      <w:r>
        <w:rPr>
          <w:rFonts w:ascii="Times New Roman" w:hAnsi="Times New Roman"/>
          <w:i/>
          <w:iCs/>
          <w:color w:val="000000"/>
          <w:highlight w:val="white"/>
        </w:rPr>
        <w:t>E. ferresi</w:t>
      </w:r>
      <w:r>
        <w:rPr>
          <w:rFonts w:ascii="Times New Roman" w:hAnsi="Times New Roman"/>
          <w:color w:val="000000"/>
          <w:highlight w:val="white"/>
        </w:rPr>
        <w:t xml:space="preserve"> infected mice than in those infected with </w:t>
      </w:r>
      <w:r>
        <w:rPr>
          <w:rFonts w:ascii="Times New Roman" w:hAnsi="Times New Roman"/>
          <w:i/>
          <w:iCs/>
          <w:color w:val="000000"/>
          <w:highlight w:val="white"/>
        </w:rPr>
        <w:t>E. falciformis</w:t>
      </w:r>
      <w:r>
        <w:rPr>
          <w:rFonts w:ascii="Times New Roman" w:hAnsi="Times New Roman"/>
          <w:color w:val="000000"/>
          <w:highlight w:val="white"/>
        </w:rPr>
        <w:t xml:space="preserve"> (glmm;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 xml:space="preserve"> </w:t>
      </w:r>
      <w:r>
        <w:rPr>
          <w:rFonts w:ascii="Times New Roman" w:hAnsi="Times New Roman"/>
          <w:i/>
          <w:iCs/>
          <w:color w:val="000000"/>
          <w:highlight w:val="white"/>
        </w:rPr>
        <w:t>E. falciformis</w:t>
      </w:r>
      <w:r>
        <w:rPr>
          <w:rFonts w:ascii="Times New Roman" w:hAnsi="Times New Roman"/>
          <w:color w:val="000000"/>
          <w:highlight w:val="white"/>
        </w:rPr>
        <w:t xml:space="preserve"> BayerHaberkorn1970, p = 0.001; </w:t>
      </w:r>
      <w:r>
        <w:rPr>
          <w:rFonts w:ascii="Times New Roman" w:hAnsi="Times New Roman"/>
          <w:i/>
          <w:iCs/>
          <w:color w:val="000000"/>
          <w:highlight w:val="white"/>
        </w:rPr>
        <w:t>E. ferrisi</w:t>
      </w:r>
      <w:r>
        <w:rPr>
          <w:rFonts w:ascii="Times New Roman" w:hAnsi="Times New Roman"/>
          <w:color w:val="000000"/>
          <w:highlight w:val="white"/>
        </w:rPr>
        <w:t xml:space="preserve"> </w:t>
      </w:r>
      <w:r>
        <w:rPr>
          <w:rFonts w:ascii="Times New Roman" w:hAnsi="Times New Roman"/>
          <w:i/>
          <w:iCs/>
          <w:color w:val="000000"/>
          <w:highlight w:val="white"/>
        </w:rPr>
        <w:t>vs</w:t>
      </w:r>
      <w:r>
        <w:rPr>
          <w:rFonts w:ascii="Times New Roman" w:hAnsi="Times New Roman"/>
          <w:color w:val="000000"/>
          <w:highlight w:val="white"/>
        </w:rPr>
        <w:t>.</w:t>
      </w:r>
      <w:r>
        <w:rPr>
          <w:rFonts w:ascii="Times New Roman" w:hAnsi="Times New Roman"/>
          <w:i/>
          <w:iCs/>
          <w:color w:val="000000"/>
          <w:highlight w:val="white"/>
        </w:rPr>
        <w:t xml:space="preserve"> E. falciformis</w:t>
      </w:r>
      <w:r>
        <w:rPr>
          <w:rFonts w:ascii="Times New Roman" w:hAnsi="Times New Roman"/>
          <w:color w:val="000000"/>
          <w:highlight w:val="white"/>
        </w:rPr>
        <w:t xml:space="preserve"> Brandenburg88, p = 0.014).</w:t>
      </w:r>
    </w:p>
    <w:p>
      <w:pPr>
        <w:pStyle w:val="TextBody"/>
        <w:tabs>
          <w:tab w:val="clear" w:pos="720"/>
          <w:tab w:val="left" w:pos="1080" w:leader="none"/>
        </w:tabs>
        <w:spacing w:lineRule="auto" w:line="360"/>
        <w:jc w:val="both"/>
        <w:rPr/>
      </w:pPr>
      <w:r>
        <w:rPr/>
      </w:r>
    </w:p>
    <w:p>
      <w:pPr>
        <w:pStyle w:val="TextBody"/>
        <w:tabs>
          <w:tab w:val="clear" w:pos="720"/>
          <w:tab w:val="left" w:pos="1080" w:leader="none"/>
        </w:tabs>
        <w:spacing w:lineRule="auto" w:line="360"/>
        <w:jc w:val="both"/>
        <w:rPr/>
      </w:pPr>
      <w:bookmarkStart w:id="17" w:name="23017853"/>
      <w:bookmarkEnd w:id="17"/>
      <w:r>
        <w:rPr>
          <w:rFonts w:ascii="Times New Roman" w:hAnsi="Times New Roman"/>
          <w:b/>
          <w:bCs/>
          <w:color w:val="000000"/>
          <w:sz w:val="24"/>
          <w:szCs w:val="24"/>
        </w:rPr>
        <w:t xml:space="preserve">Table 3 - Score for the relative severity of leukocyte infiltration in histologic sections from the mid-part of the caecum from NMRI mice infected with </w:t>
      </w:r>
      <w:r>
        <w:rPr>
          <w:rStyle w:val="Emphasis"/>
          <w:rFonts w:ascii="Times New Roman" w:hAnsi="Times New Roman"/>
          <w:b/>
          <w:bCs/>
          <w:color w:val="000000"/>
          <w:sz w:val="24"/>
          <w:szCs w:val="24"/>
        </w:rPr>
        <w:t xml:space="preserve">Eimeria </w:t>
      </w:r>
      <w:r>
        <w:rPr>
          <w:rStyle w:val="Emphasis"/>
          <w:rFonts w:ascii="Times New Roman" w:hAnsi="Times New Roman"/>
          <w:b/>
          <w:bCs/>
          <w:i w:val="false"/>
          <w:iCs w:val="false"/>
          <w:color w:val="000000"/>
          <w:sz w:val="24"/>
          <w:szCs w:val="24"/>
        </w:rPr>
        <w:t>spp.</w:t>
      </w:r>
      <w:r>
        <w:rPr>
          <w:rStyle w:val="Emphasis"/>
          <w:rFonts w:ascii="Times New Roman" w:hAnsi="Times New Roman"/>
          <w:b/>
          <w:bCs/>
          <w:i w:val="false"/>
          <w:iCs w:val="false"/>
          <w:color w:val="000000"/>
          <w:sz w:val="26"/>
          <w:szCs w:val="26"/>
        </w:rPr>
        <w:t xml:space="preserve"> </w:t>
      </w:r>
    </w:p>
    <w:tbl>
      <w:tblPr>
        <w:tblW w:w="9972" w:type="dxa"/>
        <w:jc w:val="left"/>
        <w:tblInd w:w="0" w:type="dxa"/>
        <w:tblCellMar>
          <w:top w:w="55" w:type="dxa"/>
          <w:left w:w="40" w:type="dxa"/>
          <w:bottom w:w="55" w:type="dxa"/>
          <w:right w:w="55" w:type="dxa"/>
        </w:tblCellMar>
        <w:tblLook w:firstRow="1" w:noVBand="1" w:lastRow="0" w:firstColumn="1" w:lastColumn="0" w:noHBand="0" w:val="04a0"/>
      </w:tblPr>
      <w:tblGrid>
        <w:gridCol w:w="3508"/>
        <w:gridCol w:w="1369"/>
        <w:gridCol w:w="1236"/>
        <w:gridCol w:w="1256"/>
        <w:gridCol w:w="1356"/>
        <w:gridCol w:w="1246"/>
      </w:tblGrid>
      <w:tr>
        <w:trPr/>
        <w:tc>
          <w:tcPr>
            <w:tcW w:w="3508" w:type="dxa"/>
            <w:vMerge w:val="restart"/>
            <w:tcBorders>
              <w:top w:val="single" w:sz="2" w:space="0" w:color="000001"/>
              <w:left w:val="single" w:sz="2" w:space="0" w:color="000001"/>
              <w:bottom w:val="single" w:sz="2" w:space="0" w:color="000001"/>
            </w:tcBorders>
            <w:shd w:fill="auto" w:val="clear"/>
          </w:tcPr>
          <w:p>
            <w:pPr>
              <w:pStyle w:val="TableContents"/>
              <w:spacing w:lineRule="auto" w:line="360"/>
              <w:jc w:val="both"/>
              <w:rPr/>
            </w:pPr>
            <w:r>
              <w:rPr>
                <w:rFonts w:ascii="Times New Roman" w:hAnsi="Times New Roman"/>
                <w:sz w:val="26"/>
                <w:szCs w:val="26"/>
              </w:rPr>
              <w:t>Infection</w:t>
            </w:r>
          </w:p>
        </w:tc>
        <w:tc>
          <w:tcPr>
            <w:tcW w:w="6463" w:type="dxa"/>
            <w:gridSpan w:val="5"/>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sz w:val="26"/>
                <w:szCs w:val="26"/>
              </w:rPr>
            </w:pPr>
            <w:r>
              <w:rPr>
                <w:rFonts w:ascii="Times New Roman" w:hAnsi="Times New Roman"/>
                <w:sz w:val="26"/>
                <w:szCs w:val="26"/>
              </w:rPr>
              <w:t>Relative severity of leukocyte infiltration in caecum</w:t>
            </w:r>
            <w:r>
              <w:rPr>
                <w:rFonts w:ascii="Times New Roman" w:hAnsi="Times New Roman"/>
                <w:sz w:val="26"/>
                <w:szCs w:val="26"/>
                <w:vertAlign w:val="superscript"/>
              </w:rPr>
              <w:t>1</w:t>
            </w:r>
          </w:p>
          <w:p>
            <w:pPr>
              <w:pStyle w:val="TableContents"/>
              <w:spacing w:lineRule="auto" w:line="360"/>
              <w:jc w:val="both"/>
              <w:rPr>
                <w:rFonts w:ascii="Times New Roman" w:hAnsi="Times New Roman"/>
                <w:sz w:val="26"/>
                <w:szCs w:val="26"/>
              </w:rPr>
            </w:pPr>
            <w:r>
              <w:rPr>
                <w:rFonts w:ascii="Times New Roman" w:hAnsi="Times New Roman"/>
                <w:sz w:val="26"/>
                <w:szCs w:val="26"/>
              </w:rPr>
            </w:r>
          </w:p>
        </w:tc>
      </w:tr>
      <w:tr>
        <w:trPr/>
        <w:tc>
          <w:tcPr>
            <w:tcW w:w="3508" w:type="dxa"/>
            <w:vMerge w:val="continue"/>
            <w:tcBorders>
              <w:top w:val="single" w:sz="2" w:space="0" w:color="000001"/>
              <w:left w:val="single" w:sz="2" w:space="0" w:color="000001"/>
              <w:bottom w:val="single" w:sz="2" w:space="0" w:color="000001"/>
            </w:tcBorders>
            <w:shd w:fill="auto" w:val="clear"/>
          </w:tcPr>
          <w:p>
            <w:pPr>
              <w:pStyle w:val="Normal"/>
              <w:spacing w:lineRule="auto" w:line="360"/>
              <w:jc w:val="both"/>
              <w:rPr/>
            </w:pPr>
            <w:r>
              <w:rPr/>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3dpi</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5dpi</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7dpi</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9dpi</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11dpi</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ferrisi</w:t>
            </w:r>
            <w:r>
              <w:rPr>
                <w:rFonts w:ascii="Times New Roman" w:hAnsi="Times New Roman"/>
                <w:b/>
                <w:bCs/>
                <w:sz w:val="22"/>
                <w:szCs w:val="22"/>
                <w:highlight w:val="white"/>
              </w:rPr>
              <w:t xml:space="preserve"> </w:t>
            </w:r>
            <w:r>
              <w:rPr>
                <w:rFonts w:ascii="Times New Roman" w:hAnsi="Times New Roman"/>
                <w:b/>
                <w:bCs/>
                <w:i w:val="false"/>
                <w:iCs w:val="false"/>
                <w:sz w:val="22"/>
                <w:szCs w:val="22"/>
                <w:highlight w:val="white"/>
              </w:rPr>
              <w:t>Brandenburg64</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2, 1, 1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1, 2, 2</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1, 2, 1</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1, 1, 1</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0, 0, 0</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highlight w:val="white"/>
              </w:rPr>
              <w:t>E. falciformis</w:t>
            </w:r>
            <w:r>
              <w:rPr>
                <w:rFonts w:ascii="Times New Roman" w:hAnsi="Times New Roman"/>
                <w:b/>
                <w:bCs/>
                <w:sz w:val="22"/>
                <w:szCs w:val="22"/>
                <w:highlight w:val="white"/>
              </w:rPr>
              <w:t xml:space="preserve"> Brandnburg88</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0, 1, 1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 xml:space="preserve">1, 0, 1 </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3, 2, 3</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2, 2</w:t>
            </w:r>
          </w:p>
        </w:tc>
      </w:tr>
      <w:tr>
        <w:trPr/>
        <w:tc>
          <w:tcPr>
            <w:tcW w:w="3508" w:type="dxa"/>
            <w:tcBorders>
              <w:top w:val="single" w:sz="2" w:space="0" w:color="000001"/>
              <w:left w:val="single" w:sz="2" w:space="0" w:color="000001"/>
              <w:bottom w:val="single" w:sz="2" w:space="0" w:color="000001"/>
            </w:tcBorders>
            <w:shd w:fill="auto" w:val="clear"/>
          </w:tcPr>
          <w:p>
            <w:pPr>
              <w:pStyle w:val="TextBody"/>
              <w:spacing w:lineRule="auto" w:line="360" w:before="0" w:after="140"/>
              <w:jc w:val="both"/>
              <w:rPr/>
            </w:pPr>
            <w:r>
              <w:rPr>
                <w:rFonts w:ascii="Times New Roman" w:hAnsi="Times New Roman"/>
                <w:b/>
                <w:bCs/>
                <w:i/>
                <w:iCs/>
                <w:sz w:val="22"/>
                <w:szCs w:val="22"/>
              </w:rPr>
              <w:t>E. falciformis</w:t>
            </w:r>
            <w:r>
              <w:rPr>
                <w:rFonts w:ascii="Times New Roman" w:hAnsi="Times New Roman"/>
                <w:b/>
                <w:bCs/>
                <w:sz w:val="22"/>
                <w:szCs w:val="22"/>
              </w:rPr>
              <w:t xml:space="preserve"> BayerHaberkorn1970</w:t>
            </w:r>
          </w:p>
        </w:tc>
        <w:tc>
          <w:tcPr>
            <w:tcW w:w="1369"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1, 2, 1</w:t>
            </w:r>
          </w:p>
        </w:tc>
        <w:tc>
          <w:tcPr>
            <w:tcW w:w="123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3, 3, 3</w:t>
            </w:r>
          </w:p>
        </w:tc>
        <w:tc>
          <w:tcPr>
            <w:tcW w:w="12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highlight w:val="white"/>
              </w:rPr>
              <w:t>3, 3, 2</w:t>
            </w:r>
          </w:p>
        </w:tc>
        <w:tc>
          <w:tcPr>
            <w:tcW w:w="1356" w:type="dxa"/>
            <w:tcBorders>
              <w:top w:val="single" w:sz="2" w:space="0" w:color="000001"/>
              <w:left w:val="single" w:sz="2" w:space="0" w:color="000001"/>
              <w:bottom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3, 3, 2</w:t>
            </w:r>
          </w:p>
        </w:tc>
        <w:tc>
          <w:tcPr>
            <w:tcW w:w="1246" w:type="dxa"/>
            <w:tcBorders>
              <w:top w:val="single" w:sz="2" w:space="0" w:color="000001"/>
              <w:left w:val="single" w:sz="2" w:space="0" w:color="000001"/>
              <w:bottom w:val="single" w:sz="2" w:space="0" w:color="000001"/>
              <w:right w:val="single" w:sz="2" w:space="0" w:color="000001"/>
            </w:tcBorders>
            <w:shd w:fill="auto" w:val="clear"/>
          </w:tcPr>
          <w:p>
            <w:pPr>
              <w:pStyle w:val="TableContents"/>
              <w:spacing w:lineRule="auto" w:line="360"/>
              <w:jc w:val="both"/>
              <w:rPr>
                <w:rFonts w:ascii="Times New Roman" w:hAnsi="Times New Roman"/>
              </w:rPr>
            </w:pPr>
            <w:r>
              <w:rPr>
                <w:rFonts w:ascii="Times New Roman" w:hAnsi="Times New Roman"/>
              </w:rPr>
              <w:t>1</w:t>
            </w:r>
            <w:r>
              <w:rPr>
                <w:rFonts w:ascii="Times New Roman" w:hAnsi="Times New Roman"/>
                <w:highlight w:val="white"/>
              </w:rPr>
              <w:t>, 1</w:t>
            </w:r>
          </w:p>
        </w:tc>
      </w:tr>
    </w:tbl>
    <w:p>
      <w:pPr>
        <w:pStyle w:val="TextBody"/>
        <w:spacing w:lineRule="auto" w:line="360"/>
        <w:jc w:val="both"/>
        <w:rPr/>
      </w:pPr>
      <w:r>
        <w:rPr>
          <w:vertAlign w:val="superscript"/>
        </w:rPr>
        <w:t>1</w:t>
      </w:r>
      <w:r>
        <w:rPr>
          <w:rFonts w:ascii="Times New Roman" w:hAnsi="Times New Roman"/>
        </w:rPr>
        <w:t>Leukocyte infiltration was scored on a 0 to 3 scale, where 0 represent no infiltration and 1, 2, 3 represented low, moderate, or high infiltration, respectively. One section from each caecum sample was used for scoring. Three fields of view (at 200-time magnification) were evaluated for the amount of inflammatory infiltrates and a numerical score was assigned by averaging over these fields.</w:t>
      </w:r>
    </w:p>
    <w:p>
      <w:pPr>
        <w:pStyle w:val="TextBody"/>
        <w:spacing w:lineRule="auto" w:line="360"/>
        <w:jc w:val="both"/>
        <w:rPr>
          <w:rFonts w:ascii="Times New Roman" w:hAnsi="Times New Roman"/>
        </w:rPr>
      </w:pPr>
      <w:r>
        <w:rPr>
          <w:rFonts w:ascii="Times New Roman" w:hAnsi="Times New Roman"/>
        </w:rPr>
      </w:r>
    </w:p>
    <w:p>
      <w:pPr>
        <w:pStyle w:val="Normal"/>
        <w:pageBreakBefore w:val="false"/>
        <w:tabs>
          <w:tab w:val="clear" w:pos="720"/>
          <w:tab w:val="left" w:pos="6382" w:leader="none"/>
        </w:tabs>
        <w:spacing w:lineRule="auto" w:line="360" w:before="57" w:after="57"/>
        <w:jc w:val="both"/>
        <w:rPr>
          <w:sz w:val="24"/>
          <w:szCs w:val="24"/>
        </w:rPr>
      </w:pPr>
      <w:r>
        <w:rPr>
          <w:rFonts w:ascii="Times New Roman" w:hAnsi="Times New Roman"/>
          <w:b/>
          <w:bCs/>
          <w:color w:val="000000"/>
          <w:sz w:val="24"/>
          <w:szCs w:val="24"/>
        </w:rPr>
        <w:t>4. Discussion</w:t>
      </w:r>
    </w:p>
    <w:p>
      <w:pPr>
        <w:pStyle w:val="Normal"/>
        <w:spacing w:lineRule="auto" w:line="360"/>
        <w:jc w:val="both"/>
        <w:rPr/>
      </w:pPr>
      <w:r>
        <w:rPr>
          <w:rStyle w:val="Emphasis"/>
          <w:rFonts w:ascii="Times New Roman" w:hAnsi="Times New Roman"/>
          <w:i w:val="false"/>
          <w:iCs w:val="false"/>
          <w:color w:val="222222"/>
        </w:rPr>
        <w:t xml:space="preserve">Infections are increasingly studied in combinations of natural systems and laboratory settings to understand the evolution of pathogens and the immune system. Natural parasites of the house mouse can play an important role when bridging this research with experimental immunology. We here study </w:t>
      </w:r>
      <w:r>
        <w:rPr>
          <w:rStyle w:val="Emphasis"/>
          <w:rFonts w:ascii="Times New Roman" w:hAnsi="Times New Roman"/>
        </w:rPr>
        <w:t>Eimeria</w:t>
      </w:r>
      <w:r>
        <w:rPr>
          <w:rStyle w:val="Emphasis"/>
          <w:rFonts w:ascii="Times New Roman" w:hAnsi="Times New Roman"/>
          <w:i w:val="false"/>
          <w:iCs w:val="false"/>
        </w:rPr>
        <w:t xml:space="preserve"> spp., natural parasites of the house mouse.</w:t>
      </w:r>
      <w:r>
        <w:rPr>
          <w:rStyle w:val="Emphasis"/>
          <w:rFonts w:ascii="Times New Roman" w:hAnsi="Times New Roman"/>
          <w:i w:val="false"/>
          <w:iCs w:val="false"/>
          <w:color w:val="222222"/>
        </w:rPr>
        <w:t xml:space="preserve"> We evaluated whether the “laboratory isolate”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 xml:space="preserve">BayerHaberkorn1970 </w:t>
      </w:r>
      <w:bookmarkStart w:id="18" w:name="__UnoMark__10568_2905672918"/>
      <w:r>
        <w:rPr>
          <w:rStyle w:val="Emphasis"/>
          <w:rFonts w:ascii="Times New Roman" w:hAnsi="Times New Roman"/>
          <w:i w:val="false"/>
          <w:iCs w:val="false"/>
          <w:color w:val="222222"/>
        </w:rPr>
        <w:t>(Haberkorn, 1970)</w:t>
      </w:r>
      <w:bookmarkEnd w:id="18"/>
      <w:r>
        <w:rPr>
          <w:rStyle w:val="Emphasis"/>
          <w:rFonts w:ascii="Times New Roman" w:hAnsi="Times New Roman"/>
          <w:i w:val="false"/>
          <w:iCs w:val="false"/>
          <w:color w:val="222222"/>
        </w:rPr>
        <w:t xml:space="preserve"> differs from wild derived isolates of the same species and of </w:t>
      </w:r>
      <w:r>
        <w:rPr>
          <w:rStyle w:val="Emphasis"/>
          <w:rFonts w:ascii="Times New Roman" w:hAnsi="Times New Roman"/>
          <w:color w:val="222222"/>
        </w:rPr>
        <w:t xml:space="preserve">E. ferrisi </w:t>
      </w:r>
      <w:r>
        <w:rPr>
          <w:rStyle w:val="Emphasis"/>
          <w:rFonts w:ascii="Times New Roman" w:hAnsi="Times New Roman"/>
          <w:i w:val="false"/>
          <w:iCs w:val="false"/>
          <w:color w:val="222222"/>
        </w:rPr>
        <w:t>concerning infection dynamics, pathogenicity and the immune reactions it induces</w:t>
      </w:r>
      <w:r>
        <w:rPr>
          <w:rStyle w:val="Emphasis"/>
          <w:rFonts w:ascii="Times New Roman" w:hAnsi="Times New Roman"/>
          <w:i w:val="false"/>
          <w:iCs w:val="false"/>
        </w:rPr>
        <w:t xml:space="preserve">. We found not only expected differences in parasite life cycle progression between </w:t>
      </w:r>
      <w:r>
        <w:rPr>
          <w:rStyle w:val="Emphasis"/>
          <w:rFonts w:ascii="Times New Roman" w:hAnsi="Times New Roman"/>
        </w:rPr>
        <w:t>Eimeria</w:t>
      </w:r>
      <w:r>
        <w:rPr>
          <w:rStyle w:val="Emphasis"/>
          <w:rFonts w:ascii="Times New Roman" w:hAnsi="Times New Roman"/>
          <w:i w:val="false"/>
          <w:iCs w:val="false"/>
        </w:rPr>
        <w:t xml:space="preserve"> species (</w:t>
      </w:r>
      <w:r>
        <w:rPr>
          <w:rStyle w:val="Emphasis"/>
          <w:rFonts w:ascii="Times New Roman" w:hAnsi="Times New Roman"/>
        </w:rPr>
        <w:t>E. falciformis</w:t>
      </w:r>
      <w:r>
        <w:rPr>
          <w:rStyle w:val="Emphasis"/>
          <w:rFonts w:ascii="Times New Roman" w:hAnsi="Times New Roman"/>
          <w:i w:val="false"/>
          <w:iCs w:val="false"/>
        </w:rPr>
        <w:t xml:space="preserve"> vs. </w:t>
      </w:r>
      <w:r>
        <w:rPr>
          <w:rStyle w:val="Emphasis"/>
          <w:rFonts w:ascii="Times New Roman" w:hAnsi="Times New Roman"/>
        </w:rPr>
        <w:t>E. ferrisi</w:t>
      </w:r>
      <w:r>
        <w:rPr>
          <w:rStyle w:val="Emphasis"/>
          <w:rFonts w:ascii="Times New Roman" w:hAnsi="Times New Roman"/>
          <w:i w:val="false"/>
          <w:iCs w:val="false"/>
        </w:rPr>
        <w:t xml:space="preserve">), but also differences between the </w:t>
      </w:r>
      <w:r>
        <w:rPr>
          <w:rStyle w:val="Emphasis"/>
          <w:rFonts w:ascii="Times New Roman" w:hAnsi="Times New Roman"/>
          <w:i w:val="false"/>
          <w:iCs w:val="false"/>
          <w:color w:val="222222"/>
        </w:rPr>
        <w:t xml:space="preserve">wild derived and laboratory isolate of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The</w:t>
      </w:r>
      <w:r>
        <w:rPr>
          <w:rStyle w:val="Emphasis"/>
          <w:rFonts w:ascii="Times New Roman" w:hAnsi="Times New Roman"/>
          <w:i w:val="false"/>
          <w:iCs w:val="false"/>
        </w:rPr>
        <w:t xml:space="preserve"> laboratory isolate of </w:t>
      </w:r>
      <w:r>
        <w:rPr>
          <w:rStyle w:val="Emphasis"/>
          <w:rFonts w:ascii="Times New Roman" w:hAnsi="Times New Roman"/>
        </w:rPr>
        <w:t>E. falciformis</w:t>
      </w:r>
      <w:r>
        <w:rPr>
          <w:rStyle w:val="Emphasis"/>
          <w:rFonts w:ascii="Times New Roman" w:hAnsi="Times New Roman"/>
          <w:i w:val="false"/>
          <w:iCs w:val="false"/>
        </w:rPr>
        <w:t xml:space="preserve"> induces relatively stronger immune reactions and pathologic changes in NMRI mice than newly derived isolates of both </w:t>
      </w:r>
      <w:r>
        <w:rPr>
          <w:rStyle w:val="Emphasis"/>
          <w:rFonts w:ascii="Times New Roman" w:hAnsi="Times New Roman"/>
        </w:rPr>
        <w:t>E. ferrisi</w:t>
      </w:r>
      <w:r>
        <w:rPr>
          <w:rStyle w:val="Emphasis"/>
          <w:rFonts w:ascii="Times New Roman" w:hAnsi="Times New Roman"/>
          <w:i w:val="false"/>
          <w:iCs w:val="false"/>
        </w:rPr>
        <w:t xml:space="preserve"> and </w:t>
      </w:r>
      <w:r>
        <w:rPr>
          <w:rStyle w:val="Emphasis"/>
          <w:rFonts w:ascii="Times New Roman" w:hAnsi="Times New Roman"/>
        </w:rPr>
        <w:t>E. falciformis</w:t>
      </w:r>
      <w:r>
        <w:rPr>
          <w:rStyle w:val="Emphasis"/>
          <w:rFonts w:ascii="Times New Roman" w:hAnsi="Times New Roman"/>
          <w:i w:val="false"/>
          <w:iCs w:val="false"/>
        </w:rPr>
        <w:t>.</w:t>
      </w:r>
    </w:p>
    <w:p>
      <w:pPr>
        <w:pStyle w:val="Normal"/>
        <w:spacing w:lineRule="auto" w:line="360"/>
        <w:jc w:val="both"/>
        <w:rPr/>
      </w:pPr>
      <w:r>
        <w:rPr>
          <w:rStyle w:val="Emphasis"/>
          <w:rFonts w:ascii="Times New Roman" w:hAnsi="Times New Roman"/>
          <w:bCs/>
          <w:i w:val="false"/>
          <w:iCs w:val="false"/>
          <w:color w:val="000000"/>
        </w:rPr>
        <w:t xml:space="preserve">Between the two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isolates BayerHaberkorn1970 and Brandenburg88 we observed only slight differences in the length of the pre-patent period (time until oocyst shedding, starting at 6 </w:t>
      </w:r>
      <w:r>
        <w:rPr>
          <w:rStyle w:val="Emphasis"/>
          <w:rFonts w:ascii="Times New Roman" w:hAnsi="Times New Roman"/>
          <w:bCs/>
          <w:color w:val="000000"/>
        </w:rPr>
        <w:t>vs.</w:t>
      </w:r>
      <w:r>
        <w:rPr>
          <w:rStyle w:val="Emphasis"/>
          <w:rFonts w:ascii="Times New Roman" w:hAnsi="Times New Roman"/>
          <w:bCs/>
          <w:i w:val="false"/>
          <w:iCs w:val="false"/>
          <w:color w:val="000000"/>
        </w:rPr>
        <w:t xml:space="preserve"> 7 dpi). T</w:t>
      </w:r>
      <w:r>
        <w:rPr>
          <w:rStyle w:val="Emphasis"/>
          <w:rFonts w:ascii="Times New Roman" w:hAnsi="Times New Roman"/>
          <w:i w:val="false"/>
          <w:iCs w:val="false"/>
        </w:rPr>
        <w:t xml:space="preserve">hese results are in agreement with previous reports from the same host (NMRI mice) and the BayerHaberkorn1970 isolate </w:t>
      </w:r>
      <w:bookmarkStart w:id="19" w:name="__UnoMark__10567_2905672918"/>
      <w:r>
        <w:rPr>
          <w:rStyle w:val="Emphasis"/>
          <w:rFonts w:ascii="Times New Roman" w:hAnsi="Times New Roman"/>
          <w:i w:val="false"/>
          <w:iCs w:val="false"/>
        </w:rPr>
        <w:t>(Stange et al., 2012; Schmid et al., 2012, 2014; Ehret et al., 2017)</w:t>
      </w:r>
      <w:bookmarkEnd w:id="19"/>
      <w:r>
        <w:rPr>
          <w:rStyle w:val="Emphasis"/>
          <w:rFonts w:ascii="Times New Roman" w:hAnsi="Times New Roman"/>
          <w:bCs/>
          <w:i w:val="false"/>
          <w:iCs w:val="false"/>
          <w:color w:val="000000"/>
        </w:rPr>
        <w:t xml:space="preserve">. The pre-patent period for the wild derived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isolate (7 dpi) corresponds to that reported for the parasite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var praghensis </w:t>
      </w:r>
      <w:bookmarkStart w:id="20" w:name="__UnoMark__10566_2905672918"/>
      <w:r>
        <w:rPr>
          <w:rStyle w:val="Emphasis"/>
          <w:rFonts w:ascii="Times New Roman" w:hAnsi="Times New Roman"/>
          <w:bCs/>
          <w:i w:val="false"/>
          <w:iCs w:val="false"/>
          <w:color w:val="000000"/>
        </w:rPr>
        <w:t>(Mesfin et al., 1978; Kasai et al., 1991)</w:t>
      </w:r>
      <w:bookmarkEnd w:id="20"/>
      <w:r>
        <w:rPr>
          <w:rStyle w:val="Emphasis"/>
          <w:rFonts w:ascii="Times New Roman" w:hAnsi="Times New Roman"/>
          <w:bCs/>
          <w:i w:val="false"/>
          <w:iCs w:val="false"/>
          <w:color w:val="000000"/>
        </w:rPr>
        <w:t xml:space="preserve">, but </w:t>
      </w:r>
      <w:bookmarkStart w:id="21" w:name="__UnoMark__10565_2905672918"/>
      <w:r>
        <w:rPr>
          <w:rStyle w:val="Emphasis"/>
          <w:rFonts w:ascii="Times New Roman" w:hAnsi="Times New Roman"/>
          <w:bCs/>
          <w:i w:val="false"/>
          <w:iCs w:val="false"/>
          <w:color w:val="000000"/>
        </w:rPr>
        <w:t>Mahrt and Shi (1988) and Schito et al. (1996)</w:t>
      </w:r>
      <w:bookmarkEnd w:id="21"/>
      <w:r>
        <w:rPr>
          <w:rStyle w:val="Emphasis"/>
          <w:rFonts w:ascii="Times New Roman" w:hAnsi="Times New Roman"/>
          <w:bCs/>
          <w:i w:val="false"/>
          <w:iCs w:val="false"/>
          <w:color w:val="000000"/>
        </w:rPr>
        <w:t xml:space="preserve"> demonstrated slightly longer pre-patent periods (7 or 8 dpi) also in other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infections. </w:t>
      </w:r>
    </w:p>
    <w:p>
      <w:pPr>
        <w:pStyle w:val="Normal"/>
        <w:spacing w:lineRule="auto" w:line="360"/>
        <w:jc w:val="both"/>
        <w:rPr/>
      </w:pPr>
      <w:r>
        <w:rPr>
          <w:rStyle w:val="Emphasis"/>
          <w:rFonts w:ascii="Times New Roman" w:hAnsi="Times New Roman"/>
          <w:i w:val="false"/>
          <w:iCs w:val="false"/>
          <w:color w:val="000000"/>
        </w:rPr>
        <w:t xml:space="preserve">The output of oocysts in our study (for all isolates) was similar or only slightly lower than </w:t>
      </w:r>
      <w:r>
        <w:rPr>
          <w:rStyle w:val="Emphasis"/>
          <w:rFonts w:ascii="Times New Roman" w:hAnsi="Times New Roman"/>
          <w:i w:val="false"/>
          <w:iCs w:val="false"/>
        </w:rPr>
        <w:t>in previous reports (Schmid et al., 20</w:t>
      </w:r>
      <w:bookmarkStart w:id="22" w:name="__UnoMark__10564_2905672918"/>
      <w:bookmarkEnd w:id="22"/>
      <w:r>
        <w:rPr>
          <w:rStyle w:val="Emphasis"/>
          <w:rFonts w:ascii="Times New Roman" w:hAnsi="Times New Roman"/>
          <w:i w:val="false"/>
          <w:iCs w:val="false"/>
        </w:rPr>
        <w:t>14; Ehret et al., 2017)</w:t>
      </w:r>
      <w:r>
        <w:rPr>
          <w:rStyle w:val="Emphasis"/>
          <w:rFonts w:ascii="Times New Roman" w:hAnsi="Times New Roman"/>
          <w:bCs/>
          <w:i w:val="false"/>
          <w:iCs w:val="false"/>
          <w:color w:val="000000"/>
        </w:rPr>
        <w:t>.</w:t>
      </w:r>
      <w:r>
        <w:rPr>
          <w:rStyle w:val="Emphasis"/>
          <w:rFonts w:ascii="Times New Roman" w:hAnsi="Times New Roman"/>
          <w:i w:val="false"/>
          <w:iCs w:val="false"/>
        </w:rPr>
        <w:t xml:space="preserve"> </w:t>
      </w:r>
      <w:r>
        <w:rPr>
          <w:rFonts w:ascii="Times New Roman" w:hAnsi="Times New Roman"/>
          <w:bCs/>
          <w:color w:val="000000"/>
        </w:rPr>
        <w:t xml:space="preserve">Our observation regarding the lifecycle progression of </w:t>
      </w:r>
      <w:r>
        <w:rPr>
          <w:rStyle w:val="Emphasis"/>
          <w:rFonts w:ascii="Times New Roman" w:hAnsi="Times New Roman"/>
          <w:bCs/>
          <w:color w:val="000000"/>
        </w:rPr>
        <w:t>E. ferrisi</w:t>
      </w:r>
      <w:r>
        <w:rPr>
          <w:rStyle w:val="Emphasis"/>
          <w:rFonts w:ascii="Times New Roman" w:hAnsi="Times New Roman"/>
          <w:bCs/>
          <w:i w:val="false"/>
          <w:color w:val="333333"/>
          <w:highlight w:val="white"/>
          <w:lang w:val="en-US"/>
        </w:rPr>
        <w:t xml:space="preserve">, </w:t>
      </w:r>
      <w:r>
        <w:rPr>
          <w:rFonts w:ascii="Times New Roman" w:hAnsi="Times New Roman"/>
          <w:bCs/>
          <w:color w:val="000000"/>
        </w:rPr>
        <w:t>agree with the initial description of</w:t>
      </w:r>
      <w:r>
        <w:rPr>
          <w:rFonts w:ascii="Times New Roman" w:hAnsi="Times New Roman"/>
          <w:bCs/>
          <w:iCs/>
          <w:color w:val="333333"/>
          <w:highlight w:val="white"/>
          <w:lang w:val="en-US"/>
        </w:rPr>
        <w:t xml:space="preserve"> the life cycle in </w:t>
      </w:r>
      <w:r>
        <w:rPr>
          <w:rStyle w:val="Emphasis"/>
          <w:rFonts w:ascii="Times New Roman" w:hAnsi="Times New Roman"/>
          <w:bCs/>
          <w:color w:val="333333"/>
          <w:highlight w:val="white"/>
          <w:lang w:val="en-US"/>
        </w:rPr>
        <w:t xml:space="preserve">Mus musculus </w:t>
      </w:r>
      <w:bookmarkStart w:id="23" w:name="__UnoMark__10563_2905672918"/>
      <w:r>
        <w:rPr>
          <w:rStyle w:val="Emphasis"/>
          <w:rFonts w:ascii="Times New Roman" w:hAnsi="Times New Roman"/>
          <w:bCs/>
          <w:i w:val="false"/>
          <w:iCs w:val="false"/>
          <w:color w:val="000000"/>
        </w:rPr>
        <w:t>(Ankrom et al., 1975)</w:t>
      </w:r>
      <w:bookmarkEnd w:id="23"/>
      <w:r>
        <w:rPr>
          <w:rFonts w:ascii="Times New Roman" w:hAnsi="Times New Roman"/>
          <w:bCs/>
          <w:color w:val="000000"/>
        </w:rPr>
        <w:t xml:space="preserve">.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is </w:t>
      </w:r>
      <w:r>
        <w:rPr>
          <w:rFonts w:ascii="Times New Roman" w:hAnsi="Times New Roman"/>
          <w:bCs/>
          <w:color w:val="000000"/>
        </w:rPr>
        <w:t xml:space="preserve">characterized by a short life cycle - especially when compared to </w:t>
      </w:r>
      <w:r>
        <w:rPr>
          <w:rFonts w:ascii="Times New Roman" w:hAnsi="Times New Roman"/>
          <w:bCs/>
          <w:i/>
          <w:iCs/>
          <w:color w:val="000000"/>
        </w:rPr>
        <w:t>E. falciformis -</w:t>
      </w:r>
      <w:r>
        <w:rPr>
          <w:rFonts w:ascii="Times New Roman" w:hAnsi="Times New Roman"/>
          <w:bCs/>
          <w:color w:val="000000"/>
        </w:rPr>
        <w:t xml:space="preserve"> with patency at 3 dpi. It is also noteworthy that the oocyst output of this species did not differ significantly when compared to that of both </w:t>
      </w:r>
      <w:r>
        <w:rPr>
          <w:rStyle w:val="Emphasis"/>
          <w:rFonts w:ascii="Times New Roman" w:hAnsi="Times New Roman"/>
          <w:bCs/>
          <w:color w:val="000000"/>
        </w:rPr>
        <w:t xml:space="preserve">E. falciformis </w:t>
      </w:r>
      <w:r>
        <w:rPr>
          <w:rStyle w:val="Emphasis"/>
          <w:rFonts w:ascii="Times New Roman" w:hAnsi="Times New Roman"/>
          <w:bCs/>
          <w:i w:val="false"/>
          <w:iCs w:val="false"/>
          <w:color w:val="000000"/>
        </w:rPr>
        <w:t xml:space="preserve">isolates (Figure 1). This data establishes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Brandenburg64 as a parasite isolate with low pathogenicity and high parasite reproduction. It invites comparisons of host-parasite interactions with more pathogenic isolates and could be an attractive  alternative infection model with less impact on the host, i.e. allowing shorter experiments more compliant with welfare of host animals. </w:t>
      </w:r>
    </w:p>
    <w:p>
      <w:pPr>
        <w:pStyle w:val="Normal"/>
        <w:spacing w:lineRule="auto" w:line="360"/>
        <w:jc w:val="both"/>
        <w:rPr/>
      </w:pPr>
      <w:r>
        <w:rPr>
          <w:rFonts w:ascii="Times New Roman" w:hAnsi="Times New Roman"/>
          <w:bCs/>
          <w:color w:val="000000"/>
        </w:rPr>
        <w:t xml:space="preserve">Pathogenicity assessed by maximal </w:t>
      </w:r>
      <w:r>
        <w:rPr>
          <w:rFonts w:ascii="Times New Roman" w:hAnsi="Times New Roman"/>
          <w:color w:val="000000"/>
        </w:rPr>
        <w:t xml:space="preserve">weight loss during infections with </w:t>
      </w:r>
      <w:r>
        <w:rPr>
          <w:rFonts w:ascii="Times New Roman" w:hAnsi="Times New Roman"/>
          <w:i/>
          <w:iCs/>
          <w:color w:val="000000"/>
        </w:rPr>
        <w:t>E. falciformis</w:t>
      </w:r>
      <w:r>
        <w:rPr>
          <w:rFonts w:ascii="Times New Roman" w:hAnsi="Times New Roman"/>
          <w:color w:val="000000"/>
        </w:rPr>
        <w:t xml:space="preserve"> was more severe in the present study compared to previous experiments </w:t>
      </w:r>
      <w:bookmarkStart w:id="24" w:name="__UnoMark__10562_2905672918"/>
      <w:r>
        <w:rPr>
          <w:rStyle w:val="Emphasis"/>
          <w:rFonts w:ascii="Times New Roman" w:hAnsi="Times New Roman"/>
          <w:i w:val="false"/>
          <w:iCs w:val="false"/>
        </w:rPr>
        <w:t>(Schmid et al., 2012; Stange et al., 2012; Ehret et al., 2017)</w:t>
      </w:r>
      <w:bookmarkEnd w:id="24"/>
      <w:r>
        <w:rPr>
          <w:rStyle w:val="Emphasis"/>
          <w:rFonts w:ascii="Times New Roman" w:hAnsi="Times New Roman"/>
          <w:i w:val="false"/>
          <w:iCs w:val="false"/>
        </w:rPr>
        <w:t xml:space="preserve">. A potential reason for such a relatively high pathogenicity could – as in any experimental </w:t>
      </w:r>
      <w:r>
        <w:rPr>
          <w:rStyle w:val="Emphasis"/>
          <w:rFonts w:ascii="Times New Roman" w:hAnsi="Times New Roman"/>
        </w:rPr>
        <w:t>Eimeria</w:t>
      </w:r>
      <w:r>
        <w:rPr>
          <w:rStyle w:val="Emphasis"/>
          <w:rFonts w:ascii="Times New Roman" w:hAnsi="Times New Roman"/>
          <w:i w:val="false"/>
          <w:iCs w:val="false"/>
        </w:rPr>
        <w:t xml:space="preserve"> infection – be an underestimation when adjusting the number of sporulated oocysts for the inoculum. As observed by Haberkorn (1970) higher dosed inocula lead to enhanced pathology, while the extent and timing of oocyst shedding are not impacted. Importantly, we here developed a method to assess the intensity of intestinal stages relative to the number host cells (host-parasite ∆Ct). This allows us to argue for </w:t>
      </w:r>
      <w:r>
        <w:rPr>
          <w:rStyle w:val="Emphasis"/>
          <w:rFonts w:ascii="Times New Roman" w:hAnsi="Times New Roman"/>
          <w:i w:val="false"/>
          <w:iCs w:val="false"/>
          <w:color w:val="000000"/>
        </w:rPr>
        <w:t xml:space="preserve">the consistency of infectious doses: the tissue intensity attained by all three strains used in our experiment was not significantly different, and the tissue intensity of the two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was very similar throughout the infection. We can conclude that we report results from a strong infection relative to previous studies, which was consistent between innocula of different strains. </w:t>
      </w:r>
    </w:p>
    <w:p>
      <w:pPr>
        <w:pStyle w:val="Normal"/>
        <w:spacing w:lineRule="auto" w:line="360"/>
        <w:jc w:val="both"/>
        <w:rPr/>
      </w:pPr>
      <w:r>
        <w:rPr>
          <w:rStyle w:val="Emphasis"/>
          <w:rFonts w:ascii="Times New Roman" w:hAnsi="Times New Roman"/>
          <w:i w:val="false"/>
          <w:iCs w:val="false"/>
          <w:color w:val="000000"/>
        </w:rPr>
        <w:t>This allows us to compare weight loss as an indication of pathogenicity between strains and to relate this to parasite reproduction: i</w:t>
      </w:r>
      <w:r>
        <w:rPr>
          <w:rFonts w:ascii="Times New Roman" w:hAnsi="Times New Roman"/>
          <w:color w:val="000000"/>
        </w:rPr>
        <w:t xml:space="preserve">n </w:t>
      </w:r>
      <w:r>
        <w:rPr>
          <w:rFonts w:ascii="Times New Roman" w:hAnsi="Times New Roman"/>
          <w:i/>
          <w:iCs/>
          <w:color w:val="000000"/>
        </w:rPr>
        <w:t>E. falciformis</w:t>
      </w:r>
      <w:r>
        <w:rPr>
          <w:rFonts w:ascii="Times New Roman" w:hAnsi="Times New Roman"/>
          <w:color w:val="000000"/>
        </w:rPr>
        <w:t xml:space="preserve"> infections maximal weight loss was observed at 9 dpi, while infections with </w:t>
      </w:r>
      <w:r>
        <w:rPr>
          <w:rFonts w:ascii="Times New Roman" w:hAnsi="Times New Roman"/>
          <w:i/>
          <w:iCs/>
          <w:color w:val="000000"/>
        </w:rPr>
        <w:t xml:space="preserve">E. ferrisi </w:t>
      </w:r>
      <w:r>
        <w:rPr>
          <w:rFonts w:ascii="Times New Roman" w:hAnsi="Times New Roman"/>
          <w:color w:val="000000"/>
        </w:rPr>
        <w:t xml:space="preserve">induced a significantly lower maximal weight loss at 5 dpi. </w:t>
      </w:r>
      <w:r>
        <w:rPr>
          <w:rFonts w:ascii="Times New Roman" w:hAnsi="Times New Roman"/>
          <w:bCs/>
          <w:color w:val="000000"/>
        </w:rPr>
        <w:t xml:space="preserve">These observations can be either due to fewer or faster cycles of asexual merogony of the parasite. Lines of poultry </w:t>
      </w:r>
      <w:r>
        <w:rPr>
          <w:rFonts w:ascii="Times New Roman" w:hAnsi="Times New Roman"/>
          <w:i/>
          <w:iCs/>
        </w:rPr>
        <w:t xml:space="preserve">Eimeria </w:t>
      </w:r>
      <w:r>
        <w:rPr>
          <w:rFonts w:ascii="Times New Roman" w:hAnsi="Times New Roman"/>
        </w:rPr>
        <w:t xml:space="preserve">with an </w:t>
      </w:r>
      <w:r>
        <w:rPr>
          <w:rFonts w:ascii="Times New Roman" w:hAnsi="Times New Roman"/>
          <w:color w:val="000000"/>
        </w:rPr>
        <w:t>abbreviated life cycle (so called “precocious lines”) show low</w:t>
      </w:r>
      <w:r>
        <w:rPr>
          <w:rFonts w:ascii="Times New Roman" w:hAnsi="Times New Roman"/>
        </w:rPr>
        <w:t xml:space="preserve"> oocyst output and are less pathogenic to their host </w:t>
      </w:r>
      <w:bookmarkStart w:id="25" w:name="__UnoMark__10539_2905672918"/>
      <w:r>
        <w:rPr>
          <w:rStyle w:val="Emphasis"/>
          <w:rFonts w:ascii="Times New Roman" w:hAnsi="Times New Roman"/>
          <w:bCs/>
          <w:i w:val="false"/>
          <w:iCs w:val="false"/>
          <w:color w:val="000000"/>
        </w:rPr>
        <w:t>(McDonald and Ballingall, 1983; Shirley and Bellatti, 1988</w:t>
      </w:r>
      <w:bookmarkEnd w:id="25"/>
      <w:r>
        <w:rPr>
          <w:rStyle w:val="Emphasis"/>
          <w:rFonts w:ascii="Times New Roman" w:hAnsi="Times New Roman"/>
          <w:bCs/>
          <w:i w:val="false"/>
          <w:iCs w:val="false"/>
          <w:color w:val="000000"/>
        </w:rPr>
        <w:t>;  Shirley and Long, 19</w:t>
      </w:r>
      <w:bookmarkStart w:id="26" w:name="__UnoMark__10561_2905672918"/>
      <w:bookmarkEnd w:id="26"/>
      <w:r>
        <w:rPr>
          <w:rStyle w:val="Emphasis"/>
          <w:rFonts w:ascii="Times New Roman" w:hAnsi="Times New Roman"/>
          <w:bCs/>
          <w:i w:val="false"/>
          <w:iCs w:val="false"/>
          <w:color w:val="000000"/>
        </w:rPr>
        <w:t xml:space="preserve">90; </w:t>
      </w:r>
      <w:r>
        <w:rPr>
          <w:rFonts w:ascii="Times New Roman" w:hAnsi="Times New Roman"/>
        </w:rPr>
        <w:t xml:space="preserve">Shirley and Harvey, 2000). </w:t>
      </w:r>
      <w:r>
        <w:rPr>
          <w:rFonts w:ascii="Times New Roman" w:hAnsi="Times New Roman"/>
          <w:i/>
          <w:iCs/>
        </w:rPr>
        <w:t>E. ferrisi</w:t>
      </w:r>
      <w:r>
        <w:rPr>
          <w:rFonts w:ascii="Times New Roman" w:hAnsi="Times New Roman"/>
        </w:rPr>
        <w:t xml:space="preserve">, in contrast, attains substantial oocyst output, but shares low pathology with such </w:t>
      </w:r>
      <w:r>
        <w:rPr>
          <w:rFonts w:ascii="Times New Roman" w:hAnsi="Times New Roman"/>
          <w:color w:val="000000"/>
        </w:rPr>
        <w:t xml:space="preserve">precocious lines. This suggests </w:t>
      </w:r>
      <w:r>
        <w:rPr>
          <w:rFonts w:ascii="Times New Roman" w:hAnsi="Times New Roman"/>
          <w:bCs/>
          <w:iCs/>
          <w:color w:val="000000"/>
        </w:rPr>
        <w:t xml:space="preserve">that short phases of asexual expansion might be associated with low pathogenicity in </w:t>
      </w:r>
      <w:r>
        <w:rPr>
          <w:rFonts w:ascii="Times New Roman" w:hAnsi="Times New Roman"/>
          <w:bCs/>
          <w:i/>
          <w:iCs/>
          <w:color w:val="000000"/>
        </w:rPr>
        <w:t>Eimeria</w:t>
      </w:r>
      <w:r>
        <w:rPr>
          <w:rFonts w:ascii="Times New Roman" w:hAnsi="Times New Roman"/>
          <w:bCs/>
          <w:iCs/>
          <w:color w:val="000000"/>
        </w:rPr>
        <w:t xml:space="preserve"> </w:t>
      </w:r>
      <w:r>
        <w:rPr>
          <w:rFonts w:ascii="Times New Roman" w:hAnsi="Times New Roman"/>
          <w:color w:val="000000"/>
        </w:rPr>
        <w:t xml:space="preserve">infections independent of total oocyst shedding. Parasite fitness for “naturally precocious” species of </w:t>
      </w:r>
      <w:r>
        <w:rPr>
          <w:rFonts w:ascii="Times New Roman" w:hAnsi="Times New Roman"/>
          <w:i/>
          <w:iCs/>
          <w:color w:val="000000"/>
        </w:rPr>
        <w:t>Eimeria</w:t>
      </w:r>
      <w:r>
        <w:rPr>
          <w:rFonts w:ascii="Times New Roman" w:hAnsi="Times New Roman"/>
          <w:color w:val="000000"/>
        </w:rPr>
        <w:t xml:space="preserve"> might be high, while simultaneously host fitness is affected relatively little by infections. Short lifecycles of </w:t>
      </w:r>
      <w:r>
        <w:rPr>
          <w:rFonts w:ascii="Times New Roman" w:hAnsi="Times New Roman"/>
          <w:i/>
          <w:iCs/>
          <w:color w:val="000000"/>
        </w:rPr>
        <w:t>Eimeria</w:t>
      </w:r>
      <w:r>
        <w:rPr>
          <w:rFonts w:ascii="Times New Roman" w:hAnsi="Times New Roman"/>
          <w:color w:val="000000"/>
        </w:rPr>
        <w:t xml:space="preserve"> might be associated with tolerance by the host. </w:t>
      </w:r>
    </w:p>
    <w:p>
      <w:pPr>
        <w:pStyle w:val="Normal"/>
        <w:spacing w:lineRule="auto" w:line="360"/>
        <w:jc w:val="both"/>
        <w:rPr/>
      </w:pPr>
      <w:r>
        <w:rPr>
          <w:rStyle w:val="Emphasis"/>
          <w:rFonts w:ascii="Times New Roman" w:hAnsi="Times New Roman"/>
          <w:i w:val="false"/>
          <w:iCs w:val="false"/>
          <w:color w:val="222222"/>
        </w:rPr>
        <w:t>Integrating weight loss dynamics with parasite lifecycle progression and comparing the two isolates of</w:t>
      </w:r>
      <w:r>
        <w:rPr>
          <w:rStyle w:val="Emphasis"/>
          <w:rFonts w:ascii="Times New Roman" w:hAnsi="Times New Roman"/>
          <w:color w:val="222222"/>
        </w:rPr>
        <w:t xml:space="preserve"> 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 xml:space="preserve">and that of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shows </w:t>
      </w:r>
      <w:r>
        <w:rPr>
          <w:rStyle w:val="Emphasis"/>
          <w:rFonts w:ascii="Times New Roman" w:hAnsi="Times New Roman"/>
          <w:i w:val="false"/>
          <w:iCs w:val="false"/>
          <w:color w:val="000000"/>
        </w:rPr>
        <w:t xml:space="preserve">that </w:t>
      </w:r>
      <w:r>
        <w:rPr>
          <w:rStyle w:val="Emphasis"/>
          <w:rFonts w:ascii="Times New Roman" w:hAnsi="Times New Roman"/>
          <w:bCs/>
          <w:color w:val="000000"/>
        </w:rPr>
        <w:t>E. ferrisi</w:t>
      </w:r>
      <w:r>
        <w:rPr>
          <w:rStyle w:val="Emphasis"/>
          <w:rFonts w:ascii="Times New Roman" w:hAnsi="Times New Roman"/>
          <w:i w:val="false"/>
          <w:iCs w:val="false"/>
          <w:color w:val="000000"/>
        </w:rPr>
        <w:t xml:space="preserve"> induces most weight loss before the peak of its oocyst shedding, while both </w:t>
      </w:r>
      <w:r>
        <w:rPr>
          <w:rStyle w:val="Emphasis"/>
          <w:rFonts w:ascii="Times New Roman" w:hAnsi="Times New Roman"/>
          <w:color w:val="000000"/>
        </w:rPr>
        <w:t>E. falciformis</w:t>
      </w:r>
      <w:r>
        <w:rPr>
          <w:rStyle w:val="Emphasis"/>
          <w:rFonts w:ascii="Times New Roman" w:hAnsi="Times New Roman"/>
          <w:i w:val="false"/>
          <w:iCs w:val="false"/>
          <w:color w:val="000000"/>
        </w:rPr>
        <w:t xml:space="preserve"> isolates impact the host after the peak of their oocyst shedding (Figure 2). T</w:t>
      </w:r>
      <w:r>
        <w:rPr>
          <w:rStyle w:val="Emphasis"/>
          <w:rFonts w:ascii="Times New Roman" w:hAnsi="Times New Roman"/>
          <w:i w:val="false"/>
          <w:iCs w:val="false"/>
          <w:color w:val="333333"/>
        </w:rPr>
        <w:t xml:space="preserve">hese differences suggest that mechanisms </w:t>
      </w:r>
      <w:r>
        <w:rPr>
          <w:rStyle w:val="Emphasis"/>
          <w:rFonts w:ascii="Times New Roman" w:hAnsi="Times New Roman"/>
          <w:i w:val="false"/>
          <w:iCs w:val="false"/>
          <w:color w:val="000000"/>
        </w:rPr>
        <w:t xml:space="preserve">underlying pathogenesis might be different between the two parasite species. </w:t>
      </w:r>
      <w:r>
        <w:rPr>
          <w:rStyle w:val="Emphasis"/>
          <w:rFonts w:ascii="Times New Roman" w:hAnsi="Times New Roman"/>
          <w:i w:val="false"/>
          <w:iCs w:val="false"/>
          <w:color w:val="222222"/>
        </w:rPr>
        <w:t xml:space="preserve">Histology indicates that </w:t>
      </w:r>
      <w:r>
        <w:rPr>
          <w:rStyle w:val="Emphasis"/>
          <w:rFonts w:ascii="Times New Roman" w:hAnsi="Times New Roman"/>
          <w:i w:val="false"/>
          <w:iCs w:val="false"/>
          <w:color w:val="000000"/>
        </w:rPr>
        <w:t xml:space="preserve">weight loss coincides with immune cell influx in </w:t>
      </w:r>
      <w:r>
        <w:rPr>
          <w:rStyle w:val="Emphasis"/>
          <w:rFonts w:ascii="Times New Roman" w:hAnsi="Times New Roman"/>
          <w:color w:val="000000"/>
        </w:rPr>
        <w:t>E. falciformi</w:t>
      </w:r>
      <w:r>
        <w:rPr>
          <w:rStyle w:val="Emphasis"/>
          <w:rFonts w:ascii="Times New Roman" w:hAnsi="Times New Roman"/>
          <w:i w:val="false"/>
          <w:iCs w:val="false"/>
          <w:color w:val="000000"/>
        </w:rPr>
        <w:t xml:space="preserve">s infections (Figure 5). This influx differed slightly in timing starting at 5 dpi in the </w:t>
      </w:r>
      <w:r>
        <w:rPr>
          <w:rStyle w:val="Emphasis"/>
          <w:rFonts w:ascii="Times New Roman" w:hAnsi="Times New Roman"/>
          <w:color w:val="222222"/>
        </w:rPr>
        <w:t xml:space="preserve">E. </w:t>
      </w:r>
      <w:r>
        <w:rPr>
          <w:rStyle w:val="Emphasis"/>
          <w:rFonts w:ascii="Times New Roman" w:hAnsi="Times New Roman"/>
          <w:bCs/>
          <w:color w:val="000000"/>
        </w:rPr>
        <w:t xml:space="preserve">falciformis </w:t>
      </w:r>
      <w:r>
        <w:rPr>
          <w:rStyle w:val="Emphasis"/>
          <w:rFonts w:ascii="Times New Roman" w:hAnsi="Times New Roman"/>
          <w:bCs/>
          <w:i w:val="false"/>
          <w:iCs w:val="false"/>
          <w:color w:val="000000"/>
        </w:rPr>
        <w:t>laboratory isolate and 7 dpi in the wild derived isolate. Such influx of immune cells into the tissue is an immuno-pathological reaction (Stange et al., 2012</w:t>
      </w:r>
      <w:bookmarkStart w:id="27" w:name="__UnoMark__10558_2905672918"/>
      <w:bookmarkEnd w:id="27"/>
      <w:r>
        <w:rPr>
          <w:rStyle w:val="Emphasis"/>
          <w:rFonts w:ascii="Times New Roman" w:hAnsi="Times New Roman"/>
          <w:bCs/>
          <w:i w:val="false"/>
          <w:iCs w:val="false"/>
          <w:color w:val="000000"/>
        </w:rPr>
        <w:t>), which might cause damage to the host</w:t>
      </w:r>
      <w:r>
        <w:rPr>
          <w:rStyle w:val="Emphasis"/>
          <w:rFonts w:ascii="Times New Roman" w:hAnsi="Times New Roman"/>
          <w:i w:val="false"/>
          <w:iCs w:val="false"/>
          <w:color w:val="000000"/>
        </w:rPr>
        <w:t>. As an alternative or additional cause of pathogenicity, s</w:t>
      </w:r>
      <w:r>
        <w:rPr>
          <w:rStyle w:val="Emphasis"/>
          <w:rFonts w:ascii="Times New Roman" w:hAnsi="Times New Roman"/>
          <w:i w:val="false"/>
          <w:iCs w:val="false"/>
          <w:color w:val="222222"/>
        </w:rPr>
        <w:t xml:space="preserve">exual reproduction of </w:t>
      </w:r>
      <w:r>
        <w:rPr>
          <w:rStyle w:val="Emphasis"/>
          <w:rFonts w:ascii="Times New Roman" w:hAnsi="Times New Roman"/>
          <w:color w:val="222222"/>
        </w:rPr>
        <w:t xml:space="preserve">E. falciformis </w:t>
      </w:r>
      <w:r>
        <w:rPr>
          <w:rStyle w:val="Emphasis"/>
          <w:rFonts w:ascii="Times New Roman" w:hAnsi="Times New Roman"/>
          <w:i w:val="false"/>
          <w:iCs w:val="false"/>
          <w:color w:val="222222"/>
        </w:rPr>
        <w:t>might directly cause an exhaust of epithelial cell which burst when oocysts are released into the lumen (Kasai et al., 1991</w:t>
      </w:r>
      <w:bookmarkStart w:id="28" w:name="__UnoMark__10559_2905672918"/>
      <w:bookmarkEnd w:id="28"/>
      <w:r>
        <w:rPr>
          <w:rStyle w:val="Emphasis"/>
          <w:rFonts w:ascii="Times New Roman" w:hAnsi="Times New Roman"/>
          <w:i w:val="false"/>
          <w:iCs w:val="false"/>
          <w:color w:val="222222"/>
        </w:rPr>
        <w:t xml:space="preserve">). </w:t>
      </w:r>
      <w:r>
        <w:rPr>
          <w:rStyle w:val="Emphasis"/>
          <w:rFonts w:ascii="Times New Roman" w:hAnsi="Times New Roman"/>
          <w:i w:val="false"/>
          <w:iCs w:val="false"/>
          <w:color w:val="000000"/>
        </w:rPr>
        <w:t xml:space="preserve">Infections with </w:t>
      </w:r>
      <w:r>
        <w:rPr>
          <w:rStyle w:val="Emphasis"/>
          <w:rFonts w:ascii="Times New Roman" w:hAnsi="Times New Roman"/>
          <w:color w:val="000000"/>
        </w:rPr>
        <w:t xml:space="preserve">E. ferrisi </w:t>
      </w:r>
      <w:r>
        <w:rPr>
          <w:rStyle w:val="Emphasis"/>
          <w:rFonts w:ascii="Times New Roman" w:hAnsi="Times New Roman"/>
          <w:i w:val="false"/>
          <w:iCs w:val="false"/>
          <w:color w:val="000000"/>
        </w:rPr>
        <w:t>were characterised by yet lower immune cell infiltration and</w:t>
      </w:r>
      <w:r>
        <w:rPr>
          <w:rStyle w:val="Emphasis"/>
          <w:rFonts w:ascii="Times New Roman" w:hAnsi="Times New Roman"/>
          <w:bCs/>
          <w:i w:val="false"/>
          <w:iCs w:val="false"/>
          <w:color w:val="000000"/>
        </w:rPr>
        <w:t xml:space="preserve"> weight loss</w:t>
      </w:r>
      <w:r>
        <w:rPr>
          <w:rStyle w:val="Emphasis"/>
          <w:rFonts w:ascii="Times New Roman" w:hAnsi="Times New Roman"/>
          <w:i w:val="false"/>
          <w:iCs w:val="false"/>
          <w:color w:val="000000"/>
        </w:rPr>
        <w:t xml:space="preserve"> coincided with the peak abundance of endogenous stages at 3 dpi (Figure 2), indicating that parasite proliferation causes disease in host infected with this species. </w:t>
      </w:r>
    </w:p>
    <w:p>
      <w:pPr>
        <w:pStyle w:val="Normal"/>
        <w:spacing w:lineRule="auto" w:line="360"/>
        <w:jc w:val="both"/>
        <w:rPr/>
      </w:pPr>
      <w:r>
        <w:rPr>
          <w:rFonts w:ascii="Times New Roman" w:hAnsi="Times New Roman"/>
          <w:color w:val="000000"/>
        </w:rPr>
        <w:t xml:space="preserve">Inflammatory cellular </w:t>
      </w:r>
      <w:r>
        <w:rPr>
          <w:rStyle w:val="Emphasis"/>
          <w:rFonts w:ascii="Times New Roman" w:hAnsi="Times New Roman"/>
          <w:i w:val="false"/>
          <w:color w:val="000000"/>
        </w:rPr>
        <w:t>infiltration</w:t>
      </w:r>
      <w:r>
        <w:rPr>
          <w:rStyle w:val="Emphasis"/>
          <w:rFonts w:ascii="Times New Roman" w:hAnsi="Times New Roman"/>
          <w:i w:val="false"/>
          <w:iCs w:val="false"/>
          <w:color w:val="000000"/>
        </w:rPr>
        <w:t xml:space="preserve">s within </w:t>
      </w:r>
      <w:r>
        <w:rPr>
          <w:rFonts w:ascii="Times New Roman" w:hAnsi="Times New Roman"/>
          <w:color w:val="000000"/>
        </w:rPr>
        <w:t xml:space="preserve">the mucosa during experimental infections with </w:t>
      </w:r>
      <w:r>
        <w:rPr>
          <w:rFonts w:ascii="Times New Roman" w:hAnsi="Times New Roman"/>
          <w:i/>
          <w:iCs/>
          <w:color w:val="000000"/>
        </w:rPr>
        <w:t>Eimeria</w:t>
      </w:r>
      <w:r>
        <w:rPr>
          <w:rFonts w:ascii="Times New Roman" w:hAnsi="Times New Roman"/>
          <w:color w:val="000000"/>
        </w:rPr>
        <w:t xml:space="preserve"> have been observed in many host species including mice </w:t>
      </w:r>
      <w:bookmarkStart w:id="29" w:name="__UnoMark__10557_2905672918"/>
      <w:r>
        <w:rPr>
          <w:rFonts w:ascii="Times New Roman" w:hAnsi="Times New Roman"/>
          <w:color w:val="000000"/>
        </w:rPr>
        <w:t>(Mesfin et al., 1978; Rose et al., 1992; Laurent et al., 2001; Gadde et al., 2009; Muñoz-Caro et al., 2016)</w:t>
      </w:r>
      <w:bookmarkEnd w:id="29"/>
      <w:r>
        <w:rPr>
          <w:rFonts w:ascii="Times New Roman" w:hAnsi="Times New Roman"/>
          <w:color w:val="000000"/>
        </w:rPr>
        <w:t xml:space="preserve">.  </w:t>
      </w:r>
      <w:bookmarkStart w:id="30" w:name="__UnoMark__10555_2905672918"/>
      <w:r>
        <w:rPr>
          <w:rStyle w:val="Emphasis"/>
          <w:rFonts w:ascii="Times New Roman" w:hAnsi="Times New Roman"/>
          <w:i w:val="false"/>
          <w:iCs w:val="false"/>
          <w:color w:val="000000"/>
        </w:rPr>
        <w:t>Schmid et al. (2014</w:t>
      </w:r>
      <w:bookmarkEnd w:id="30"/>
      <w:r>
        <w:rPr>
          <w:rStyle w:val="Emphasis"/>
          <w:rFonts w:ascii="Times New Roman" w:hAnsi="Times New Roman"/>
          <w:i w:val="false"/>
          <w:iCs w:val="false"/>
          <w:color w:val="000000"/>
        </w:rPr>
        <w:t xml:space="preserve">) demonstrated by immunohistochemical analyses that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infection in the caecum of NMRI mice leads to tissue infiltration with lymphocytes and macrophages. These changes are accompanied by elevated expression of </w:t>
      </w:r>
      <w:r>
        <w:rPr>
          <w:rStyle w:val="Emphasis"/>
          <w:rFonts w:ascii="Times New Roman" w:hAnsi="Times New Roman"/>
          <w:b w:val="false"/>
          <w:bCs w:val="false"/>
          <w:i/>
          <w:iCs/>
          <w:color w:val="000000"/>
        </w:rPr>
        <w:t>Inf</w:t>
      </w:r>
      <w:r>
        <w:rPr>
          <w:rStyle w:val="Emphasis"/>
          <w:rFonts w:ascii="Times New Roman" w:hAnsi="Times New Roman"/>
          <w:b w:val="false"/>
          <w:bCs w:val="false"/>
          <w:i/>
          <w:iCs/>
          <w:color w:val="000000"/>
          <w:highlight w:val="white"/>
        </w:rPr>
        <w:t>γ</w:t>
      </w:r>
      <w:r>
        <w:rPr>
          <w:rStyle w:val="Emphasis"/>
          <w:rFonts w:ascii="Times New Roman" w:hAnsi="Times New Roman"/>
          <w:i w:val="false"/>
          <w:iCs w:val="false"/>
          <w:color w:val="000000"/>
          <w:highlight w:val="white"/>
        </w:rPr>
        <w:t xml:space="preserve"> </w:t>
      </w:r>
      <w:r>
        <w:rPr>
          <w:rStyle w:val="Emphasis"/>
          <w:rFonts w:ascii="Times New Roman" w:hAnsi="Times New Roman"/>
          <w:i w:val="false"/>
          <w:iCs w:val="false"/>
          <w:color w:val="000000"/>
        </w:rPr>
        <w:t xml:space="preserve">and the production of the major chemokines CxC subfamily at the site of infection. Inflammatory infiltrates were also slightly more prominent in our experiment in the laboratory isolate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BayerHaberkorn1970</w:t>
      </w:r>
      <w:r>
        <w:rPr>
          <w:rStyle w:val="Emphasis"/>
          <w:rFonts w:ascii="Times New Roman" w:hAnsi="Times New Roman"/>
          <w:color w:val="000000"/>
        </w:rPr>
        <w:t xml:space="preserve"> </w:t>
      </w:r>
      <w:r>
        <w:rPr>
          <w:rStyle w:val="Emphasis"/>
          <w:rFonts w:ascii="Times New Roman" w:hAnsi="Times New Roman"/>
          <w:i w:val="false"/>
          <w:iCs w:val="false"/>
          <w:color w:val="000000"/>
        </w:rPr>
        <w:t xml:space="preserve">than in the closely related wild derived </w:t>
      </w:r>
      <w:r>
        <w:rPr>
          <w:rStyle w:val="Emphasis"/>
          <w:rFonts w:ascii="Times New Roman" w:hAnsi="Times New Roman"/>
          <w:color w:val="000000"/>
        </w:rPr>
        <w:t xml:space="preserve">E. falciformis </w:t>
      </w:r>
      <w:r>
        <w:rPr>
          <w:rStyle w:val="Emphasis"/>
          <w:rFonts w:ascii="Times New Roman" w:hAnsi="Times New Roman"/>
          <w:i w:val="false"/>
          <w:iCs w:val="false"/>
          <w:color w:val="000000"/>
        </w:rPr>
        <w:t xml:space="preserve">Brandenburg88 isolate. We thus asked whether systemic immune response differs between infections and studied this based </w:t>
      </w:r>
      <w:r>
        <w:rPr>
          <w:rFonts w:ascii="Times New Roman" w:hAnsi="Times New Roman"/>
          <w:color w:val="000000"/>
          <w:highlight w:val="white"/>
        </w:rPr>
        <w:t xml:space="preserve">on mRNA expression in the spleen. In spleens of mice infected with the laboratory isolate of </w:t>
      </w:r>
      <w:r>
        <w:rPr>
          <w:rFonts w:ascii="Times New Roman" w:hAnsi="Times New Roman"/>
          <w:i/>
          <w:iCs/>
          <w:color w:val="000000"/>
          <w:highlight w:val="white"/>
        </w:rPr>
        <w:t>E. falciformis</w:t>
      </w:r>
      <w:r>
        <w:rPr>
          <w:rFonts w:ascii="Times New Roman" w:hAnsi="Times New Roman"/>
          <w:color w:val="000000"/>
          <w:highlight w:val="white"/>
        </w:rPr>
        <w:t xml:space="preserve"> we observed elevated mRNA levels of the </w:t>
      </w:r>
      <w:r>
        <w:rPr>
          <w:rFonts w:ascii="Times New Roman" w:hAnsi="Times New Roman"/>
          <w:highlight w:val="white"/>
        </w:rPr>
        <w:t xml:space="preserve">pro-inflammatory Th1 cytokine </w:t>
      </w:r>
      <w:r>
        <w:rPr>
          <w:rFonts w:ascii="Times New Roman" w:hAnsi="Times New Roman"/>
          <w:i/>
          <w:iCs/>
          <w:highlight w:val="white"/>
        </w:rPr>
        <w:t>Il12</w:t>
      </w:r>
      <w:r>
        <w:rPr>
          <w:rFonts w:ascii="Times New Roman" w:hAnsi="Times New Roman"/>
          <w:highlight w:val="white"/>
        </w:rPr>
        <w:t xml:space="preserve">. </w:t>
      </w:r>
      <w:r>
        <w:rPr>
          <w:rStyle w:val="Emphasis"/>
          <w:rFonts w:ascii="Times New Roman" w:hAnsi="Times New Roman"/>
          <w:bCs/>
          <w:i w:val="false"/>
          <w:iCs w:val="false"/>
          <w:color w:val="000000"/>
        </w:rPr>
        <w:t xml:space="preserve">The </w:t>
      </w:r>
      <w:r>
        <w:rPr>
          <w:rStyle w:val="Emphasis"/>
          <w:rFonts w:ascii="Times New Roman" w:hAnsi="Times New Roman"/>
          <w:bCs/>
          <w:i/>
          <w:iCs/>
          <w:color w:val="000000"/>
        </w:rPr>
        <w:t>Il12</w:t>
      </w:r>
      <w:r>
        <w:rPr>
          <w:rStyle w:val="Emphasis"/>
          <w:rFonts w:ascii="Times New Roman" w:hAnsi="Times New Roman"/>
          <w:bCs/>
          <w:i w:val="false"/>
          <w:iCs w:val="false"/>
          <w:color w:val="000000"/>
        </w:rPr>
        <w:t>/</w:t>
      </w:r>
      <w:r>
        <w:rPr>
          <w:rStyle w:val="Emphasis"/>
          <w:rFonts w:ascii="Times New Roman" w:hAnsi="Times New Roman"/>
          <w:bCs/>
          <w:i/>
          <w:iCs/>
          <w:color w:val="000000"/>
        </w:rPr>
        <w:t>Ifnγ</w:t>
      </w:r>
      <w:r>
        <w:rPr>
          <w:rStyle w:val="Emphasis"/>
          <w:rFonts w:ascii="Times New Roman" w:hAnsi="Times New Roman"/>
          <w:bCs/>
          <w:i w:val="false"/>
          <w:iCs w:val="false"/>
          <w:color w:val="000000"/>
        </w:rPr>
        <w:t xml:space="preserve"> axis is crucial for the activation of cellular immune responses against intracellular parasites including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(Ovington and Smith, 1992; Rose et al., 19</w:t>
      </w:r>
      <w:bookmarkStart w:id="31" w:name="__UnoMark__10548_2905672918"/>
      <w:bookmarkEnd w:id="31"/>
      <w:r>
        <w:rPr>
          <w:rStyle w:val="Emphasis"/>
          <w:rFonts w:ascii="Times New Roman" w:hAnsi="Times New Roman"/>
          <w:bCs/>
          <w:i w:val="false"/>
          <w:iCs w:val="false"/>
          <w:color w:val="000000"/>
        </w:rPr>
        <w:t xml:space="preserve">92; Lowenthal et al., 1997; Lillehoj, 1998; Chow et al., 2011; </w:t>
      </w:r>
      <w:r>
        <w:rPr>
          <w:rStyle w:val="Emphasis"/>
          <w:rFonts w:ascii="Times New Roman" w:hAnsi="Times New Roman"/>
          <w:bCs/>
          <w:i w:val="false"/>
          <w:iCs w:val="false"/>
          <w:color w:val="222222"/>
        </w:rPr>
        <w:t>Schmid et al., 2014; Ehret et al., 2017</w:t>
      </w:r>
      <w:r>
        <w:rPr>
          <w:rStyle w:val="Emphasis"/>
          <w:rFonts w:ascii="Times New Roman" w:hAnsi="Times New Roman"/>
          <w:bCs/>
          <w:i w:val="false"/>
          <w:iCs w:val="false"/>
          <w:color w:val="000000"/>
        </w:rPr>
        <w:t xml:space="preserve">). We did not detect </w:t>
      </w:r>
      <w:r>
        <w:rPr>
          <w:rStyle w:val="Emphasis"/>
          <w:rFonts w:ascii="Times New Roman" w:hAnsi="Times New Roman"/>
          <w:bCs/>
          <w:i/>
          <w:iCs/>
          <w:color w:val="000000"/>
          <w:highlight w:val="white"/>
        </w:rPr>
        <w:t>Ifnγ</w:t>
      </w:r>
      <w:r>
        <w:rPr>
          <w:rStyle w:val="Emphasis"/>
          <w:rFonts w:ascii="Times New Roman" w:hAnsi="Times New Roman"/>
          <w:bCs/>
          <w:i w:val="false"/>
          <w:iCs w:val="false"/>
          <w:color w:val="000000"/>
          <w:highlight w:val="white"/>
        </w:rPr>
        <w:t xml:space="preserve"> significantly unregulated itself, as an elevated expression was only observed early after infection (at 3 dpi). </w:t>
      </w:r>
      <w:r>
        <w:rPr>
          <w:rStyle w:val="Emphasis"/>
          <w:rFonts w:ascii="Times New Roman" w:hAnsi="Times New Roman"/>
          <w:bCs/>
          <w:i w:val="false"/>
          <w:iCs w:val="false"/>
          <w:color w:val="000000"/>
        </w:rPr>
        <w:t xml:space="preserve">We, however, observed significantly increased expression of the anti-inflammatory Th1 cytokines </w:t>
      </w:r>
      <w:r>
        <w:rPr>
          <w:rStyle w:val="Emphasis"/>
          <w:rFonts w:ascii="Times New Roman" w:hAnsi="Times New Roman"/>
          <w:bCs/>
          <w:i/>
          <w:iCs/>
          <w:color w:val="000000"/>
        </w:rPr>
        <w:t>Il10</w:t>
      </w:r>
      <w:r>
        <w:rPr>
          <w:rStyle w:val="Emphasis"/>
          <w:rFonts w:ascii="Times New Roman" w:hAnsi="Times New Roman"/>
          <w:bCs/>
          <w:i w:val="false"/>
          <w:iCs w:val="false"/>
          <w:color w:val="000000"/>
        </w:rPr>
        <w:t xml:space="preserve"> and </w:t>
      </w:r>
      <w:r>
        <w:rPr>
          <w:rStyle w:val="Emphasis"/>
          <w:rFonts w:ascii="Times New Roman" w:hAnsi="Times New Roman"/>
          <w:bCs/>
          <w:i/>
          <w:iCs/>
          <w:color w:val="000000"/>
        </w:rPr>
        <w:t>Tgfβ</w:t>
      </w:r>
      <w:r>
        <w:rPr>
          <w:rStyle w:val="Emphasis"/>
          <w:rFonts w:ascii="Times New Roman" w:hAnsi="Times New Roman"/>
          <w:bCs/>
          <w:i w:val="false"/>
          <w:iCs w:val="false"/>
          <w:color w:val="000000"/>
        </w:rPr>
        <w:t xml:space="preserve">. IL10 could counteract IFNγ and is also expressed in the spleen of </w:t>
      </w:r>
      <w:r>
        <w:rPr>
          <w:rStyle w:val="Emphasis"/>
          <w:rFonts w:ascii="Times New Roman" w:hAnsi="Times New Roman"/>
          <w:bCs/>
          <w:color w:val="000000"/>
        </w:rPr>
        <w:t>Eimeria</w:t>
      </w:r>
      <w:r>
        <w:rPr>
          <w:rStyle w:val="Emphasis"/>
          <w:rFonts w:ascii="Times New Roman" w:hAnsi="Times New Roman"/>
          <w:bCs/>
          <w:i w:val="false"/>
          <w:iCs w:val="false"/>
          <w:color w:val="000000"/>
        </w:rPr>
        <w:t>-infected chicken (Rothwell et al., 2000</w:t>
      </w:r>
      <w:bookmarkStart w:id="32" w:name="__UnoMark__10547_2905672918"/>
      <w:bookmarkEnd w:id="32"/>
      <w:r>
        <w:rPr>
          <w:rStyle w:val="Emphasis"/>
          <w:rFonts w:ascii="Times New Roman" w:hAnsi="Times New Roman"/>
          <w:bCs/>
          <w:i w:val="false"/>
          <w:iCs w:val="false"/>
          <w:color w:val="000000"/>
        </w:rPr>
        <w:t>). Il10 expression in the spleen could be indicative for an attempt to balance inflammation during infection. A failure to establish this inflammatory balance can lead to pronounced inflammation and immunopathology (Inagaki-Ohara et al., 2006</w:t>
      </w:r>
      <w:bookmarkStart w:id="33" w:name="__UnoMark__10546_2905672918"/>
      <w:bookmarkEnd w:id="33"/>
      <w:r>
        <w:rPr>
          <w:rStyle w:val="Emphasis"/>
          <w:rFonts w:ascii="Times New Roman" w:hAnsi="Times New Roman"/>
          <w:bCs/>
          <w:i w:val="false"/>
          <w:iCs w:val="false"/>
          <w:color w:val="000000"/>
        </w:rPr>
        <w:t xml:space="preserve">). In addition, we observed significantly elevated mRNA expression of </w:t>
      </w:r>
      <w:r>
        <w:rPr>
          <w:rStyle w:val="Emphasis"/>
          <w:rFonts w:ascii="Times New Roman" w:hAnsi="Times New Roman"/>
          <w:bCs/>
          <w:i/>
          <w:iCs/>
          <w:color w:val="000000"/>
        </w:rPr>
        <w:t>Stat6</w:t>
      </w:r>
      <w:r>
        <w:rPr>
          <w:rStyle w:val="Emphasis"/>
          <w:rFonts w:ascii="Times New Roman" w:hAnsi="Times New Roman"/>
          <w:bCs/>
          <w:i w:val="false"/>
          <w:iCs w:val="false"/>
          <w:color w:val="000000"/>
        </w:rPr>
        <w:t xml:space="preserve"> and the major regulatory chemokine </w:t>
      </w:r>
      <w:r>
        <w:rPr>
          <w:rStyle w:val="Emphasis"/>
          <w:rFonts w:ascii="Times New Roman" w:hAnsi="Times New Roman"/>
          <w:bCs/>
          <w:i/>
          <w:iCs/>
          <w:color w:val="000000"/>
        </w:rPr>
        <w:t>CxCL9</w:t>
      </w:r>
      <w:r>
        <w:rPr>
          <w:rStyle w:val="Emphasis"/>
          <w:rFonts w:ascii="Times New Roman" w:hAnsi="Times New Roman"/>
          <w:bCs/>
          <w:i w:val="false"/>
          <w:iCs w:val="false"/>
          <w:color w:val="000000"/>
        </w:rPr>
        <w:t>, which can be induced downstream of INFγ and are involved in recruitment and</w:t>
      </w:r>
      <w:r>
        <w:rPr>
          <w:rStyle w:val="Emphasis"/>
          <w:rFonts w:ascii="Times New Roman" w:hAnsi="Times New Roman"/>
          <w:bCs/>
          <w:i w:val="false"/>
          <w:iCs w:val="false"/>
          <w:color w:val="222222"/>
        </w:rPr>
        <w:t xml:space="preserve"> activation of </w:t>
      </w:r>
      <w:r>
        <w:rPr>
          <w:rStyle w:val="Emphasis"/>
          <w:rFonts w:ascii="Times New Roman" w:hAnsi="Times New Roman"/>
          <w:bCs/>
          <w:i w:val="false"/>
          <w:iCs w:val="false"/>
          <w:color w:val="000000"/>
        </w:rPr>
        <w:t>effector T lymphocytes in the spleen as well as in non-lymphoid organs such as intestine (Schmid et al., 2014</w:t>
      </w:r>
      <w:bookmarkStart w:id="34" w:name="__UnoMark__10541_2905672918"/>
      <w:bookmarkEnd w:id="34"/>
      <w:r>
        <w:rPr>
          <w:rStyle w:val="Emphasis"/>
          <w:rFonts w:ascii="Times New Roman" w:hAnsi="Times New Roman"/>
          <w:bCs/>
          <w:i w:val="false"/>
          <w:iCs w:val="false"/>
          <w:color w:val="000000"/>
        </w:rPr>
        <w:t xml:space="preserve">). </w:t>
      </w:r>
    </w:p>
    <w:p>
      <w:pPr>
        <w:pStyle w:val="Normal"/>
        <w:spacing w:lineRule="auto" w:line="360"/>
        <w:jc w:val="both"/>
        <w:rPr/>
      </w:pPr>
      <w:r>
        <w:rPr>
          <w:rFonts w:ascii="Times New Roman" w:hAnsi="Times New Roman"/>
          <w:color w:val="000000"/>
        </w:rPr>
        <w:t xml:space="preserve">Only a few studies have assessed systemic immune response via expression of cytokines in the spleen during </w:t>
      </w:r>
      <w:r>
        <w:rPr>
          <w:rFonts w:ascii="Times New Roman" w:hAnsi="Times New Roman"/>
          <w:i/>
          <w:iCs/>
          <w:color w:val="000000"/>
        </w:rPr>
        <w:t>Eimeria</w:t>
      </w:r>
      <w:r>
        <w:rPr>
          <w:rFonts w:ascii="Times New Roman" w:hAnsi="Times New Roman"/>
          <w:color w:val="000000"/>
        </w:rPr>
        <w:t xml:space="preserve"> infections. </w:t>
      </w:r>
      <w:bookmarkStart w:id="35" w:name="__UnoMark__10572_2905672918"/>
      <w:r>
        <w:rPr>
          <w:rFonts w:ascii="Times New Roman" w:hAnsi="Times New Roman"/>
          <w:color w:val="000000"/>
        </w:rPr>
        <w:t>Steinfelder et al. (2005)</w:t>
      </w:r>
      <w:bookmarkEnd w:id="35"/>
      <w:r>
        <w:rPr>
          <w:rFonts w:ascii="Times New Roman" w:hAnsi="Times New Roman"/>
          <w:color w:val="000000"/>
        </w:rPr>
        <w:t xml:space="preserve"> showed that T-cell proliferated in mesenteric lymph nodes of mice during a drug abbreviated infection with </w:t>
      </w:r>
      <w:r>
        <w:rPr>
          <w:rFonts w:ascii="Times New Roman" w:hAnsi="Times New Roman"/>
          <w:i/>
          <w:iCs/>
          <w:color w:val="000000"/>
        </w:rPr>
        <w:t xml:space="preserve">E. falciformis. </w:t>
      </w:r>
      <w:r>
        <w:rPr>
          <w:rFonts w:ascii="Times New Roman" w:hAnsi="Times New Roman"/>
          <w:color w:val="000000"/>
        </w:rPr>
        <w:t xml:space="preserve">Nevertheless splenocytes released IFNγ and IL4 and likely contribute to the development of a systemic humoral response. In strongly infected mice this could lead to a systematic immunopathology. </w:t>
      </w:r>
      <w:r>
        <w:rPr>
          <w:rStyle w:val="Emphasis"/>
          <w:rFonts w:ascii="Times New Roman" w:hAnsi="Times New Roman"/>
          <w:color w:val="000000"/>
        </w:rPr>
        <w:t>E. tenella</w:t>
      </w:r>
      <w:r>
        <w:rPr>
          <w:rFonts w:ascii="Times New Roman" w:hAnsi="Times New Roman"/>
          <w:i/>
          <w:iCs/>
          <w:color w:val="000000"/>
        </w:rPr>
        <w:t xml:space="preserve"> </w:t>
      </w:r>
      <w:r>
        <w:rPr>
          <w:rFonts w:ascii="Times New Roman" w:hAnsi="Times New Roman"/>
          <w:color w:val="000000"/>
        </w:rPr>
        <w:t>antigen has been shown to induce IFN release of splenocytes in immunized chicken</w:t>
      </w:r>
      <w:r>
        <w:rPr>
          <w:rFonts w:ascii="Times New Roman" w:hAnsi="Times New Roman"/>
          <w:color w:val="000000"/>
          <w:highlight w:val="white"/>
        </w:rPr>
        <w:t xml:space="preserve">s </w:t>
      </w:r>
      <w:r>
        <w:rPr>
          <w:rStyle w:val="Emphasis"/>
          <w:rFonts w:ascii="Times New Roman" w:hAnsi="Times New Roman"/>
          <w:i w:val="false"/>
          <w:iCs w:val="false"/>
          <w:color w:val="000000"/>
          <w:highlight w:val="white"/>
        </w:rPr>
        <w:t xml:space="preserve">(Prowse and Pallister, 1989). </w:t>
      </w:r>
      <w:r>
        <w:rPr>
          <w:rStyle w:val="Emphasis"/>
          <w:rFonts w:ascii="Times New Roman" w:hAnsi="Times New Roman"/>
          <w:i w:val="false"/>
          <w:iCs w:val="false"/>
          <w:color w:val="000000"/>
        </w:rPr>
        <w:t xml:space="preserve">Similarly, </w:t>
      </w:r>
      <w:bookmarkStart w:id="36" w:name="__UnoMark__10571_2905672918"/>
      <w:bookmarkEnd w:id="36"/>
      <w:r>
        <w:rPr>
          <w:rStyle w:val="Emphasis"/>
          <w:rFonts w:ascii="Times New Roman" w:hAnsi="Times New Roman"/>
          <w:i w:val="false"/>
          <w:iCs w:val="false"/>
          <w:color w:val="000000"/>
        </w:rPr>
        <w:t xml:space="preserve">Byrnes et al., 1993 illustrated that splenic macrophages can produce IL1 and TNFα during the primary infection of </w:t>
      </w:r>
      <w:r>
        <w:rPr>
          <w:rStyle w:val="Emphasis"/>
          <w:rFonts w:ascii="Times New Roman" w:hAnsi="Times New Roman"/>
          <w:color w:val="000000"/>
        </w:rPr>
        <w:t xml:space="preserve">E. tenella </w:t>
      </w:r>
      <w:r>
        <w:rPr>
          <w:rStyle w:val="Emphasis"/>
          <w:rFonts w:ascii="Times New Roman" w:hAnsi="Times New Roman"/>
          <w:i w:val="false"/>
          <w:iCs w:val="false"/>
          <w:color w:val="000000"/>
        </w:rPr>
        <w:t xml:space="preserve">and </w:t>
      </w:r>
      <w:r>
        <w:rPr>
          <w:rStyle w:val="Emphasis"/>
          <w:rFonts w:ascii="Times New Roman" w:hAnsi="Times New Roman"/>
          <w:color w:val="000000"/>
        </w:rPr>
        <w:t>E. maxima</w:t>
      </w:r>
      <w:r>
        <w:rPr>
          <w:rStyle w:val="Emphasis"/>
          <w:rFonts w:ascii="Times New Roman" w:hAnsi="Times New Roman"/>
          <w:i w:val="false"/>
          <w:iCs w:val="false"/>
          <w:color w:val="000000"/>
        </w:rPr>
        <w:t xml:space="preserve">. The expression of Toll-like receptors (TLR3, TLR15), signal adaptor (MyD88) </w:t>
      </w:r>
      <w:bookmarkStart w:id="37" w:name="__UnoMark__10570_2905672918"/>
      <w:bookmarkEnd w:id="37"/>
      <w:r>
        <w:rPr>
          <w:rStyle w:val="Emphasis"/>
          <w:rFonts w:ascii="Times New Roman" w:hAnsi="Times New Roman"/>
          <w:i w:val="false"/>
          <w:iCs w:val="false"/>
          <w:color w:val="000000"/>
        </w:rPr>
        <w:t>(Zhou et al., 2014) and IFNy (Rot</w:t>
      </w:r>
      <w:bookmarkStart w:id="38" w:name="__UnoMark__10569_2905672918"/>
      <w:bookmarkEnd w:id="38"/>
      <w:r>
        <w:rPr>
          <w:rStyle w:val="Emphasis"/>
          <w:rFonts w:ascii="Times New Roman" w:hAnsi="Times New Roman"/>
          <w:i w:val="false"/>
          <w:iCs w:val="false"/>
          <w:color w:val="000000"/>
        </w:rPr>
        <w:t xml:space="preserve">hwell et al., 2000) has been detected in the spleen of chickens as a response to infection with </w:t>
      </w:r>
      <w:r>
        <w:rPr>
          <w:rStyle w:val="Emphasis"/>
          <w:rFonts w:ascii="Times New Roman" w:hAnsi="Times New Roman"/>
          <w:color w:val="000000"/>
        </w:rPr>
        <w:t>E. tenella</w:t>
      </w:r>
      <w:r>
        <w:rPr>
          <w:rStyle w:val="Emphasis"/>
          <w:rFonts w:ascii="Times New Roman" w:hAnsi="Times New Roman"/>
          <w:i w:val="false"/>
          <w:iCs w:val="false"/>
          <w:color w:val="000000"/>
        </w:rPr>
        <w:t>.</w:t>
      </w:r>
      <w:r>
        <w:rPr>
          <w:rFonts w:ascii="Times New Roman" w:hAnsi="Times New Roman"/>
          <w:color w:val="000000"/>
        </w:rPr>
        <w:t xml:space="preserve"> Taken together our data indicate a systemic immune response against </w:t>
      </w:r>
      <w:r>
        <w:rPr>
          <w:rFonts w:ascii="Times New Roman" w:hAnsi="Times New Roman"/>
          <w:i/>
          <w:iCs/>
          <w:color w:val="000000"/>
        </w:rPr>
        <w:t>E. falciformis</w:t>
      </w:r>
      <w:r>
        <w:rPr>
          <w:rFonts w:ascii="Times New Roman" w:hAnsi="Times New Roman"/>
          <w:color w:val="000000"/>
        </w:rPr>
        <w:t xml:space="preserve"> BayerHaberkorn detectable in the spleen based on elevated mRNA levels of cytokines previously associated with in </w:t>
      </w:r>
      <w:r>
        <w:rPr>
          <w:rFonts w:ascii="Times New Roman" w:hAnsi="Times New Roman"/>
          <w:i/>
          <w:iCs/>
          <w:color w:val="000000"/>
        </w:rPr>
        <w:t>Eimeria</w:t>
      </w:r>
      <w:r>
        <w:rPr>
          <w:rFonts w:ascii="Times New Roman" w:hAnsi="Times New Roman"/>
          <w:color w:val="000000"/>
        </w:rPr>
        <w:t xml:space="preserve"> infections. </w:t>
      </w:r>
    </w:p>
    <w:p>
      <w:pPr>
        <w:pStyle w:val="Normal"/>
        <w:tabs>
          <w:tab w:val="clear" w:pos="720"/>
          <w:tab w:val="left" w:pos="6382" w:leader="none"/>
        </w:tabs>
        <w:spacing w:lineRule="auto" w:line="360" w:before="57" w:after="57"/>
        <w:jc w:val="both"/>
        <w:rPr/>
      </w:pPr>
      <w:r>
        <w:rPr>
          <w:rStyle w:val="Emphasis"/>
          <w:rFonts w:ascii="Times New Roman" w:hAnsi="Times New Roman"/>
          <w:bCs/>
          <w:i w:val="false"/>
          <w:iCs w:val="false"/>
          <w:color w:val="000000"/>
        </w:rPr>
        <w:t xml:space="preserve">Infection with the laboratory isolate of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lead to significantly higher e</w:t>
      </w:r>
      <w:r>
        <w:rPr>
          <w:rStyle w:val="Emphasis"/>
          <w:rFonts w:ascii="Times New Roman" w:hAnsi="Times New Roman"/>
          <w:i w:val="false"/>
          <w:iCs w:val="false"/>
          <w:color w:val="000000"/>
        </w:rPr>
        <w:t xml:space="preserve">xpression levels of </w:t>
      </w:r>
      <w:r>
        <w:rPr>
          <w:rStyle w:val="Emphasis"/>
          <w:rFonts w:ascii="Times New Roman" w:hAnsi="Times New Roman"/>
          <w:bCs/>
          <w:i w:val="false"/>
          <w:iCs w:val="false"/>
          <w:color w:val="000000"/>
        </w:rPr>
        <w:t xml:space="preserve">cytokines in the spleen compared to both wild-derived isolates. </w:t>
      </w:r>
      <w:r>
        <w:rPr>
          <w:rStyle w:val="Emphasis"/>
          <w:rFonts w:ascii="Times New Roman" w:hAnsi="Times New Roman"/>
          <w:bCs/>
          <w:i w:val="false"/>
          <w:iCs w:val="false"/>
        </w:rPr>
        <w:t>In contrast, the wild derived isolates of</w:t>
      </w:r>
      <w:r>
        <w:rPr>
          <w:rStyle w:val="Emphasis"/>
          <w:rFonts w:ascii="Times New Roman" w:hAnsi="Times New Roman"/>
          <w:bCs/>
          <w:i w:val="false"/>
          <w:iCs w:val="false"/>
          <w:color w:val="000000"/>
        </w:rPr>
        <w:t xml:space="preserv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and </w:t>
      </w:r>
      <w:r>
        <w:rPr>
          <w:rStyle w:val="Emphasis"/>
          <w:rFonts w:ascii="Times New Roman" w:hAnsi="Times New Roman"/>
          <w:bCs/>
          <w:color w:val="000000"/>
        </w:rPr>
        <w:t>E. ferrisi</w:t>
      </w:r>
      <w:r>
        <w:rPr>
          <w:rStyle w:val="Emphasis"/>
          <w:rFonts w:ascii="Times New Roman" w:hAnsi="Times New Roman"/>
          <w:bCs/>
          <w:i w:val="false"/>
          <w:iCs w:val="false"/>
          <w:color w:val="000000"/>
        </w:rPr>
        <w:t xml:space="preserve"> did not induce significant expression changes over control levels in our mixed effect model analysis. </w:t>
      </w:r>
    </w:p>
    <w:p>
      <w:pPr>
        <w:pStyle w:val="Normal"/>
        <w:spacing w:lineRule="auto" w:line="360"/>
        <w:jc w:val="both"/>
        <w:rPr/>
      </w:pPr>
      <w:r>
        <w:rPr>
          <w:rFonts w:ascii="Times New Roman" w:hAnsi="Times New Roman"/>
          <w:color w:val="000000"/>
          <w:highlight w:val="white"/>
        </w:rPr>
        <w:t xml:space="preserve">In spite of the overall non-significant changes, stints of elevated mRNA expression (failing to be significant in an analysis over different time points) seem plausible for </w:t>
      </w:r>
      <w:r>
        <w:rPr>
          <w:rFonts w:ascii="Times New Roman" w:hAnsi="Times New Roman"/>
          <w:i/>
          <w:iCs/>
          <w:color w:val="000000"/>
          <w:highlight w:val="white"/>
        </w:rPr>
        <w:t>Il6</w:t>
      </w:r>
      <w:r>
        <w:rPr>
          <w:rFonts w:ascii="Times New Roman" w:hAnsi="Times New Roman"/>
          <w:color w:val="000000"/>
          <w:highlight w:val="white"/>
        </w:rPr>
        <w:t xml:space="preserve"> in the spleen during infections with all three </w:t>
      </w:r>
      <w:r>
        <w:rPr>
          <w:rFonts w:ascii="Times New Roman" w:hAnsi="Times New Roman"/>
          <w:i/>
          <w:iCs/>
          <w:color w:val="000000"/>
          <w:highlight w:val="white"/>
        </w:rPr>
        <w:t>Eimeria</w:t>
      </w:r>
      <w:r>
        <w:rPr>
          <w:rFonts w:ascii="Times New Roman" w:hAnsi="Times New Roman"/>
          <w:color w:val="000000"/>
          <w:highlight w:val="white"/>
        </w:rPr>
        <w:t xml:space="preserve"> isolates.</w:t>
      </w:r>
      <w:r>
        <w:rPr>
          <w:rFonts w:ascii="Times New Roman" w:hAnsi="Times New Roman"/>
          <w:color w:val="000000"/>
        </w:rPr>
        <w:t xml:space="preserve"> IL6 is expressed during the initial stage of inflammation at the site of infection, where it </w:t>
      </w:r>
      <w:r>
        <w:rPr>
          <w:rFonts w:ascii="Times New Roman" w:hAnsi="Times New Roman"/>
          <w:color w:val="000000"/>
          <w:highlight w:val="white"/>
        </w:rPr>
        <w:t>has a role in stimulating the intestinal epithelial proliferation and repair after injury (Kuhn et al., 2014)</w:t>
      </w:r>
      <w:r>
        <w:rPr>
          <w:rFonts w:ascii="Times New Roman" w:hAnsi="Times New Roman"/>
          <w:color w:val="000000"/>
        </w:rPr>
        <w:t>. It can be transported as a protein through the bloodstream to the liver and spleen (</w:t>
      </w:r>
      <w:r>
        <w:rPr>
          <w:rFonts w:ascii="Times New Roman" w:hAnsi="Times New Roman"/>
          <w:color w:val="000000"/>
          <w:highlight w:val="white"/>
        </w:rPr>
        <w:t>Heinrich et al., 1990)</w:t>
      </w:r>
      <w:r>
        <w:rPr>
          <w:rFonts w:ascii="Times New Roman" w:hAnsi="Times New Roman"/>
          <w:color w:val="000000"/>
        </w:rPr>
        <w:t xml:space="preserve">, where it promotes specific differentiation of naïve CD4+ T cells (Rincón et al., 1997). </w:t>
      </w:r>
      <w:r>
        <w:rPr>
          <w:rFonts w:ascii="Times New Roman" w:hAnsi="Times New Roman"/>
          <w:color w:val="000000"/>
          <w:highlight w:val="white"/>
        </w:rPr>
        <w:t xml:space="preserve">In experimental infections of mice with </w:t>
      </w:r>
      <w:r>
        <w:rPr>
          <w:rFonts w:ascii="Times New Roman" w:hAnsi="Times New Roman"/>
          <w:i/>
          <w:iCs/>
          <w:color w:val="000000"/>
          <w:highlight w:val="white"/>
        </w:rPr>
        <w:t xml:space="preserve">E. falciformis </w:t>
      </w:r>
      <w:r>
        <w:rPr>
          <w:rFonts w:ascii="Times New Roman" w:hAnsi="Times New Roman"/>
          <w:color w:val="000000"/>
          <w:highlight w:val="white"/>
        </w:rPr>
        <w:t xml:space="preserve">marked induction of </w:t>
      </w:r>
      <w:r>
        <w:rPr>
          <w:rFonts w:ascii="Times New Roman" w:hAnsi="Times New Roman"/>
          <w:i/>
          <w:iCs/>
          <w:color w:val="000000"/>
          <w:highlight w:val="white"/>
        </w:rPr>
        <w:t>Il6</w:t>
      </w:r>
      <w:r>
        <w:rPr>
          <w:rFonts w:ascii="Times New Roman" w:hAnsi="Times New Roman"/>
          <w:color w:val="000000"/>
          <w:highlight w:val="white"/>
        </w:rPr>
        <w:t xml:space="preserve"> transcription between 5 and 7 dpi has been reported at the site of infection (</w:t>
      </w:r>
      <w:bookmarkStart w:id="39" w:name="__UnoMark__10550_2905672918"/>
      <w:bookmarkEnd w:id="39"/>
      <w:r>
        <w:rPr>
          <w:rFonts w:ascii="Times New Roman" w:hAnsi="Times New Roman"/>
          <w:color w:val="000000"/>
          <w:highlight w:val="white"/>
        </w:rPr>
        <w:t xml:space="preserve">Ehret et al., 2017). Enhanced expression in the spleen might suggest that the immune modulatory role of IL6 in the spleen during </w:t>
      </w:r>
      <w:r>
        <w:rPr>
          <w:rFonts w:ascii="Times New Roman" w:hAnsi="Times New Roman"/>
          <w:i/>
          <w:iCs/>
          <w:color w:val="000000"/>
          <w:highlight w:val="white"/>
        </w:rPr>
        <w:t>Eimeria</w:t>
      </w:r>
      <w:r>
        <w:rPr>
          <w:rFonts w:ascii="Times New Roman" w:hAnsi="Times New Roman"/>
          <w:color w:val="000000"/>
          <w:highlight w:val="white"/>
        </w:rPr>
        <w:t xml:space="preserve"> infections could be augmented by elevated mRNA expression within this organ. </w:t>
      </w:r>
    </w:p>
    <w:p>
      <w:pPr>
        <w:pStyle w:val="Normal"/>
        <w:spacing w:lineRule="auto" w:line="360"/>
        <w:jc w:val="both"/>
        <w:rPr/>
      </w:pPr>
      <w:r>
        <w:rPr>
          <w:rFonts w:ascii="Times New Roman" w:hAnsi="Times New Roman"/>
          <w:color w:val="000000"/>
        </w:rPr>
        <w:t xml:space="preserve">Similarly, </w:t>
      </w:r>
      <w:r>
        <w:rPr>
          <w:rFonts w:ascii="Times New Roman" w:hAnsi="Times New Roman"/>
          <w:i/>
          <w:iCs/>
          <w:color w:val="000000"/>
        </w:rPr>
        <w:t>Tgfβ</w:t>
      </w:r>
      <w:r>
        <w:rPr>
          <w:rFonts w:ascii="Times New Roman" w:hAnsi="Times New Roman"/>
          <w:color w:val="000000"/>
        </w:rPr>
        <w:t xml:space="preserve"> mRNA expression levels seemed elevated in the spleen early during infection with </w:t>
      </w:r>
      <w:r>
        <w:rPr>
          <w:rStyle w:val="Emphasis"/>
          <w:rFonts w:ascii="Times New Roman" w:hAnsi="Times New Roman"/>
          <w:color w:val="000000"/>
        </w:rPr>
        <w:t>E. ferrisi</w:t>
      </w:r>
      <w:r>
        <w:rPr>
          <w:rStyle w:val="Emphasis"/>
          <w:rFonts w:ascii="Times New Roman" w:hAnsi="Times New Roman"/>
          <w:i w:val="false"/>
          <w:iCs w:val="false"/>
          <w:color w:val="000000"/>
        </w:rPr>
        <w:t xml:space="preserve"> </w:t>
      </w:r>
      <w:r>
        <w:rPr>
          <w:rFonts w:ascii="Times New Roman" w:hAnsi="Times New Roman"/>
          <w:color w:val="000000"/>
        </w:rPr>
        <w:t xml:space="preserve">(3 and 5 dpi) and late in infections with the </w:t>
      </w:r>
      <w:r>
        <w:rPr>
          <w:rFonts w:ascii="Times New Roman" w:hAnsi="Times New Roman"/>
          <w:i/>
          <w:iCs/>
          <w:color w:val="000000"/>
        </w:rPr>
        <w:t>E. falciformis</w:t>
      </w:r>
      <w:r>
        <w:rPr>
          <w:rFonts w:ascii="Times New Roman" w:hAnsi="Times New Roman"/>
          <w:color w:val="000000"/>
        </w:rPr>
        <w:t xml:space="preserve"> laboratory isolate (7 and 9 dpi; only in the latter significantly though). The simultaneous elevation of </w:t>
      </w:r>
      <w:r>
        <w:rPr>
          <w:rFonts w:ascii="Times New Roman" w:hAnsi="Times New Roman"/>
          <w:i/>
          <w:iCs/>
          <w:color w:val="000000"/>
        </w:rPr>
        <w:t>Il6</w:t>
      </w:r>
      <w:r>
        <w:rPr>
          <w:rFonts w:ascii="Times New Roman" w:hAnsi="Times New Roman"/>
          <w:color w:val="000000"/>
        </w:rPr>
        <w:t xml:space="preserve"> expression levels, may indicate the involvement of a Th17 pathway to control the infection events. </w:t>
      </w:r>
      <w:r>
        <w:rPr>
          <w:rFonts w:ascii="Times New Roman" w:hAnsi="Times New Roman"/>
          <w:i/>
          <w:iCs/>
          <w:color w:val="000000"/>
        </w:rPr>
        <w:t>Tgfβ</w:t>
      </w:r>
      <w:r>
        <w:rPr>
          <w:rFonts w:ascii="Times New Roman" w:hAnsi="Times New Roman"/>
          <w:color w:val="000000"/>
        </w:rPr>
        <w:t xml:space="preserve"> and </w:t>
      </w:r>
      <w:r>
        <w:rPr>
          <w:rFonts w:ascii="Times New Roman" w:hAnsi="Times New Roman"/>
          <w:i/>
          <w:iCs/>
          <w:color w:val="000000"/>
        </w:rPr>
        <w:t>Il6</w:t>
      </w:r>
      <w:r>
        <w:rPr>
          <w:rFonts w:ascii="Times New Roman" w:hAnsi="Times New Roman"/>
          <w:color w:val="000000"/>
        </w:rPr>
        <w:t xml:space="preserve"> play crucial roles in the induction of IL17 expression from naïve CD4+ T cells </w:t>
      </w:r>
      <w:bookmarkStart w:id="40" w:name="__tag_402675636"/>
      <w:bookmarkEnd w:id="40"/>
      <w:r>
        <w:rPr>
          <w:rFonts w:ascii="Times New Roman" w:hAnsi="Times New Roman"/>
          <w:color w:val="000000"/>
        </w:rPr>
        <w:t xml:space="preserve">of mouse </w:t>
      </w:r>
      <w:bookmarkStart w:id="41" w:name="__UnoMark__10545_2905672918"/>
      <w:r>
        <w:rPr>
          <w:rFonts w:ascii="Times New Roman" w:hAnsi="Times New Roman"/>
          <w:color w:val="000000"/>
        </w:rPr>
        <w:t>(Sehrawat and Rouse, 2017;</w:t>
      </w:r>
      <w:r>
        <w:rPr>
          <w:rFonts w:ascii="Times New Roman" w:hAnsi="Times New Roman"/>
          <w:color w:val="000000"/>
          <w:highlight w:val="white"/>
        </w:rPr>
        <w:t xml:space="preserve"> </w:t>
      </w:r>
      <w:bookmarkEnd w:id="41"/>
      <w:r>
        <w:rPr>
          <w:rFonts w:ascii="Times New Roman" w:hAnsi="Times New Roman"/>
          <w:color w:val="000000"/>
          <w:highlight w:val="white"/>
        </w:rPr>
        <w:t>Korn et al., 2009).</w:t>
      </w:r>
      <w:r>
        <w:rPr>
          <w:rFonts w:ascii="Times New Roman" w:hAnsi="Times New Roman"/>
          <w:color w:val="000000"/>
        </w:rPr>
        <w:t xml:space="preserve"> IL17 in turn contributes to both immunopathology and parasite restriction during infection with </w:t>
      </w:r>
      <w:r>
        <w:rPr>
          <w:rFonts w:ascii="Times New Roman" w:hAnsi="Times New Roman"/>
          <w:i/>
        </w:rPr>
        <w:t>E.</w:t>
      </w:r>
      <w:r>
        <w:rPr>
          <w:rFonts w:ascii="Times New Roman" w:hAnsi="Times New Roman"/>
          <w:i/>
          <w:color w:val="000000"/>
        </w:rPr>
        <w:t xml:space="preserve"> </w:t>
      </w:r>
      <w:r>
        <w:rPr>
          <w:rFonts w:ascii="Times New Roman" w:hAnsi="Times New Roman"/>
          <w:i/>
        </w:rPr>
        <w:t>falciformis</w:t>
      </w:r>
      <w:r>
        <w:rPr>
          <w:rFonts w:ascii="Times New Roman" w:hAnsi="Times New Roman"/>
          <w:color w:val="000000"/>
        </w:rPr>
        <w:t xml:space="preserve"> </w:t>
      </w:r>
      <w:bookmarkStart w:id="42" w:name="__UnoMark__10544_2905672918"/>
      <w:r>
        <w:rPr>
          <w:rFonts w:ascii="Times New Roman" w:hAnsi="Times New Roman"/>
          <w:color w:val="000000"/>
        </w:rPr>
        <w:t>(Stange, 2013)</w:t>
      </w:r>
      <w:bookmarkEnd w:id="42"/>
      <w:r>
        <w:rPr>
          <w:rFonts w:ascii="Times New Roman" w:hAnsi="Times New Roman"/>
          <w:color w:val="000000"/>
        </w:rPr>
        <w:t xml:space="preserve">. These exceptions only underline the fact that a systemic immune response was hardly detectable, using gene expression in the spleen, in infections with wild derived </w:t>
      </w:r>
      <w:r>
        <w:rPr>
          <w:rFonts w:ascii="Times New Roman" w:hAnsi="Times New Roman"/>
          <w:i/>
          <w:iCs/>
          <w:color w:val="000000"/>
        </w:rPr>
        <w:t>Eimeria</w:t>
      </w:r>
      <w:r>
        <w:rPr>
          <w:rFonts w:ascii="Times New Roman" w:hAnsi="Times New Roman"/>
          <w:color w:val="000000"/>
        </w:rPr>
        <w:t xml:space="preserve"> isolates. </w:t>
      </w:r>
    </w:p>
    <w:p>
      <w:pPr>
        <w:pStyle w:val="Normal"/>
        <w:spacing w:lineRule="auto" w:line="360"/>
        <w:jc w:val="both"/>
        <w:rPr/>
      </w:pPr>
      <w:r>
        <w:rPr>
          <w:rFonts w:ascii="Times New Roman" w:hAnsi="Times New Roman"/>
          <w:color w:val="000000"/>
        </w:rPr>
        <w:t xml:space="preserve">The apparent differences in immune response of the wild derived and the laboratory isolate of </w:t>
      </w:r>
      <w:r>
        <w:rPr>
          <w:rFonts w:ascii="Times New Roman" w:hAnsi="Times New Roman"/>
          <w:i/>
          <w:iCs/>
          <w:color w:val="000000"/>
        </w:rPr>
        <w:t>E. falciformis</w:t>
      </w:r>
      <w:r>
        <w:rPr>
          <w:rFonts w:ascii="Times New Roman" w:hAnsi="Times New Roman"/>
          <w:iCs/>
          <w:color w:val="000000"/>
        </w:rPr>
        <w:t xml:space="preserve"> invite speculation about their origin. Unfortunately, we do not know the infection phenotype (pathogenicity and induced immune reactions) of </w:t>
      </w:r>
      <w:r>
        <w:rPr>
          <w:rFonts w:ascii="Times New Roman" w:hAnsi="Times New Roman"/>
          <w:i/>
          <w:iCs/>
          <w:color w:val="000000"/>
        </w:rPr>
        <w:t>E. falciformis</w:t>
      </w:r>
      <w:r>
        <w:rPr>
          <w:rFonts w:ascii="Times New Roman" w:hAnsi="Times New Roman"/>
          <w:iCs/>
          <w:color w:val="000000"/>
        </w:rPr>
        <w:t xml:space="preserve"> BayerHaberkorn1970 directly after its isolation. </w:t>
      </w:r>
      <w:r>
        <w:rPr>
          <w:rStyle w:val="Emphasis"/>
          <w:rFonts w:ascii="Times New Roman" w:hAnsi="Times New Roman"/>
          <w:bCs/>
          <w:i w:val="false"/>
          <w:iCs w:val="false"/>
          <w:color w:val="000000"/>
        </w:rPr>
        <w:t xml:space="preserve">It is plausible, however, that </w:t>
      </w:r>
      <w:r>
        <w:rPr>
          <w:rStyle w:val="Emphasis"/>
          <w:rFonts w:ascii="Times New Roman" w:hAnsi="Times New Roman"/>
          <w:bCs/>
          <w:i w:val="false"/>
          <w:color w:val="000000"/>
        </w:rPr>
        <w:t>the path</w:t>
      </w:r>
      <w:r>
        <w:rPr>
          <w:rStyle w:val="Emphasis"/>
          <w:rFonts w:ascii="Times New Roman" w:hAnsi="Times New Roman"/>
          <w:bCs/>
          <w:i w:val="false"/>
          <w:iCs w:val="false"/>
          <w:color w:val="000000"/>
        </w:rPr>
        <w:t>ology befor</w:t>
      </w:r>
      <w:r>
        <w:rPr>
          <w:rStyle w:val="Emphasis"/>
          <w:rFonts w:ascii="Times New Roman" w:hAnsi="Times New Roman"/>
          <w:bCs/>
          <w:i w:val="false"/>
          <w:color w:val="000000"/>
        </w:rPr>
        <w:t>e serial passaging resembled that observed for our wild derived isolate. T</w:t>
      </w:r>
      <w:r>
        <w:rPr>
          <w:rStyle w:val="Emphasis"/>
          <w:rFonts w:ascii="Times New Roman" w:hAnsi="Times New Roman"/>
          <w:bCs/>
          <w:i w:val="false"/>
          <w:iCs w:val="false"/>
          <w:color w:val="000000"/>
        </w:rPr>
        <w:t xml:space="preserve">he consequences of serial passaging could then be seen as the result of an accidental evolutionary experiment </w:t>
      </w:r>
      <w:bookmarkStart w:id="43" w:name="__UnoMark__10540_2905672918"/>
      <w:r>
        <w:rPr>
          <w:rStyle w:val="Emphasis"/>
          <w:rFonts w:ascii="Times New Roman" w:hAnsi="Times New Roman"/>
          <w:bCs/>
          <w:i w:val="false"/>
          <w:iCs w:val="false"/>
          <w:color w:val="000000"/>
        </w:rPr>
        <w:t>(Ebert, 1998)</w:t>
      </w:r>
      <w:bookmarkEnd w:id="43"/>
      <w:r>
        <w:rPr>
          <w:rStyle w:val="Emphasis"/>
          <w:rFonts w:ascii="Times New Roman" w:hAnsi="Times New Roman"/>
          <w:bCs/>
          <w:i w:val="false"/>
          <w:iCs w:val="false"/>
          <w:color w:val="000000"/>
        </w:rPr>
        <w:t xml:space="preserve">. </w:t>
      </w:r>
    </w:p>
    <w:p>
      <w:pPr>
        <w:pStyle w:val="Normal"/>
        <w:spacing w:lineRule="auto" w:line="360"/>
        <w:jc w:val="both"/>
        <w:rPr/>
      </w:pPr>
      <w:r>
        <w:rPr>
          <w:rStyle w:val="Emphasis"/>
          <w:rFonts w:ascii="Times New Roman" w:hAnsi="Times New Roman"/>
          <w:bCs/>
          <w:i w:val="false"/>
          <w:iCs w:val="false"/>
          <w:color w:val="000000"/>
        </w:rPr>
        <w:t xml:space="preserve">Independent of the ultimate reasons for the difference in immunogenicity, we conclude that the infections with the laboratory isolate </w:t>
      </w:r>
      <w:r>
        <w:rPr>
          <w:rStyle w:val="Emphasis"/>
          <w:rFonts w:ascii="Times New Roman" w:hAnsi="Times New Roman"/>
          <w:bCs/>
          <w:color w:val="000000"/>
        </w:rPr>
        <w:t>E. falciformis</w:t>
      </w:r>
      <w:r>
        <w:rPr>
          <w:rStyle w:val="Emphasis"/>
          <w:rFonts w:ascii="Times New Roman" w:hAnsi="Times New Roman"/>
          <w:bCs/>
          <w:i w:val="false"/>
          <w:iCs w:val="false"/>
          <w:color w:val="000000"/>
        </w:rPr>
        <w:t xml:space="preserve"> might not be representative for parasite-host interaction in their original ecological and evolutionary context. </w:t>
      </w:r>
      <w:r>
        <w:rPr>
          <w:rStyle w:val="Emphasis"/>
          <w:rFonts w:ascii="Times New Roman" w:hAnsi="Times New Roman"/>
          <w:bCs/>
          <w:color w:val="000000"/>
        </w:rPr>
        <w:t>Eimeria</w:t>
      </w:r>
      <w:r>
        <w:rPr>
          <w:rStyle w:val="Emphasis"/>
          <w:rFonts w:ascii="Times New Roman" w:hAnsi="Times New Roman"/>
          <w:bCs/>
          <w:i w:val="false"/>
          <w:iCs w:val="false"/>
          <w:color w:val="000000"/>
        </w:rPr>
        <w:t xml:space="preserve"> is one of the most relevant parasites for wildlife immunology and, for representative infection experiments, we recommend to isolate strains of the parasite from the natural system with minimal prior passaging. </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b/>
          <w:b/>
          <w:bCs/>
        </w:rPr>
      </w:pPr>
      <w:r>
        <w:rPr>
          <w:rFonts w:ascii="Times New Roman" w:hAnsi="Times New Roman"/>
          <w:b/>
          <w:bCs/>
        </w:rPr>
        <w:t>Ethics statement</w:t>
      </w:r>
    </w:p>
    <w:p>
      <w:pPr>
        <w:pStyle w:val="Normal"/>
        <w:spacing w:lineRule="auto" w:line="360"/>
        <w:jc w:val="both"/>
        <w:rPr>
          <w:rFonts w:ascii="Times New Roman" w:hAnsi="Times New Roman"/>
        </w:rPr>
      </w:pPr>
      <w:r>
        <w:rPr>
          <w:rFonts w:ascii="Times New Roman" w:hAnsi="Times New Roman"/>
        </w:rPr>
        <w:t>All animal procedures in this investigation were performed according to the German Animal Protection Laws as directed and approved by the overseeing authority Landesamt für Gesundheit und Soziales (Berlin, Germany) under permit number H0098/04.</w:t>
      </w:r>
    </w:p>
    <w:p>
      <w:pPr>
        <w:pStyle w:val="Normal"/>
        <w:spacing w:lineRule="auto" w:line="360"/>
        <w:jc w:val="both"/>
        <w:rPr>
          <w:rFonts w:ascii="Times New Roman" w:hAnsi="Times New Roman"/>
        </w:rPr>
      </w:pPr>
      <w:r>
        <w:rPr>
          <w:rFonts w:ascii="Times New Roman" w:hAnsi="Times New Roman"/>
        </w:rPr>
      </w:r>
    </w:p>
    <w:p>
      <w:pPr>
        <w:pStyle w:val="Normal"/>
        <w:spacing w:lineRule="auto" w:line="360"/>
        <w:jc w:val="both"/>
        <w:rPr>
          <w:rFonts w:ascii="Times New Roman" w:hAnsi="Times New Roman"/>
        </w:rPr>
      </w:pPr>
      <w:r>
        <w:rPr>
          <w:rFonts w:ascii="Times New Roman" w:hAnsi="Times New Roman"/>
          <w:b/>
          <w:bCs/>
        </w:rPr>
        <w:t>Acknowledgements</w:t>
      </w:r>
    </w:p>
    <w:p>
      <w:pPr>
        <w:pStyle w:val="Normal"/>
        <w:spacing w:lineRule="auto" w:line="360"/>
        <w:jc w:val="both"/>
        <w:rPr/>
      </w:pPr>
      <w:r>
        <w:rPr>
          <w:rFonts w:ascii="Times New Roman" w:hAnsi="Times New Roman"/>
        </w:rPr>
        <w:t>The a</w:t>
      </w:r>
      <w:r>
        <w:rPr>
          <w:rFonts w:ascii="Times New Roman" w:hAnsi="Times New Roman"/>
          <w:color w:val="00000A"/>
          <w:sz w:val="24"/>
        </w:rPr>
        <w:t>uthors thank Deborah Dymke and Jenny Jost for help during the infection experiment, Anke Schmidt and Doris Krumnow for excellent technical assistance in qPCR and histology, respectively.</w:t>
      </w:r>
    </w:p>
    <w:p>
      <w:pPr>
        <w:pStyle w:val="Heading1"/>
        <w:spacing w:lineRule="auto" w:line="360" w:before="200" w:after="200"/>
        <w:jc w:val="left"/>
        <w:rPr>
          <w:rFonts w:ascii="Times New Roman" w:hAnsi="Times New Roman"/>
          <w:color w:val="00000A"/>
          <w:sz w:val="24"/>
        </w:rPr>
      </w:pPr>
      <w:r>
        <w:rPr>
          <w:rFonts w:eastAsia="Liberation Sans" w:cs="Liberation Sans" w:ascii="Times New Roman" w:hAnsi="Times New Roman"/>
          <w:color w:val="00000A"/>
          <w:sz w:val="24"/>
        </w:rPr>
        <w:t>Funding</w:t>
      </w:r>
    </w:p>
    <w:p>
      <w:pPr>
        <w:pStyle w:val="Normal"/>
        <w:keepNext w:val="true"/>
        <w:widowControl/>
        <w:spacing w:lineRule="auto" w:line="360"/>
        <w:jc w:val="both"/>
        <w:rPr/>
      </w:pPr>
      <w:r>
        <w:rPr>
          <w:rFonts w:eastAsia="Liberation Sans" w:cs="Liberation Sans" w:ascii="Times New Roman" w:hAnsi="Times New Roman"/>
          <w:color w:val="00000A"/>
          <w:sz w:val="24"/>
        </w:rPr>
        <w:t xml:space="preserve">This work was funded by the German Research Foundation (DFG) Grant [HE 7320/1-1] to EH and by the Leibniz Institute for Zoo and Wildlife research (IZW). EAK was supported by the Erasmus Mundus PEACE II program. VHJ is an associated student of GRK 2046 funded by the DFG. </w:t>
      </w:r>
    </w:p>
    <w:p>
      <w:pPr>
        <w:pStyle w:val="Normal"/>
        <w:widowControl/>
        <w:spacing w:lineRule="auto" w:line="360"/>
        <w:jc w:val="both"/>
        <w:rPr>
          <w:rFonts w:eastAsia="Liberation Sans" w:cs="Liberation Sans"/>
        </w:rPr>
      </w:pPr>
      <w:r>
        <w:rPr>
          <w:rFonts w:eastAsia="Liberation Sans" w:cs="Liberation Sans"/>
        </w:rPr>
      </w:r>
    </w:p>
    <w:p>
      <w:pPr>
        <w:pStyle w:val="Normal"/>
        <w:spacing w:lineRule="auto" w:line="360"/>
        <w:jc w:val="both"/>
        <w:rPr/>
      </w:pPr>
      <w:r>
        <w:rPr>
          <w:rFonts w:ascii="Times New Roman" w:hAnsi="Times New Roman"/>
          <w:b/>
          <w:bCs/>
          <w:color w:val="00000A"/>
          <w:sz w:val="24"/>
        </w:rPr>
        <w:t>References</w:t>
      </w:r>
    </w:p>
    <w:p>
      <w:pPr>
        <w:pStyle w:val="Bibliography1"/>
        <w:spacing w:lineRule="auto" w:line="360"/>
        <w:jc w:val="both"/>
        <w:rPr/>
      </w:pPr>
      <w:r>
        <w:rPr/>
        <w:t xml:space="preserve">Abolins, S., King, E.C., Lazarou, L., Weldon, L., Hughes, L., Drescher, P., Raynes, J.G., Hafalla, J.C.R., Viney, M.E., Riley, E.M., 2017. The comparative immunology of wild and laboratory mice, </w:t>
      </w:r>
      <w:r>
        <w:rPr>
          <w:i/>
        </w:rPr>
        <w:t>Mus musculus domesticus</w:t>
      </w:r>
      <w:r>
        <w:rPr/>
        <w:t xml:space="preserve">. </w:t>
      </w:r>
      <w:r>
        <w:rPr>
          <w:lang w:val="de-DE"/>
        </w:rPr>
        <w:t>Nat. Commun. 8, 14811. https://doi.org/10.1038/ncomms14811</w:t>
      </w:r>
    </w:p>
    <w:p>
      <w:pPr>
        <w:pStyle w:val="Bibliography1"/>
        <w:spacing w:lineRule="auto" w:line="360"/>
        <w:jc w:val="both"/>
        <w:rPr/>
      </w:pPr>
      <w:r>
        <w:rPr>
          <w:lang w:val="de-DE"/>
        </w:rPr>
        <w:t xml:space="preserve">Ankrom, S.L., Chobotar, B., Ernst, J.V., 1975. </w:t>
      </w:r>
      <w:r>
        <w:rPr/>
        <w:t xml:space="preserve">Life Cycle of Eimeria ferrisi Levine &amp; Ivens, 1965 in the Mouse, </w:t>
      </w:r>
      <w:r>
        <w:rPr>
          <w:i/>
          <w:iCs/>
        </w:rPr>
        <w:t>Mus musculus</w:t>
      </w:r>
      <w:r>
        <w:rPr/>
        <w:t>. J. Protozool. 22, 317–32</w:t>
      </w:r>
      <w:r>
        <w:rPr>
          <w:color w:val="000000"/>
        </w:rPr>
        <w:t xml:space="preserve">3. </w:t>
      </w:r>
      <w:r>
        <w:rPr>
          <w:rStyle w:val="InternetLink"/>
          <w:color w:val="000000"/>
          <w:u w:val="none"/>
        </w:rPr>
        <w:t>https://doi.org/10.1111/j.1550-7408.1975.tb05177.x</w:t>
      </w:r>
    </w:p>
    <w:p>
      <w:pPr>
        <w:pStyle w:val="Bibliography1"/>
        <w:spacing w:lineRule="auto" w:line="360"/>
        <w:jc w:val="both"/>
        <w:rPr/>
      </w:pPr>
      <w:r>
        <w:rPr/>
        <w:t>Axtner, J., Sommer, S., 2009</w:t>
      </w:r>
      <w:r>
        <w:rPr>
          <w:color w:val="000000"/>
        </w:rPr>
        <w:t xml:space="preserve">. </w:t>
      </w:r>
      <w:r>
        <w:rPr>
          <w:rStyle w:val="InternetLink"/>
          <w:color w:val="000000"/>
          <w:u w:val="none"/>
        </w:rPr>
        <w:t xml:space="preserve">Validation of internal reference genes for quantitative real-time PCR in a non-model organism, the yellow-necked mouse, </w:t>
      </w:r>
      <w:r>
        <w:rPr>
          <w:rStyle w:val="InternetLink"/>
          <w:i/>
          <w:iCs/>
          <w:color w:val="000000"/>
          <w:u w:val="none"/>
        </w:rPr>
        <w:t>Apodemus flavicollis.</w:t>
      </w:r>
      <w:r>
        <w:rPr>
          <w:color w:val="000000"/>
        </w:rPr>
        <w:t xml:space="preserve"> </w:t>
      </w:r>
      <w:r>
        <w:rPr>
          <w:b w:val="false"/>
          <w:bCs w:val="false"/>
          <w:color w:val="000000"/>
        </w:rPr>
        <w:t xml:space="preserve">BMC Res. Notes. </w:t>
      </w:r>
      <w:r>
        <w:rPr>
          <w:color w:val="000000"/>
        </w:rPr>
        <w:t>2 (1), 264.</w:t>
      </w:r>
    </w:p>
    <w:p>
      <w:pPr>
        <w:pStyle w:val="Bibliography1"/>
        <w:spacing w:lineRule="auto" w:line="360"/>
        <w:jc w:val="both"/>
        <w:rPr/>
      </w:pPr>
      <w:r>
        <w:rPr>
          <w:color w:val="000000"/>
        </w:rPr>
        <w:t xml:space="preserve">Barclay, V.C., Kennedy, D.A., Weaver, V.C., Sim, D., Lloyd-Smith, J.O., Read, A.F., 2014. The Effect of Immunodeficiency on the Evolution of Virulence: An Experimental Test with the Rodent Malaria </w:t>
      </w:r>
      <w:r>
        <w:rPr>
          <w:i/>
          <w:iCs/>
          <w:color w:val="000000"/>
        </w:rPr>
        <w:t>Plasmodium chabaudi</w:t>
      </w:r>
      <w:r>
        <w:rPr>
          <w:color w:val="000000"/>
        </w:rPr>
        <w:t>. Am. Nat. 184, S47–S57. https://doi.org/10.1086/676887.</w:t>
      </w:r>
    </w:p>
    <w:p>
      <w:pPr>
        <w:pStyle w:val="Bibliography1"/>
        <w:spacing w:lineRule="auto" w:line="360"/>
        <w:jc w:val="both"/>
        <w:rPr/>
      </w:pPr>
      <w:r>
        <w:rPr/>
        <w:t xml:space="preserve">Brake, D.A., Fedor, C.H., Werner, B.W., Miller, T.J., Taylor, R.L., Clare, R.A., 1997. Characterization of immune response to </w:t>
      </w:r>
      <w:r>
        <w:rPr>
          <w:i/>
          <w:iCs/>
        </w:rPr>
        <w:t>Eimeria tenella</w:t>
      </w:r>
      <w:r>
        <w:rPr/>
        <w:t xml:space="preserve"> antigens in a natural immunity model with hosts which differ serologically at the B locus of the major histocompatibility complex. Infect. Immun. 65, 1204–1210.</w:t>
      </w:r>
    </w:p>
    <w:p>
      <w:pPr>
        <w:pStyle w:val="Bibliography1"/>
        <w:spacing w:lineRule="auto" w:line="360"/>
        <w:jc w:val="both"/>
        <w:rPr/>
      </w:pPr>
      <w:r>
        <w:rPr/>
        <w:t>Burke, M.K., 2012. How does adaptation sweep through the genome? Insights from long-term selection experiments. Proc. Biol. Sci. 279, 5029–5038. https://doi.org/10.1098/rspb.2012.0799.</w:t>
      </w:r>
    </w:p>
    <w:p>
      <w:pPr>
        <w:pStyle w:val="Bibliography1"/>
        <w:spacing w:lineRule="auto" w:line="360"/>
        <w:jc w:val="both"/>
        <w:rPr/>
      </w:pPr>
      <w:r>
        <w:rPr/>
        <w:t xml:space="preserve">Byrnes, S., Eaton, R., Kogut, M., 1993. In vitro interleukin-1 and tumor necrosis factor-alpha production by macrophages from chickens infected with either </w:t>
      </w:r>
      <w:r>
        <w:rPr>
          <w:i/>
          <w:iCs/>
        </w:rPr>
        <w:t>Eimeria maxima</w:t>
      </w:r>
      <w:r>
        <w:rPr/>
        <w:t xml:space="preserve"> or </w:t>
      </w:r>
      <w:r>
        <w:rPr>
          <w:i/>
          <w:iCs/>
        </w:rPr>
        <w:t>Eimeria tenella</w:t>
      </w:r>
      <w:r>
        <w:rPr/>
        <w:t>. Int. J. Parasitol. 23, 639–645.</w:t>
      </w:r>
    </w:p>
    <w:p>
      <w:pPr>
        <w:pStyle w:val="Bibliography1"/>
        <w:spacing w:lineRule="auto" w:line="360"/>
        <w:jc w:val="both"/>
        <w:rPr/>
      </w:pPr>
      <w:r>
        <w:rPr>
          <w:lang w:val="de-DE"/>
        </w:rPr>
        <w:t xml:space="preserve">Canning, E.U., Anwar, M., 1968. </w:t>
      </w:r>
      <w:r>
        <w:rPr/>
        <w:t>Studies on Meiotic Division in Coccidial and Malarial Parasites. J. Protozool. 15, 290–298. https://doi.org/10.1111/j.1550-7408.1968.tb02125.x</w:t>
      </w:r>
    </w:p>
    <w:p>
      <w:pPr>
        <w:pStyle w:val="Bibliography1"/>
        <w:spacing w:lineRule="auto" w:line="360"/>
        <w:jc w:val="both"/>
        <w:rPr/>
      </w:pPr>
      <w:r>
        <w:rPr/>
        <w:t>Chapman, H.D., Barta, J.R., Blake, D., Gruber, A., Jenkins, M., Smith, N.C., Suo, X., Tomley, F.M., 2013. A selective review of advances in coccidiosis research. Adv. Parasitol. 83, 93–171. https://doi.org/10.1016/B978-0-12-407705-8.00002-1</w:t>
      </w:r>
    </w:p>
    <w:p>
      <w:pPr>
        <w:pStyle w:val="Bibliography1"/>
        <w:spacing w:lineRule="auto" w:line="360"/>
        <w:jc w:val="both"/>
        <w:rPr/>
      </w:pPr>
      <w:r>
        <w:rPr/>
        <w:t xml:space="preserve">Chow, Y.-P., Wan, K.-L., Blake, D.P., Tomley, F., Nathan, S., 2011. Immunogenic </w:t>
      </w:r>
      <w:r>
        <w:rPr>
          <w:i/>
          <w:iCs/>
        </w:rPr>
        <w:t>Eimeria tenella</w:t>
      </w:r>
      <w:r>
        <w:rPr/>
        <w:t xml:space="preserve"> Glycosylphosphatidylinositol-Anchored Surface Antigens (SAGs) Induce Inflammatory Responses in Avian Macrophages. PLoS ONE 6. https://doi.org/10.1371/journal.,pone.0025233</w:t>
      </w:r>
    </w:p>
    <w:p>
      <w:pPr>
        <w:pStyle w:val="Bibliography1"/>
        <w:spacing w:lineRule="auto" w:line="360"/>
        <w:jc w:val="both"/>
        <w:rPr/>
      </w:pPr>
      <w:r>
        <w:rPr/>
        <w:t>Ebert, D., 1998. Experimental evolution of parasites. Science 282, 1432–1435.</w:t>
      </w:r>
    </w:p>
    <w:p>
      <w:pPr>
        <w:pStyle w:val="Bibliography1"/>
        <w:spacing w:lineRule="auto" w:line="360"/>
        <w:jc w:val="both"/>
        <w:rPr/>
      </w:pPr>
      <w:r>
        <w:rPr>
          <w:lang w:val="de-DE"/>
        </w:rPr>
        <w:t xml:space="preserve">Ehret, T., Spork, S., Dieterich, C., Lucius, R., Heitlinger, E., 2017. </w:t>
      </w:r>
      <w:r>
        <w:rPr/>
        <w:t>Dual RNA-seq reveals no plastic transcriptional response of the coccidian parasite Eimeria falciformis to host immune defenses. BMC Genomics 18, 686. https://doi.org/10.1186/s12864-017-4095-6.</w:t>
      </w:r>
    </w:p>
    <w:p>
      <w:pPr>
        <w:pStyle w:val="Bibliography1"/>
        <w:spacing w:lineRule="auto" w:line="360"/>
        <w:jc w:val="both"/>
        <w:rPr/>
      </w:pPr>
      <w:r>
        <w:rPr/>
        <w:t xml:space="preserve">Elena, S.F., and Lenski, R.E. 2003. Microbial Genetics: Evolution Experiments with Microorganisms: The Dynamics and Genetic Bases of Adaptation. </w:t>
      </w:r>
      <w:r>
        <w:rPr>
          <w:i w:val="false"/>
          <w:iCs w:val="false"/>
        </w:rPr>
        <w:t>Nature Reviews Genetics 4</w:t>
      </w:r>
      <w:r>
        <w:rPr/>
        <w:t xml:space="preserve"> (6): 457–69. https://doi.org/10.1038/nrg1088.</w:t>
      </w:r>
    </w:p>
    <w:p>
      <w:pPr>
        <w:pStyle w:val="Normal"/>
        <w:spacing w:lineRule="auto" w:line="360"/>
        <w:ind w:left="737" w:hanging="737"/>
        <w:jc w:val="both"/>
        <w:rPr/>
      </w:pPr>
      <w:r>
        <w:rPr/>
        <w:t xml:space="preserve">Farrell, A., Coleman, B. I., Benenati, B., Brown, K. M., Blader, I. J., Marth, G. T., &amp; Gubbels, M. J., 2014. Whole genome profiling of spontaneous and chemically induced mutations in </w:t>
      </w:r>
      <w:r>
        <w:rPr>
          <w:i/>
          <w:iCs/>
        </w:rPr>
        <w:t>Toxoplasma gondii</w:t>
      </w:r>
      <w:r>
        <w:rPr/>
        <w:t xml:space="preserve">. </w:t>
      </w:r>
      <w:r>
        <w:rPr>
          <w:i w:val="false"/>
          <w:iCs w:val="false"/>
        </w:rPr>
        <w:t xml:space="preserve">BMC genomics, </w:t>
      </w:r>
      <w:r>
        <w:rPr>
          <w:i/>
        </w:rPr>
        <w:t>15</w:t>
      </w:r>
      <w:r>
        <w:rPr/>
        <w:t>(1), 354.</w:t>
      </w:r>
    </w:p>
    <w:p>
      <w:pPr>
        <w:pStyle w:val="Bibliography1"/>
        <w:spacing w:lineRule="auto" w:line="360"/>
        <w:jc w:val="both"/>
        <w:rPr/>
      </w:pPr>
      <w:r>
        <w:rPr/>
        <w:t xml:space="preserve">Gadde, U., Chapman, H.D., Rathinam, T.R., Erf, G.F., 2009. Acquisition of immunity to the protozoan parasite </w:t>
      </w:r>
      <w:r>
        <w:rPr>
          <w:i/>
          <w:iCs/>
        </w:rPr>
        <w:t>Eimeria adenoeides</w:t>
      </w:r>
      <w:r>
        <w:rPr/>
        <w:t xml:space="preserve"> in turkey poults and the peripheral blood leukocyte response to a primary infection. </w:t>
      </w:r>
      <w:r>
        <w:rPr>
          <w:lang w:val="de-DE"/>
        </w:rPr>
        <w:t>Poult. Sci. 88, 2346–2352. https://doi.org/10.3382/ps.2009-00320</w:t>
      </w:r>
    </w:p>
    <w:p>
      <w:pPr>
        <w:pStyle w:val="Bibliography1"/>
        <w:spacing w:lineRule="auto" w:line="360"/>
        <w:jc w:val="both"/>
        <w:rPr/>
      </w:pPr>
      <w:r>
        <w:rPr>
          <w:lang w:val="de-DE"/>
        </w:rPr>
        <w:t xml:space="preserve">Haberkorn, A., 1970. Die Entwicklung von </w:t>
      </w:r>
      <w:r>
        <w:rPr>
          <w:i/>
          <w:iCs/>
          <w:lang w:val="de-DE"/>
        </w:rPr>
        <w:t>Eimeria falciformis</w:t>
      </w:r>
      <w:r>
        <w:rPr>
          <w:lang w:val="de-DE"/>
        </w:rPr>
        <w:t xml:space="preserve"> (Eimer 1870) in der weißen Maus (Mus musculus). </w:t>
      </w:r>
      <w:r>
        <w:rPr/>
        <w:t>Z. Für Parasitenkd. 34, 49–67. https://doi.org/10.1007/BF00629179</w:t>
      </w:r>
    </w:p>
    <w:p>
      <w:pPr>
        <w:pStyle w:val="Bibliography1"/>
        <w:spacing w:lineRule="auto" w:line="360"/>
        <w:jc w:val="both"/>
        <w:rPr/>
      </w:pPr>
      <w:r>
        <w:rPr/>
        <w:t xml:space="preserve">Hashimoto, K., Tanaka, T., Matsubayashi, M., Endo, K., Umemiya-Shirafuji, R., Matsui, T., Matsuo, T., 2014. Host specificity and in vivo infectivities of the mouse coccidian parasites </w:t>
      </w:r>
      <w:r>
        <w:rPr>
          <w:i/>
          <w:iCs/>
        </w:rPr>
        <w:t>Eimeria krijgsmanni</w:t>
      </w:r>
      <w:r>
        <w:rPr/>
        <w:t>. Acta Parasitol. 59, 337–342. https://doi.org/10.2478/s11686-014-0251-1.</w:t>
      </w:r>
    </w:p>
    <w:p>
      <w:pPr>
        <w:pStyle w:val="Bibliography1"/>
        <w:spacing w:lineRule="auto" w:line="360"/>
        <w:jc w:val="both"/>
        <w:rPr/>
      </w:pPr>
      <w:r>
        <w:rPr/>
        <w:t>Heinrich, P.C, Castell, J. V. and Andus, T., 1990. Interleukin-6 and the Acute Phase Response., Biochem. J. 265,3: 621–36.</w:t>
      </w:r>
    </w:p>
    <w:p>
      <w:pPr>
        <w:pStyle w:val="Bibliography1"/>
        <w:spacing w:lineRule="auto" w:line="360"/>
        <w:jc w:val="both"/>
        <w:rPr/>
      </w:pPr>
      <w:r>
        <w:rPr>
          <w:lang w:val="de-DE"/>
        </w:rPr>
        <w:t xml:space="preserve">Heitlinger, E., Spork, S., Lucius, R., Dieterich, C., 2014. </w:t>
      </w:r>
      <w:r>
        <w:rPr/>
        <w:t>The genome of Eimeria falciformis - reduction and specialization in a single host apicomplexan parasite. BMC Genomics 15. https://doi.org/10.1186/1471-2164-15-696</w:t>
      </w:r>
      <w:r>
        <w:rPr>
          <w:lang w:val="fr-FR"/>
        </w:rPr>
        <w:t>.</w:t>
      </w:r>
    </w:p>
    <w:p>
      <w:pPr>
        <w:pStyle w:val="Bibliography1"/>
        <w:spacing w:lineRule="auto" w:line="360"/>
        <w:jc w:val="both"/>
        <w:rPr/>
      </w:pPr>
      <w:r>
        <w:rPr>
          <w:lang w:val="fr-FR"/>
        </w:rPr>
        <w:t xml:space="preserve">Hnida, J.A., Duszynski, D.W., 1999. </w:t>
      </w:r>
      <w:r>
        <w:rPr/>
        <w:t xml:space="preserve">Cross-Transmission Studies with </w:t>
      </w:r>
      <w:r>
        <w:rPr>
          <w:i/>
          <w:iCs/>
        </w:rPr>
        <w:t>Eimeria arizonensis</w:t>
      </w:r>
      <w:r>
        <w:rPr/>
        <w:t xml:space="preserve">, </w:t>
      </w:r>
      <w:r>
        <w:rPr>
          <w:i/>
          <w:iCs/>
        </w:rPr>
        <w:t>E. arizonensis</w:t>
      </w:r>
      <w:r>
        <w:rPr/>
        <w:t xml:space="preserve">-like Oocysts and </w:t>
      </w:r>
      <w:r>
        <w:rPr>
          <w:i/>
          <w:iCs/>
        </w:rPr>
        <w:t>Eimeria langebarteli</w:t>
      </w:r>
      <w:r>
        <w:rPr/>
        <w:t>: Host Specificity at the Genus and Species Level within the Muridae. J. Parasitol. 85, 873–877. https://doi.org/10.2307/3285824</w:t>
      </w:r>
    </w:p>
    <w:p>
      <w:pPr>
        <w:pStyle w:val="Bibliography1"/>
        <w:spacing w:lineRule="auto" w:line="360"/>
        <w:jc w:val="both"/>
        <w:rPr/>
      </w:pPr>
      <w:r>
        <w:rPr/>
        <w:t xml:space="preserve">Inagaki-Ohara, K., Dewi, F.N., Hisaeda, H., Smith, A.L., Jimi, F., Miyahira, M., Abdel-Aleem, A.S.F., Horii, Y., Nawa, Y., 2006. Intestinal Intraepithelial Lymphocytes Sustain the Epithelial Barrier Function against </w:t>
      </w:r>
      <w:r>
        <w:rPr>
          <w:i/>
          <w:iCs/>
        </w:rPr>
        <w:t>Eimeria vermiformis</w:t>
      </w:r>
      <w:r>
        <w:rPr/>
        <w:t xml:space="preserve"> Infection. Infect. Immun. 74, 5292–5301. https://doi.org/10.1128/IAI.02024-05.</w:t>
      </w:r>
    </w:p>
    <w:p>
      <w:pPr>
        <w:pStyle w:val="Bibliography1"/>
        <w:spacing w:lineRule="auto" w:line="360"/>
        <w:jc w:val="both"/>
        <w:rPr/>
      </w:pPr>
      <w:r>
        <w:rPr/>
        <w:t xml:space="preserve">Jarquín-Díaz, V.H., Balard A., Jost J., Kraft J., Dikmen, M.N., Kvičerová J., Heitlinger, E. 2019. Detection and quantification of house mouse </w:t>
      </w:r>
      <w:r>
        <w:rPr>
          <w:rStyle w:val="Emphasis"/>
        </w:rPr>
        <w:t>Eimeria</w:t>
      </w:r>
      <w:r>
        <w:rPr/>
        <w:t xml:space="preserve"> at the species level – challenges and solutions for the assessment of Coccidia in wildlife. BioRxiv 636662. https://doi.org/10.1101/636662 </w:t>
      </w:r>
    </w:p>
    <w:p>
      <w:pPr>
        <w:pStyle w:val="Bibliography1"/>
        <w:spacing w:lineRule="auto" w:line="360"/>
        <w:jc w:val="both"/>
        <w:rPr/>
      </w:pPr>
      <w:r>
        <w:rPr/>
        <w:t xml:space="preserve">Kasai, N., Ogassawara, S., Baccaro, M.R., 1991. Morphobiology and pathogenicity of </w:t>
      </w:r>
      <w:r>
        <w:rPr>
          <w:i/>
          <w:iCs/>
        </w:rPr>
        <w:t>Eimeria falciformis</w:t>
      </w:r>
      <w:r>
        <w:rPr/>
        <w:t xml:space="preserve"> var. pragensis Cerna, Seraud, Mehlhorn &amp; Scholtyseck, 1974 in mouse (</w:t>
      </w:r>
      <w:r>
        <w:rPr>
          <w:i/>
          <w:iCs/>
        </w:rPr>
        <w:t>Mus musculus</w:t>
      </w:r>
      <w:r>
        <w:rPr/>
        <w:t>). Rev. Bras. Biol. 51, 731–745.</w:t>
      </w:r>
    </w:p>
    <w:p>
      <w:pPr>
        <w:pStyle w:val="Bibliography1"/>
        <w:spacing w:lineRule="auto" w:line="360"/>
        <w:jc w:val="both"/>
        <w:rPr/>
      </w:pPr>
      <w:r>
        <w:rPr/>
        <w:t>Korn T., Bettelli E., Oukka M., Kuchroo V.K., 2009. IL-17 and Th17 Cells. Annu. Rev. Immuol. 27:1, 485-517.</w:t>
      </w:r>
    </w:p>
    <w:p>
      <w:pPr>
        <w:pStyle w:val="Bibliography1"/>
        <w:spacing w:lineRule="auto" w:line="360"/>
        <w:jc w:val="both"/>
        <w:rPr/>
      </w:pPr>
      <w:r>
        <w:rPr/>
        <w:t>Kuhn, K.A., Manieri, N.A., Liu, T.-C., Stappenbeck, T.S., 2014. IL-6 stimulates intestinal epithelial proliferation and repair after injury. PloS One 9, e114195. https://doi.org/10.1371/journal.,pone.0114195</w:t>
      </w:r>
    </w:p>
    <w:p>
      <w:pPr>
        <w:pStyle w:val="Normal"/>
        <w:spacing w:lineRule="auto" w:line="288" w:before="0" w:after="140"/>
        <w:ind w:left="480" w:hanging="480"/>
        <w:jc w:val="both"/>
        <w:rPr/>
      </w:pPr>
      <w:r>
        <w:rPr/>
        <w:t xml:space="preserve">Kvičerová, J., Pakandl, M., Hypša V., 2008. Phylogenetic Relationships among </w:t>
      </w:r>
      <w:r>
        <w:rPr>
          <w:i/>
          <w:iCs/>
        </w:rPr>
        <w:t>Eimeria</w:t>
      </w:r>
      <w:r>
        <w:rPr/>
        <w:t xml:space="preserve"> Spp. (Apicomplexa, Eimeriidae) Infecting Rabbits: Evolutionary Significance of Biological and Morphological Features. </w:t>
      </w:r>
      <w:r>
        <w:rPr>
          <w:i w:val="false"/>
          <w:iCs w:val="false"/>
        </w:rPr>
        <w:t>Parasitology 135</w:t>
      </w:r>
      <w:r>
        <w:rPr/>
        <w:t xml:space="preserve"> (4): 443–52. https://doi.org/10.1017/S0031182007004106.</w:t>
      </w:r>
    </w:p>
    <w:p>
      <w:pPr>
        <w:pStyle w:val="Bibliography1"/>
        <w:spacing w:lineRule="auto" w:line="360"/>
        <w:jc w:val="both"/>
        <w:rPr/>
      </w:pPr>
      <w:r>
        <w:rPr/>
        <w:t xml:space="preserve">Kvičerová, J., Hypša, V., 2013. Host-Parasite Incongruences in Rodent Eimeria Suggest Significant Role of Adaptation Rather than Cophylogeny in Maintenance of Host Specificity. </w:t>
      </w:r>
      <w:r>
        <w:rPr>
          <w:lang w:val="fr-FR"/>
        </w:rPr>
        <w:t>PLoS ONE 8, e63601. https://doi.org/10.1371/journal.,pone.0063601</w:t>
      </w:r>
    </w:p>
    <w:p>
      <w:pPr>
        <w:pStyle w:val="Bibliography1"/>
        <w:spacing w:lineRule="auto" w:line="360"/>
        <w:jc w:val="both"/>
        <w:rPr/>
      </w:pPr>
      <w:r>
        <w:rPr>
          <w:lang w:val="fr-FR"/>
        </w:rPr>
        <w:t xml:space="preserve">Laurent, F., Mancassola, R., Lacroix, S., Menezes, R., Naciri, M., 2001. </w:t>
      </w:r>
      <w:r>
        <w:rPr/>
        <w:t xml:space="preserve">Analysis of Chicken Mucosal Immune Response to </w:t>
      </w:r>
      <w:r>
        <w:rPr>
          <w:i/>
          <w:iCs/>
        </w:rPr>
        <w:t>Eimeria tenella</w:t>
      </w:r>
      <w:r>
        <w:rPr/>
        <w:t xml:space="preserve"> and </w:t>
      </w:r>
      <w:r>
        <w:rPr>
          <w:i/>
          <w:iCs/>
        </w:rPr>
        <w:t>Eimeria maxima</w:t>
      </w:r>
      <w:r>
        <w:rPr/>
        <w:t xml:space="preserve"> Infection by Quantitative Reverse Transcription-PCR. Infect. Immun. 69, 2527–2534. https://doi.org/10.1128/IAI.69.4.2527-2534.2001</w:t>
      </w:r>
    </w:p>
    <w:p>
      <w:pPr>
        <w:pStyle w:val="Bibliography1"/>
        <w:spacing w:lineRule="auto" w:line="360"/>
        <w:jc w:val="both"/>
        <w:rPr/>
      </w:pPr>
      <w:r>
        <w:rPr/>
        <w:t xml:space="preserve">Lillehoj, H.S., 1998. Role of T lymphocytes and cytokines in coccidiosis. </w:t>
      </w:r>
      <w:r>
        <w:rPr>
          <w:lang w:val="fr-FR"/>
        </w:rPr>
        <w:t>Int. J. Parasitol. 28, 1071–1081. https://doi.org/10.1016/S0020-7519(98)00075-7</w:t>
      </w:r>
    </w:p>
    <w:p>
      <w:pPr>
        <w:pStyle w:val="Bibliography1"/>
        <w:spacing w:lineRule="auto" w:line="360"/>
        <w:jc w:val="both"/>
        <w:rPr/>
      </w:pPr>
      <w:r>
        <w:rPr/>
        <w:t xml:space="preserve">Lowenthal., J.W., York, J.J., O’neil, T.E., Rhodes, S., Prowse, S.J., Strom, A.D.G., Digby, M.R., 1997. In Vivo Effects of Chicken Interferon-γ During Infection with </w:t>
      </w:r>
      <w:r>
        <w:rPr>
          <w:i/>
          <w:iCs/>
        </w:rPr>
        <w:t>Eimeria</w:t>
      </w:r>
      <w:r>
        <w:rPr/>
        <w:t>. J. Interferon Cytokine Res. 17, 551–558. https://doi.org/10.1089/jir.1997.17.551</w:t>
      </w:r>
    </w:p>
    <w:p>
      <w:pPr>
        <w:pStyle w:val="Bibliography1"/>
        <w:spacing w:lineRule="auto" w:line="360"/>
        <w:jc w:val="both"/>
        <w:rPr/>
      </w:pPr>
      <w:r>
        <w:rPr/>
        <w:t>Lucius, R., Loos-Frank B., Lane R.P., Poulin R., Roberts C. and Grencis R.K., 2018. The Biology of Parasites.</w:t>
      </w:r>
      <w:r>
        <w:rPr>
          <w:i/>
        </w:rPr>
        <w:t xml:space="preserve"> </w:t>
      </w:r>
      <w:r>
        <w:rPr/>
        <w:t>Wiley-Blackwell.</w:t>
      </w:r>
    </w:p>
    <w:p>
      <w:pPr>
        <w:pStyle w:val="Bibliography1"/>
        <w:spacing w:lineRule="auto" w:line="360"/>
        <w:jc w:val="both"/>
        <w:rPr/>
      </w:pPr>
      <w:r>
        <w:rPr/>
        <w:t>Mackinnon, M.J., Read, A., 1999. Selection for high and low virulence in the malaria parasite. Proc. R. Soc. Lond. B Biol. Sci. 266, 741–748. https://doi.org/10.1098/rspb.1999.0699</w:t>
      </w:r>
    </w:p>
    <w:p>
      <w:pPr>
        <w:pStyle w:val="Bibliography1"/>
        <w:spacing w:lineRule="auto" w:line="360"/>
        <w:jc w:val="both"/>
        <w:rPr/>
      </w:pPr>
      <w:r>
        <w:rPr/>
        <w:t>Mackinnon, M.J., Read, A.F., 2004. Immunity Promotes Virulence Evolution in a Malaria Model. PLOS Biol. 2, e230. https://doi.org/10.1371/journal.pbio.0020230</w:t>
      </w:r>
    </w:p>
    <w:p>
      <w:pPr>
        <w:pStyle w:val="Bibliography1"/>
        <w:spacing w:lineRule="auto" w:line="360"/>
        <w:jc w:val="both"/>
        <w:rPr/>
      </w:pPr>
      <w:r>
        <w:rPr/>
        <w:t xml:space="preserve">Mahrt, J.L., Shi, Y.F., 1988. Murine major histocompatibility complex and immune response to </w:t>
      </w:r>
      <w:r>
        <w:rPr>
          <w:i/>
          <w:iCs/>
        </w:rPr>
        <w:t>Eimeria falciformis</w:t>
      </w:r>
      <w:r>
        <w:rPr/>
        <w:t>. Infect. Immun. 56, 270–271.</w:t>
      </w:r>
    </w:p>
    <w:p>
      <w:pPr>
        <w:pStyle w:val="Bibliography1"/>
        <w:spacing w:lineRule="auto" w:line="360"/>
        <w:jc w:val="both"/>
        <w:rPr/>
      </w:pPr>
      <w:r>
        <w:rPr/>
        <w:t xml:space="preserve">McDonald, V., Ballingall, S., 1983. Further investigation of the pathogenicity, immunogenicity and stability of precocious </w:t>
      </w:r>
      <w:r>
        <w:rPr>
          <w:i/>
          <w:iCs/>
        </w:rPr>
        <w:t>Eimeria acervulina</w:t>
      </w:r>
      <w:r>
        <w:rPr/>
        <w:t>. Parasitology 86 (Pt 3), 361–369.</w:t>
      </w:r>
    </w:p>
    <w:p>
      <w:pPr>
        <w:pStyle w:val="Bibliography1"/>
        <w:spacing w:lineRule="auto" w:line="360"/>
        <w:jc w:val="both"/>
        <w:rPr/>
      </w:pPr>
      <w:r>
        <w:rPr/>
        <w:t xml:space="preserve">Mesfin, G.M., Bellamy, J.E., Stockdale, P.H., 1978. The pathological changes caused by </w:t>
      </w:r>
      <w:r>
        <w:rPr>
          <w:i/>
          <w:iCs/>
        </w:rPr>
        <w:t>Eimeria falciformis</w:t>
      </w:r>
      <w:r>
        <w:rPr/>
        <w:t xml:space="preserve"> var pragensis in mice. Can. J. Comp. Med. 42, 496–510.</w:t>
      </w:r>
    </w:p>
    <w:p>
      <w:pPr>
        <w:pStyle w:val="Bibliography1"/>
        <w:spacing w:lineRule="auto" w:line="360"/>
        <w:jc w:val="both"/>
        <w:rPr/>
      </w:pPr>
      <w:r>
        <w:rPr/>
        <w:t>Molnár, K., Ostoros, G., Dunams-Morel, D., Rosenthal., B.M., 2012. Eimeria that infect fish are diverse and are related to, but distinct from, those that infect terrestrial vertebrates. Infect. Genet. Evol. J. Mol. Epidemiol. Evol. Genet. Infect. Dis. 12, 1810–1815. https://doi.org/10.1016/j.meegid.2012.06.017</w:t>
      </w:r>
    </w:p>
    <w:p>
      <w:pPr>
        <w:pStyle w:val="Bibliography1"/>
        <w:spacing w:lineRule="auto" w:line="360"/>
        <w:jc w:val="both"/>
        <w:rPr/>
      </w:pPr>
      <w:r>
        <w:rPr/>
        <w:t xml:space="preserve">Muñoz-Caro, T., Machado Ribeiro da Silva, L., Rentería-Solis, Z., Taubert, A., Hermosilla, C., 2016. Neutrophil extracellular traps in the intestinal mucosa of </w:t>
      </w:r>
      <w:r>
        <w:rPr>
          <w:i/>
          <w:iCs/>
        </w:rPr>
        <w:t>Eimer</w:t>
      </w:r>
      <w:r>
        <w:rPr>
          <w:i/>
          <w:iCs/>
          <w:color w:val="00000A"/>
          <w:sz w:val="24"/>
        </w:rPr>
        <w:t>ia</w:t>
      </w:r>
      <w:r>
        <w:rPr>
          <w:color w:val="00000A"/>
          <w:sz w:val="24"/>
        </w:rPr>
        <w:t xml:space="preserve">-infected animals. Asian Pac. J. Trop. Biomed. </w:t>
      </w:r>
      <w:r>
        <w:rPr>
          <w:color w:val="00000A"/>
          <w:sz w:val="24"/>
          <w:u w:val="none"/>
          <w:lang w:val="de-DE"/>
        </w:rPr>
        <w:t xml:space="preserve">6, 301–307. </w:t>
      </w:r>
      <w:r>
        <w:rPr>
          <w:rStyle w:val="InternetLink"/>
          <w:color w:val="00000A"/>
          <w:sz w:val="24"/>
          <w:u w:val="none"/>
          <w:lang w:val="de-DE"/>
        </w:rPr>
        <w:t>https://doi.org/10.1016/j.apjtb.2016.01.001.</w:t>
      </w:r>
    </w:p>
    <w:p>
      <w:pPr>
        <w:pStyle w:val="Normal"/>
        <w:spacing w:lineRule="auto" w:line="288" w:before="0" w:after="140"/>
        <w:ind w:left="480" w:hanging="480"/>
        <w:jc w:val="both"/>
        <w:rPr/>
      </w:pPr>
      <w:r>
        <w:rPr>
          <w:lang w:val="de-DE"/>
        </w:rPr>
        <w:t xml:space="preserve">Ogedengbe, JD., Hanner RH, Barta JR., 2011. </w:t>
      </w:r>
      <w:r>
        <w:rPr/>
        <w:t xml:space="preserve">DNA Barcoding Identifies Eimeria Species and Contributes to the Phylogenetics of Coccidian Parasites (Eimeriorina, Apicomplexa, Alveolata). </w:t>
      </w:r>
      <w:r>
        <w:rPr>
          <w:i w:val="false"/>
          <w:iCs w:val="false"/>
        </w:rPr>
        <w:t>Int. J. Parasitol. 4</w:t>
      </w:r>
      <w:r>
        <w:rPr/>
        <w:t>1 (8): 843–50. https://doi.org/10.1016/j.ijpara.2011.03.007.</w:t>
      </w:r>
    </w:p>
    <w:p>
      <w:pPr>
        <w:pStyle w:val="Bibliography1"/>
        <w:spacing w:lineRule="auto" w:line="360"/>
        <w:jc w:val="both"/>
        <w:rPr/>
      </w:pPr>
      <w:r>
        <w:rPr/>
        <w:t xml:space="preserve">Ovington, K.S., Smith, N.C., 1992. Cytokines, free radicals and resistance to </w:t>
      </w:r>
      <w:r>
        <w:rPr>
          <w:i/>
          <w:iCs/>
        </w:rPr>
        <w:t>Eimeria</w:t>
      </w:r>
      <w:r>
        <w:rPr/>
        <w:t>. Parasitol. Today 8, 422–426. https://doi.org/10.1016/0169-4758(92)90196-9</w:t>
      </w:r>
    </w:p>
    <w:p>
      <w:pPr>
        <w:pStyle w:val="Bibliography1"/>
        <w:spacing w:lineRule="auto" w:line="360"/>
        <w:jc w:val="both"/>
        <w:rPr/>
      </w:pPr>
      <w:r>
        <w:rPr/>
        <w:t xml:space="preserve">Owen, D., 1975. </w:t>
      </w:r>
      <w:r>
        <w:rPr>
          <w:i/>
          <w:iCs/>
        </w:rPr>
        <w:t>Eimeria falciformis</w:t>
      </w:r>
      <w:r>
        <w:rPr/>
        <w:t xml:space="preserve"> (Eimer, 1870) in specific pathogen free and gnotobiotic mice. Parasitology 71, 293–303.</w:t>
      </w:r>
    </w:p>
    <w:p>
      <w:pPr>
        <w:pStyle w:val="Bibliography1"/>
        <w:spacing w:lineRule="auto" w:line="360"/>
        <w:jc w:val="both"/>
        <w:rPr/>
      </w:pPr>
      <w:r>
        <w:rPr/>
        <w:t>Prowse, S.J., Pallister, J., 1989. Interferon Release as a Measure of the T-Cell Response to Coccidial Antigens in Chickens. Avian Pathol. 18,4: 619–30 https://doi.org/10.1080/03079458908418637.</w:t>
      </w:r>
    </w:p>
    <w:p>
      <w:pPr>
        <w:pStyle w:val="Bibliography1"/>
        <w:spacing w:lineRule="auto" w:line="360"/>
        <w:jc w:val="both"/>
        <w:rPr/>
      </w:pPr>
      <w:r>
        <w:rPr>
          <w:lang w:val="de-DE"/>
        </w:rPr>
        <w:t xml:space="preserve">Pogonka, T., Schelzke, K., Stange, J., Papadakis, K., Steinfelder, S., Liesenfeld, O., Lucius, R., 2010. </w:t>
      </w:r>
      <w:r>
        <w:rPr/>
        <w:t xml:space="preserve">CD8+ cells protect mice against reinfection with the intestinal parasite </w:t>
      </w:r>
      <w:r>
        <w:rPr>
          <w:i/>
          <w:iCs/>
        </w:rPr>
        <w:t>Eimeria falciformis</w:t>
      </w:r>
      <w:r>
        <w:rPr/>
        <w:t>. Microbes Infect. 12, 218–226. https://doi.org/10.1016/j.micinf.2009.12.005</w:t>
      </w:r>
    </w:p>
    <w:p>
      <w:pPr>
        <w:pStyle w:val="Bibliography1"/>
        <w:spacing w:lineRule="auto" w:line="360"/>
        <w:jc w:val="both"/>
        <w:rPr/>
      </w:pPr>
      <w:r>
        <w:rPr/>
        <w:t>R Development Core Team, 2008. R: A language and environment for statistical computing. R Foundation for Statistical Computing. Vienna, Austria.</w:t>
      </w:r>
    </w:p>
    <w:p>
      <w:pPr>
        <w:pStyle w:val="Bibliography1"/>
        <w:spacing w:lineRule="auto" w:line="360"/>
        <w:jc w:val="both"/>
        <w:rPr/>
      </w:pPr>
      <w:r>
        <w:rPr/>
        <w:t>Rincón, M., Anguita J., Nakamura T., Fikrig E., Flavell RA., 1997. Interleukin (IL)-6 Directs the Differentiation of IL-4-Producing CD4+ T Cells,” The Journal of Experimental Medicine 185, 3: 461–69.</w:t>
      </w:r>
    </w:p>
    <w:p>
      <w:pPr>
        <w:pStyle w:val="Bibliography1"/>
        <w:spacing w:lineRule="auto" w:line="360"/>
        <w:jc w:val="both"/>
        <w:rPr/>
      </w:pPr>
      <w:r>
        <w:rPr/>
        <w:t>Rose, M.E., Hesketh, P., Wakelin, D., 1992. Immune control of murine coccidiosis: CD4+ and CD8+ T lymphocytes contribute differentially in resistance to primary and secondary infections. Parasitology 105 ( Pt 3), 349–354.</w:t>
      </w:r>
    </w:p>
    <w:p>
      <w:pPr>
        <w:pStyle w:val="Bibliography1"/>
        <w:spacing w:lineRule="auto" w:line="360"/>
        <w:jc w:val="both"/>
        <w:rPr/>
      </w:pPr>
      <w:r>
        <w:rPr/>
        <w:t xml:space="preserve">Rothwell, L., Muir, W., Kaiser, P., 2000. Interferon-gamma is expressed in both gut and spleen during </w:t>
      </w:r>
      <w:r>
        <w:rPr>
          <w:i/>
          <w:iCs/>
        </w:rPr>
        <w:t>Eimeria tenella</w:t>
      </w:r>
      <w:r>
        <w:rPr/>
        <w:t xml:space="preserve"> infection. Avian Pathol. J. WVPA 29, 333–342. https://doi.org/10.1080/03079450050118467</w:t>
      </w:r>
    </w:p>
    <w:p>
      <w:pPr>
        <w:pStyle w:val="Bibliography1"/>
        <w:spacing w:lineRule="auto" w:line="360"/>
        <w:jc w:val="both"/>
        <w:rPr/>
      </w:pPr>
      <w:r>
        <w:rPr/>
        <w:t xml:space="preserve">Schito, M.L., Barta, J.R., Chobotar, B., 1996. Comparison of Four Murine </w:t>
      </w:r>
      <w:r>
        <w:rPr>
          <w:i/>
          <w:iCs/>
        </w:rPr>
        <w:t>Eimeria</w:t>
      </w:r>
      <w:r>
        <w:rPr/>
        <w:t xml:space="preserve"> Species in Immunocompetent and Immunodeficient Mice. J. Parasitol. </w:t>
      </w:r>
      <w:r>
        <w:rPr>
          <w:lang w:val="de-DE"/>
        </w:rPr>
        <w:t>82, 255–262. https://doi.org/10.2307/3284157</w:t>
      </w:r>
    </w:p>
    <w:p>
      <w:pPr>
        <w:pStyle w:val="Bibliography1"/>
        <w:spacing w:lineRule="auto" w:line="360"/>
        <w:jc w:val="both"/>
        <w:rPr/>
      </w:pPr>
      <w:r>
        <w:rPr>
          <w:lang w:val="de-DE"/>
        </w:rPr>
        <w:t xml:space="preserve">Schmid, M., Heitlinger, E., Spork, S., Mollenkopf, H.-J., Lucius, R., Gupta, N., 2014. </w:t>
      </w:r>
      <w:r>
        <w:rPr>
          <w:i/>
          <w:iCs/>
        </w:rPr>
        <w:t>Eimeria falciformis</w:t>
      </w:r>
      <w:r>
        <w:rPr/>
        <w:t xml:space="preserve"> infection of the mouse caecum identifies opposing roles of IFNγ-regulated host pathways for the parasite development. Mucosal Immunol. 7, 969–982. https://doi.org/10.1038/mi.2013.115</w:t>
      </w:r>
    </w:p>
    <w:p>
      <w:pPr>
        <w:pStyle w:val="Bibliography1"/>
        <w:spacing w:lineRule="auto" w:line="360"/>
        <w:jc w:val="both"/>
        <w:rPr/>
      </w:pPr>
      <w:r>
        <w:rPr/>
        <w:t xml:space="preserve">Schmid, M., Lehmann, M.J., Lucius, R., Gupta, N., 2012. Apicomplexan parasite, </w:t>
      </w:r>
      <w:r>
        <w:rPr>
          <w:i/>
          <w:iCs/>
        </w:rPr>
        <w:t>Eimeria falciformis</w:t>
      </w:r>
      <w:r>
        <w:rPr/>
        <w:t>, co-opts host tryptophan catabolism for life cycle progression in mouse. J. Biol. Chem. 287, 20197–20207. https://doi.org/10.1074/jbc.M112.351999</w:t>
      </w:r>
    </w:p>
    <w:p>
      <w:pPr>
        <w:pStyle w:val="Bibliography1"/>
        <w:spacing w:lineRule="auto" w:line="360"/>
        <w:jc w:val="both"/>
        <w:rPr/>
      </w:pPr>
      <w:r>
        <w:rPr/>
        <w:t xml:space="preserve">Sehrawat, S., Rouse, B.T., 2017. Interplay of Regulatory T Cell and Th17 Cells during Infectious Diseases in Humans and Animals. </w:t>
      </w:r>
      <w:r>
        <w:rPr>
          <w:lang w:val="fr-FR"/>
        </w:rPr>
        <w:t>Front. Immunol. 8. https://doi.org/10.3389/fimmu.2017.00341</w:t>
      </w:r>
    </w:p>
    <w:p>
      <w:pPr>
        <w:pStyle w:val="Bibliography1"/>
        <w:spacing w:lineRule="auto" w:line="360"/>
        <w:jc w:val="both"/>
        <w:rPr/>
      </w:pPr>
      <w:r>
        <w:rPr>
          <w:lang w:val="fr-FR"/>
        </w:rPr>
        <w:t xml:space="preserve">Shirley, M.W., Bellatti, M.A., 1988. </w:t>
      </w:r>
      <w:r>
        <w:rPr/>
        <w:t xml:space="preserve">Live attenuated coccidiosis vaccine: selection of a second precocious line of </w:t>
      </w:r>
      <w:r>
        <w:rPr>
          <w:i/>
          <w:iCs/>
        </w:rPr>
        <w:t>Eimeria maxima</w:t>
      </w:r>
      <w:r>
        <w:rPr/>
        <w:t>. Res. Vet. Sci. 44, 25–28.</w:t>
      </w:r>
    </w:p>
    <w:p>
      <w:pPr>
        <w:pStyle w:val="Bibliography1"/>
        <w:spacing w:lineRule="auto" w:line="360"/>
        <w:jc w:val="both"/>
        <w:rPr/>
      </w:pPr>
      <w:r>
        <w:rPr/>
        <w:t xml:space="preserve">Shirley, M.W., Harvey, D.A., 2000. A Genetic Linkage Map of the Apicomplexan Protozoan Parasite </w:t>
      </w:r>
      <w:r>
        <w:rPr>
          <w:i/>
          <w:iCs/>
        </w:rPr>
        <w:t>Eimeria tenella</w:t>
      </w:r>
      <w:r>
        <w:rPr/>
        <w:t>. Genome Res. 10, 1587–1593.</w:t>
      </w:r>
    </w:p>
    <w:p>
      <w:pPr>
        <w:pStyle w:val="Bibliography1"/>
        <w:spacing w:lineRule="auto" w:line="360"/>
        <w:jc w:val="both"/>
        <w:rPr/>
      </w:pPr>
      <w:r>
        <w:rPr/>
        <w:t>Shirley, M.W., Long, P.L., 1990. Control of coccidiosis in chickens: immunization with live vaccines. Coccidiosis Man Domest. Anim. 321–341.</w:t>
      </w:r>
    </w:p>
    <w:p>
      <w:pPr>
        <w:pStyle w:val="Bibliography1"/>
        <w:spacing w:lineRule="auto" w:line="360"/>
        <w:jc w:val="both"/>
        <w:rPr/>
      </w:pPr>
      <w:r>
        <w:rPr/>
        <w:t xml:space="preserve">Stange, J., 2013. Studies on host-pathogen interactions at mucosal barrier surfaces using the murine intestinal parasite </w:t>
      </w:r>
      <w:r>
        <w:rPr>
          <w:i/>
          <w:iCs/>
        </w:rPr>
        <w:t>Eimeria falciformis</w:t>
      </w:r>
      <w:r>
        <w:rPr/>
        <w:t>. Humboldt University, Berlin.</w:t>
      </w:r>
    </w:p>
    <w:p>
      <w:pPr>
        <w:pStyle w:val="Bibliography1"/>
        <w:spacing w:lineRule="auto" w:line="360"/>
        <w:jc w:val="both"/>
        <w:rPr/>
      </w:pPr>
      <w:r>
        <w:rPr/>
        <w:t xml:space="preserve">Stange, J., Hepworth, M.R., Rausch, S., Zajic, L., Kühl, A.A., Uyttenhove, C., Renauld, J.-C., Hartmann, S., Lucius, R., 2012. IL-22 mediates host defense against an intestinal intracellular parasite in the absence of IFN-γ at the cost of Th17-driven immunopathology. </w:t>
      </w:r>
      <w:r>
        <w:rPr>
          <w:lang w:val="de-DE"/>
        </w:rPr>
        <w:t>J. Immunol. Baltim. Md 1950 188, 2410–8. https://doi.org/10.4049/jimmunol.1102062</w:t>
      </w:r>
    </w:p>
    <w:p>
      <w:pPr>
        <w:pStyle w:val="Bibliography1"/>
        <w:spacing w:lineRule="auto" w:line="360"/>
        <w:jc w:val="both"/>
        <w:rPr/>
      </w:pPr>
      <w:r>
        <w:rPr>
          <w:lang w:val="de-DE"/>
        </w:rPr>
        <w:t xml:space="preserve">Steinfelder, S., Lucius, R., Greif, G., Pogonka, T., 2005. </w:t>
      </w:r>
      <w:r>
        <w:rPr/>
        <w:t xml:space="preserve">Treatment of mice with the anticoccidial drug Toltrazuril does not interfere with the development of a specific cellular intestinal immune response to </w:t>
      </w:r>
      <w:r>
        <w:rPr>
          <w:i/>
          <w:iCs/>
        </w:rPr>
        <w:t>Eimeria falciformis</w:t>
      </w:r>
      <w:r>
        <w:rPr/>
        <w:t>. Parasitol. Res. 97, 458–465. https://doi.org/10.1007/s00436-005-1464-x</w:t>
      </w:r>
    </w:p>
    <w:p>
      <w:pPr>
        <w:pStyle w:val="Bibliography1"/>
        <w:spacing w:lineRule="auto" w:line="360"/>
        <w:jc w:val="both"/>
        <w:rPr/>
      </w:pPr>
      <w:r>
        <w:rPr/>
        <w:t>Swaggerty, C.L., Genovese, K.J., He, H., Duke, S.E., Pevzner, I.Y., Kogut, M.H., 2011. Broiler breeders with an efficient innate immune respo</w:t>
      </w:r>
      <w:r>
        <w:rPr>
          <w:color w:val="00000A"/>
          <w:sz w:val="24"/>
        </w:rPr>
        <w:t xml:space="preserve">nse are more resistant to </w:t>
      </w:r>
      <w:r>
        <w:rPr>
          <w:i/>
          <w:iCs/>
          <w:color w:val="00000A"/>
          <w:sz w:val="24"/>
        </w:rPr>
        <w:t>Eimeria tenella</w:t>
      </w:r>
      <w:r>
        <w:rPr>
          <w:color w:val="00000A"/>
          <w:sz w:val="24"/>
        </w:rPr>
        <w:t xml:space="preserve">. </w:t>
      </w:r>
      <w:r>
        <w:rPr>
          <w:color w:val="00000A"/>
          <w:sz w:val="24"/>
          <w:lang w:val="de-DE"/>
        </w:rPr>
        <w:t xml:space="preserve">Poult. Sci. </w:t>
      </w:r>
      <w:r>
        <w:rPr>
          <w:color w:val="00000A"/>
          <w:sz w:val="24"/>
          <w:u w:val="none"/>
          <w:lang w:val="de-DE"/>
        </w:rPr>
        <w:t xml:space="preserve">90, 1014–1019. </w:t>
      </w:r>
      <w:r>
        <w:rPr>
          <w:rStyle w:val="InternetLink"/>
          <w:color w:val="00000A"/>
          <w:sz w:val="24"/>
          <w:u w:val="none"/>
          <w:lang w:val="de-DE"/>
        </w:rPr>
        <w:t>https://doi.org/10.3382/ps.2010-01246</w:t>
      </w:r>
    </w:p>
    <w:p>
      <w:pPr>
        <w:pStyle w:val="Bibliography1"/>
        <w:spacing w:lineRule="auto" w:line="360"/>
        <w:jc w:val="both"/>
        <w:rPr/>
      </w:pPr>
      <w:r>
        <w:rPr>
          <w:lang w:val="de-DE"/>
        </w:rPr>
        <w:t>Weyrich A., Axtner J., Sommer S., 201</w:t>
      </w:r>
      <w:r>
        <w:rPr>
          <w:color w:val="000000"/>
          <w:lang w:val="de-DE"/>
        </w:rPr>
        <w:t xml:space="preserve">0. </w:t>
      </w:r>
      <w:r>
        <w:rPr>
          <w:rStyle w:val="InternetLink"/>
          <w:color w:val="000000"/>
          <w:u w:val="none"/>
        </w:rPr>
        <w:t xml:space="preserve">Selection and validation of reference genes for real-time RT-PCR studies in the non-model species Delomys sublineatus, an endemic Brazilian rodent. </w:t>
      </w:r>
      <w:r>
        <w:rPr>
          <w:color w:val="000000"/>
        </w:rPr>
        <w:t xml:space="preserve"> Biochem. Biophys. Res. Commun. 392 (2), 145-149</w:t>
      </w:r>
    </w:p>
    <w:p>
      <w:pPr>
        <w:pStyle w:val="Bibliography1"/>
        <w:spacing w:lineRule="auto" w:line="360"/>
        <w:jc w:val="both"/>
        <w:rPr/>
      </w:pPr>
      <w:r>
        <w:rPr/>
        <w:t>Vrba, V., Pakandl, M., 2015. Host specificity of turkey and chicken Eimeria: controlled cross-transmission studies and a phylogenetic view. Vet. Parasitol. 208, 118–124. https://doi.org/10.1016/j.vetpar.2015.01.017</w:t>
      </w:r>
    </w:p>
    <w:p>
      <w:pPr>
        <w:pStyle w:val="Normal"/>
        <w:spacing w:lineRule="auto" w:line="360" w:before="0" w:after="140"/>
        <w:ind w:left="480" w:hanging="480"/>
        <w:jc w:val="both"/>
        <w:rPr/>
      </w:pPr>
      <w:r>
        <w:rPr/>
        <w:t xml:space="preserve">Zhao, X., Duszynski, D.W., 2001. Phylogenetic Relationships among Rodent </w:t>
      </w:r>
      <w:r>
        <w:rPr>
          <w:i/>
          <w:iCs/>
        </w:rPr>
        <w:t>Eimeria</w:t>
      </w:r>
      <w:r>
        <w:rPr/>
        <w:t xml:space="preserve"> Species Determined by Plastid ORF470 and Nuclear 18S RDNA Sequences. </w:t>
      </w:r>
      <w:r>
        <w:rPr>
          <w:i w:val="false"/>
          <w:iCs w:val="false"/>
        </w:rPr>
        <w:t>Int. J. Parasitol. 31</w:t>
      </w:r>
      <w:r>
        <w:rPr/>
        <w:t xml:space="preserve"> (7): 715–19. https://doi.org/10.1016/S0020-7519(01)00136-9.</w:t>
      </w:r>
    </w:p>
    <w:p>
      <w:pPr>
        <w:pStyle w:val="Bibliography1"/>
        <w:spacing w:lineRule="auto" w:line="360"/>
        <w:jc w:val="both"/>
        <w:rPr/>
      </w:pPr>
      <w:r>
        <w:rPr/>
        <w:t xml:space="preserve">Zhou, Z., Hu, S., Wang, Z., Guo, Z., Qin, B., Nie, K., 2014. Expression of Chicken Toll-Like Receptors and Signal Adaptors in Spleen and Cecum of Young Chickens Infected with </w:t>
      </w:r>
      <w:r>
        <w:rPr>
          <w:i/>
          <w:iCs/>
        </w:rPr>
        <w:t>Eimeria tenella</w:t>
      </w:r>
      <w:r>
        <w:rPr/>
        <w:t>. J Integr Agric. 13 (4): 904-910. https://doi.org/10.1016/S2095-3119(13)60384-6</w:t>
      </w:r>
    </w:p>
    <w:p>
      <w:pPr>
        <w:pStyle w:val="Bibliography1"/>
        <w:spacing w:lineRule="auto" w:line="360"/>
        <w:jc w:val="both"/>
        <w:rPr/>
      </w:pPr>
      <w:r>
        <w:rPr/>
      </w:r>
    </w:p>
    <w:p>
      <w:pPr>
        <w:pStyle w:val="Bibliography1"/>
        <w:spacing w:lineRule="auto" w:line="360"/>
        <w:jc w:val="both"/>
        <w:rPr/>
      </w:pPr>
      <w:r>
        <w:rPr/>
      </w:r>
    </w:p>
    <w:p>
      <w:pPr>
        <w:pStyle w:val="Bibliography1"/>
        <w:spacing w:lineRule="auto" w:line="360"/>
        <w:jc w:val="both"/>
        <w:rPr>
          <w:b/>
          <w:b/>
          <w:bCs/>
        </w:rPr>
      </w:pPr>
      <w:r>
        <w:rPr>
          <w:b/>
          <w:bCs/>
        </w:rPr>
        <w:t>Legends to figures</w:t>
      </w:r>
    </w:p>
    <w:p>
      <w:pPr>
        <w:pStyle w:val="Bibliography1"/>
        <w:spacing w:lineRule="auto" w:line="360"/>
        <w:jc w:val="both"/>
        <w:rPr>
          <w:b/>
          <w:b/>
          <w:bCs/>
        </w:rPr>
      </w:pPr>
      <w:r>
        <w:rPr>
          <w:b/>
          <w:bCs/>
        </w:rPr>
      </w:r>
    </w:p>
    <w:p>
      <w:pPr>
        <w:pStyle w:val="TextBody"/>
        <w:spacing w:lineRule="auto" w:line="360"/>
        <w:jc w:val="both"/>
        <w:rPr/>
      </w:pPr>
      <w:r>
        <w:rPr>
          <w:rFonts w:ascii="Times New Roman" w:hAnsi="Times New Roman"/>
          <w:b/>
          <w:bCs/>
          <w:color w:val="000000"/>
        </w:rPr>
        <w:t>Figure 1 – Parasite life cycle progression and pathogenicity assessed as host weight loss during the infection -</w:t>
      </w:r>
      <w:r>
        <w:rPr>
          <w:rFonts w:ascii="Times New Roman" w:hAnsi="Times New Roman"/>
          <w:color w:val="000000"/>
        </w:rPr>
        <w:t xml:space="preserve"> Dynamics of parasite reproduction and host weight loss differ between the species </w:t>
      </w:r>
      <w:r>
        <w:rPr>
          <w:rFonts w:ascii="Times New Roman" w:hAnsi="Times New Roman"/>
          <w:i/>
          <w:iCs/>
          <w:color w:val="000000"/>
        </w:rPr>
        <w:t>E. falciformis</w:t>
      </w:r>
      <w:r>
        <w:rPr>
          <w:rFonts w:ascii="Times New Roman" w:hAnsi="Times New Roman"/>
          <w:color w:val="000000"/>
        </w:rPr>
        <w:t xml:space="preserve"> and </w:t>
      </w:r>
      <w:r>
        <w:rPr>
          <w:rFonts w:ascii="Times New Roman" w:hAnsi="Times New Roman"/>
          <w:i/>
          <w:iCs/>
          <w:color w:val="000000"/>
        </w:rPr>
        <w:t>E. ferrisi</w:t>
      </w:r>
      <w:r>
        <w:rPr>
          <w:rFonts w:ascii="Times New Roman" w:hAnsi="Times New Roman"/>
          <w:color w:val="000000"/>
        </w:rPr>
        <w:t xml:space="preserve">. a) Oocyst shedding of </w:t>
      </w:r>
      <w:r>
        <w:rPr>
          <w:rFonts w:ascii="Times New Roman" w:hAnsi="Times New Roman"/>
          <w:i/>
          <w:iCs/>
          <w:color w:val="000000"/>
        </w:rPr>
        <w:t>Eimeria</w:t>
      </w:r>
      <w:r>
        <w:rPr>
          <w:rFonts w:ascii="Times New Roman" w:hAnsi="Times New Roman"/>
          <w:color w:val="000000"/>
        </w:rPr>
        <w:t xml:space="preserve"> spp. from experimentally infected mice (NMRI) is displayed from </w:t>
      </w:r>
      <w:r>
        <w:rPr>
          <w:rFonts w:ascii="Times New Roman" w:hAnsi="Times New Roman"/>
        </w:rPr>
        <w:t xml:space="preserve">1 to 11 days post infection (dpi). Mice were infected with 200 </w:t>
      </w:r>
      <w:r>
        <w:rPr>
          <w:rFonts w:ascii="Times New Roman" w:hAnsi="Times New Roman"/>
          <w:color w:val="000000"/>
        </w:rPr>
        <w:t xml:space="preserve">sporulated </w:t>
      </w:r>
      <w:r>
        <w:rPr>
          <w:rFonts w:ascii="Times New Roman" w:hAnsi="Times New Roman"/>
        </w:rPr>
        <w:t xml:space="preserve">oocyst of </w:t>
      </w:r>
      <w:r>
        <w:rPr>
          <w:rFonts w:ascii="Times New Roman" w:hAnsi="Times New Roman"/>
          <w:i/>
          <w:iCs/>
          <w:color w:val="000000"/>
        </w:rPr>
        <w:t>E. ferrisi</w:t>
      </w:r>
      <w:r>
        <w:rPr>
          <w:rFonts w:ascii="Times New Roman" w:hAnsi="Times New Roman"/>
          <w:color w:val="000000"/>
        </w:rPr>
        <w:t xml:space="preserve"> Brandenburg64 (a recently derived isolate; EferW), </w:t>
      </w:r>
      <w:r>
        <w:rPr>
          <w:rFonts w:ascii="Times New Roman" w:hAnsi="Times New Roman"/>
          <w:i/>
          <w:iCs/>
          <w:color w:val="000000"/>
        </w:rPr>
        <w:t xml:space="preserve">E. falciformis </w:t>
      </w:r>
      <w:r>
        <w:rPr>
          <w:rFonts w:ascii="Times New Roman" w:hAnsi="Times New Roman"/>
          <w:color w:val="000000"/>
        </w:rPr>
        <w:t>BayerHaberkorn1970</w:t>
      </w:r>
      <w:r>
        <w:rPr>
          <w:rFonts w:ascii="Times New Roman" w:hAnsi="Times New Roman"/>
          <w:i/>
          <w:iCs/>
          <w:color w:val="000000"/>
        </w:rPr>
        <w:t xml:space="preserve"> </w:t>
      </w:r>
      <w:r>
        <w:rPr>
          <w:rFonts w:ascii="Times New Roman" w:hAnsi="Times New Roman"/>
          <w:color w:val="000000"/>
        </w:rPr>
        <w:t xml:space="preserve">(a classical laboratory isolate; EfalL) or and </w:t>
      </w:r>
      <w:r>
        <w:rPr>
          <w:rFonts w:ascii="Times New Roman" w:hAnsi="Times New Roman"/>
          <w:i/>
          <w:iCs/>
          <w:color w:val="000000"/>
        </w:rPr>
        <w:t>E. falciformis</w:t>
      </w:r>
      <w:r>
        <w:rPr>
          <w:rFonts w:ascii="Times New Roman" w:hAnsi="Times New Roman"/>
          <w:color w:val="000000"/>
        </w:rPr>
        <w:t xml:space="preserve"> Brandenburg88 (a recently derived isolate, EfalW)</w:t>
      </w:r>
      <w:r>
        <w:rPr>
          <w:rFonts w:ascii="Times New Roman" w:hAnsi="Times New Roman"/>
        </w:rPr>
        <w:t xml:space="preserve">. </w:t>
      </w:r>
      <w:r>
        <w:rPr>
          <w:rFonts w:ascii="Times New Roman" w:hAnsi="Times New Roman"/>
          <w:color w:val="000000"/>
        </w:rPr>
        <w:t xml:space="preserve">b) Host body weight loss of the same three groups of mice is depicted as percentage of </w:t>
      </w:r>
      <w:r>
        <w:rPr>
          <w:rFonts w:ascii="Times New Roman" w:hAnsi="Times New Roman"/>
          <w:color w:val="000000"/>
          <w:highlight w:val="white"/>
        </w:rPr>
        <w:t xml:space="preserve">body weight retained compared to 1 dpi. The number of mice per group is given at the bottom of the plot. The number is gradually reduced towards the end of the experiment, because mice were sacrificed for collection of tissue samples. Lines indicate the mean for each group, error bars give the standard deviation. </w:t>
      </w:r>
    </w:p>
    <w:p>
      <w:pPr>
        <w:pStyle w:val="Normal"/>
        <w:spacing w:lineRule="auto" w:line="360"/>
        <w:jc w:val="both"/>
        <w:rPr>
          <w:rStyle w:val="Emphasis"/>
          <w:rFonts w:ascii="Times New Roman" w:hAnsi="Times New Roman"/>
          <w:b/>
          <w:b/>
          <w:bCs/>
          <w:i w:val="false"/>
          <w:i w:val="false"/>
          <w:iCs w:val="false"/>
          <w:color w:val="000000"/>
          <w:highlight w:val="white"/>
        </w:rPr>
      </w:pPr>
      <w:r>
        <w:rPr>
          <w:rFonts w:ascii="Times New Roman" w:hAnsi="Times New Roman"/>
          <w:b/>
          <w:bCs/>
          <w:i w:val="false"/>
          <w:iCs w:val="false"/>
          <w:color w:val="000000"/>
          <w:highlight w:val="white"/>
        </w:rPr>
      </w:r>
    </w:p>
    <w:p>
      <w:pPr>
        <w:pStyle w:val="Normal"/>
        <w:spacing w:lineRule="auto" w:line="360"/>
        <w:jc w:val="both"/>
        <w:rPr>
          <w:b/>
          <w:b/>
          <w:bCs/>
        </w:rPr>
      </w:pPr>
      <w:r>
        <w:rPr>
          <w:rStyle w:val="Emphasis"/>
          <w:rFonts w:ascii="Times New Roman" w:hAnsi="Times New Roman"/>
          <w:b/>
          <w:bCs/>
          <w:i w:val="false"/>
          <w:iCs w:val="false"/>
          <w:color w:val="000000"/>
          <w:highlight w:val="white"/>
        </w:rPr>
        <w:t xml:space="preserve">Figure 2 – Relative timing of host weight loss and parasite reproduction differ between the species </w:t>
      </w:r>
      <w:r>
        <w:rPr>
          <w:rStyle w:val="Emphasis"/>
          <w:rFonts w:ascii="Times New Roman" w:hAnsi="Times New Roman"/>
          <w:b/>
          <w:bCs/>
          <w:color w:val="000000"/>
          <w:highlight w:val="white"/>
        </w:rPr>
        <w:t>E. falciformis</w:t>
      </w:r>
      <w:r>
        <w:rPr>
          <w:rStyle w:val="Emphasis"/>
          <w:rFonts w:ascii="Times New Roman" w:hAnsi="Times New Roman"/>
          <w:b/>
          <w:bCs/>
          <w:i w:val="false"/>
          <w:iCs w:val="false"/>
          <w:color w:val="000000"/>
          <w:highlight w:val="white"/>
        </w:rPr>
        <w:t xml:space="preserve"> and </w:t>
      </w:r>
      <w:r>
        <w:rPr>
          <w:rStyle w:val="Emphasis"/>
          <w:rFonts w:ascii="Times New Roman" w:hAnsi="Times New Roman"/>
          <w:b/>
          <w:bCs/>
          <w:color w:val="000000"/>
          <w:highlight w:val="white"/>
        </w:rPr>
        <w:t>E. ferrisi</w:t>
      </w:r>
      <w:r>
        <w:rPr>
          <w:rStyle w:val="Emphasis"/>
          <w:rFonts w:ascii="Times New Roman" w:hAnsi="Times New Roman"/>
          <w:b/>
          <w:bCs/>
          <w:i w:val="false"/>
          <w:iCs w:val="false"/>
          <w:color w:val="000000"/>
          <w:highlight w:val="white"/>
        </w:rPr>
        <w:t xml:space="preserve"> for individual hosts - </w:t>
      </w:r>
      <w:r>
        <w:rPr>
          <w:rStyle w:val="Emphasis"/>
          <w:rFonts w:ascii="Times New Roman" w:hAnsi="Times New Roman"/>
          <w:b w:val="false"/>
          <w:bCs w:val="false"/>
          <w:i w:val="false"/>
          <w:iCs w:val="false"/>
          <w:color w:val="000000"/>
          <w:highlight w:val="white"/>
        </w:rPr>
        <w:t xml:space="preserve">The peak of the host’s weight loss follows after the peak of oocyst shedding in infections with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while in infections with </w:t>
      </w:r>
      <w:r>
        <w:rPr>
          <w:rStyle w:val="Emphasis"/>
          <w:rFonts w:ascii="Times New Roman" w:hAnsi="Times New Roman"/>
          <w:b w:val="false"/>
          <w:bCs w:val="false"/>
          <w:color w:val="000000"/>
          <w:highlight w:val="white"/>
        </w:rPr>
        <w:t xml:space="preserve">E. ferrisi </w:t>
      </w:r>
      <w:r>
        <w:rPr>
          <w:rStyle w:val="Emphasis"/>
          <w:rFonts w:ascii="Times New Roman" w:hAnsi="Times New Roman"/>
          <w:b w:val="false"/>
          <w:bCs w:val="false"/>
          <w:i w:val="false"/>
          <w:color w:val="000000"/>
          <w:highlight w:val="white"/>
        </w:rPr>
        <w:t xml:space="preserve">the </w:t>
      </w:r>
      <w:r>
        <w:rPr>
          <w:rStyle w:val="Emphasis"/>
          <w:rFonts w:ascii="Times New Roman" w:hAnsi="Times New Roman"/>
          <w:b w:val="false"/>
          <w:bCs w:val="false"/>
          <w:i w:val="false"/>
          <w:iCs w:val="false"/>
          <w:color w:val="000000"/>
          <w:highlight w:val="white"/>
        </w:rPr>
        <w:t xml:space="preserve">hosts lost most weight before most parasite oocysts were shed. Points depict the peak day of both oocyst shedding and weight loss, respectively, red lines connect both measurement from the same mouse. All mice sacrificed at 9dpi or later are assessed. For underlying experimental procedures see Figure 1 and the Methods section. In case of </w:t>
      </w:r>
      <w:r>
        <w:rPr>
          <w:rStyle w:val="Emphasis"/>
          <w:rFonts w:ascii="Times New Roman" w:hAnsi="Times New Roman"/>
          <w:b w:val="false"/>
          <w:bCs w:val="false"/>
          <w:color w:val="000000"/>
          <w:highlight w:val="white"/>
        </w:rPr>
        <w:t>E. falciformis</w:t>
      </w:r>
      <w:r>
        <w:rPr>
          <w:rStyle w:val="Emphasis"/>
          <w:rFonts w:ascii="Times New Roman" w:hAnsi="Times New Roman"/>
          <w:b w:val="false"/>
          <w:bCs w:val="false"/>
          <w:i w:val="false"/>
          <w:iCs w:val="false"/>
          <w:color w:val="000000"/>
          <w:highlight w:val="white"/>
        </w:rPr>
        <w:t xml:space="preserve"> infections the day of maximal weight loss could have been potentially even later if some mice (n = 3 for each isolate) were not sacrificed at 9 dpi. </w:t>
      </w:r>
    </w:p>
    <w:p>
      <w:pPr>
        <w:pStyle w:val="Normal"/>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b/>
          <w:b/>
          <w:bCs/>
        </w:rPr>
      </w:pPr>
      <w:r>
        <w:rPr>
          <w:rStyle w:val="Emphasis"/>
          <w:rFonts w:ascii="Times New Roman" w:hAnsi="Times New Roman"/>
          <w:b/>
          <w:bCs/>
          <w:i w:val="false"/>
          <w:iCs w:val="false"/>
          <w:color w:val="000000"/>
          <w:highlight w:val="white"/>
        </w:rPr>
        <w:t xml:space="preserve">Figure 3 – The relative amount of parasite </w:t>
      </w:r>
      <w:r>
        <w:rPr>
          <w:rStyle w:val="Emphasis"/>
          <w:rFonts w:ascii="Times New Roman" w:hAnsi="Times New Roman"/>
          <w:b/>
          <w:bCs/>
          <w:i/>
          <w:iCs w:val="false"/>
          <w:color w:val="000000"/>
          <w:highlight w:val="white"/>
        </w:rPr>
        <w:t>vs.</w:t>
      </w:r>
      <w:r>
        <w:rPr>
          <w:rStyle w:val="Emphasis"/>
          <w:rFonts w:ascii="Times New Roman" w:hAnsi="Times New Roman"/>
          <w:b/>
          <w:bCs/>
          <w:i w:val="false"/>
          <w:iCs w:val="false"/>
          <w:color w:val="000000"/>
          <w:highlight w:val="white"/>
        </w:rPr>
        <w:t xml:space="preserve"> host DNA (host-parasite ∆Ct) estimates the intensity of parasite stages in caecum tissue.</w:t>
      </w:r>
      <w:r>
        <w:rPr>
          <w:rStyle w:val="Emphasis"/>
          <w:rFonts w:ascii="Times New Roman" w:hAnsi="Times New Roman"/>
          <w:b w:val="false"/>
          <w:bCs w:val="false"/>
          <w:i w:val="false"/>
          <w:iCs w:val="false"/>
          <w:color w:val="000000"/>
          <w:highlight w:val="white"/>
        </w:rPr>
        <w:t xml:space="preserve"> The host-parasite ∆Ct was calculated from the difference in cycle of threshold (Ct) values of qPCRs performed on a single copy nuclear gene (Cdc42) of the host and on a mitochondrial (COI) gene of the parasite. A limit of detection (LOD) was calculated as the mean + 2 standard deviations of ∆Ct values of the negative controls. Coloured lines are drawn using local polynomial regression fitting (a “loess smoother”). </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Normal"/>
        <w:spacing w:lineRule="auto" w:line="360"/>
        <w:jc w:val="both"/>
        <w:rPr>
          <w:b/>
          <w:b/>
          <w:bCs/>
        </w:rPr>
      </w:pPr>
      <w:r>
        <w:rPr>
          <w:rStyle w:val="Emphasis"/>
          <w:rFonts w:ascii="Times New Roman" w:hAnsi="Times New Roman"/>
          <w:b/>
          <w:bCs w:val="false"/>
          <w:i w:val="false"/>
          <w:iCs w:val="false"/>
          <w:color w:val="000000"/>
          <w:highlight w:val="white"/>
        </w:rPr>
        <w:t>Figure 4</w:t>
      </w:r>
      <w:r>
        <w:rPr>
          <w:rStyle w:val="Emphasis"/>
          <w:rFonts w:ascii="Times New Roman" w:hAnsi="Times New Roman"/>
          <w:b w:val="false"/>
          <w:bCs w:val="false"/>
          <w:i w:val="false"/>
          <w:iCs w:val="false"/>
          <w:color w:val="000000"/>
          <w:highlight w:val="white"/>
        </w:rPr>
        <w:t xml:space="preserve"> –</w:t>
      </w:r>
      <w:r>
        <w:rPr>
          <w:rStyle w:val="Emphasis"/>
          <w:rFonts w:ascii="Times New Roman" w:hAnsi="Times New Roman"/>
          <w:b/>
          <w:bCs/>
          <w:i w:val="false"/>
          <w:iCs w:val="false"/>
          <w:color w:val="000000"/>
          <w:highlight w:val="white"/>
        </w:rPr>
        <w:t xml:space="preserve"> Mice infected with a laboratory isolate of </w:t>
      </w:r>
      <w:r>
        <w:rPr>
          <w:rStyle w:val="Emphasis"/>
          <w:rFonts w:ascii="Times New Roman" w:hAnsi="Times New Roman"/>
          <w:b/>
          <w:bCs/>
          <w:i/>
          <w:iCs/>
          <w:color w:val="000000"/>
          <w:highlight w:val="white"/>
        </w:rPr>
        <w:t>E. falciformis</w:t>
      </w:r>
      <w:r>
        <w:rPr>
          <w:rStyle w:val="Emphasis"/>
          <w:rFonts w:ascii="Times New Roman" w:hAnsi="Times New Roman"/>
          <w:b/>
          <w:bCs/>
          <w:i w:val="false"/>
          <w:iCs w:val="false"/>
          <w:color w:val="000000"/>
          <w:highlight w:val="white"/>
        </w:rPr>
        <w:t xml:space="preserve"> show elevated gene expression in the spleen.</w:t>
      </w:r>
      <w:r>
        <w:rPr>
          <w:rStyle w:val="Emphasis"/>
          <w:rFonts w:ascii="Times New Roman" w:hAnsi="Times New Roman"/>
          <w:b w:val="false"/>
          <w:bCs w:val="false"/>
          <w:i w:val="false"/>
          <w:iCs w:val="false"/>
          <w:color w:val="000000"/>
          <w:highlight w:val="white"/>
        </w:rPr>
        <w:t xml:space="preserve"> Mice (NMRI) were infected with the wild derived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Brandenburg88 (EfalW), the laboratory isolate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(EfalL), and the wild derived isolate </w:t>
      </w:r>
      <w:r>
        <w:rPr>
          <w:rStyle w:val="Emphasis"/>
          <w:rFonts w:ascii="Times New Roman" w:hAnsi="Times New Roman"/>
          <w:b w:val="false"/>
          <w:bCs w:val="false"/>
          <w:i/>
          <w:iCs/>
          <w:color w:val="000000"/>
          <w:highlight w:val="white"/>
        </w:rPr>
        <w:t>E. ferrisi</w:t>
      </w:r>
      <w:r>
        <w:rPr>
          <w:rStyle w:val="Emphasis"/>
          <w:rFonts w:ascii="Times New Roman" w:hAnsi="Times New Roman"/>
          <w:b w:val="false"/>
          <w:bCs w:val="false"/>
          <w:i w:val="false"/>
          <w:iCs w:val="false"/>
          <w:color w:val="000000"/>
          <w:highlight w:val="white"/>
        </w:rPr>
        <w:t xml:space="preserve"> Brandenburg64 (EferW). Only </w:t>
      </w:r>
      <w:r>
        <w:rPr>
          <w:rStyle w:val="Emphasis"/>
          <w:rFonts w:ascii="Times New Roman" w:hAnsi="Times New Roman"/>
          <w:b w:val="false"/>
          <w:bCs w:val="false"/>
          <w:i/>
          <w:iCs/>
          <w:color w:val="000000"/>
          <w:highlight w:val="white"/>
        </w:rPr>
        <w:t>E. falciformis</w:t>
      </w:r>
      <w:r>
        <w:rPr>
          <w:rStyle w:val="Emphasis"/>
          <w:rFonts w:ascii="Times New Roman" w:hAnsi="Times New Roman"/>
          <w:b w:val="false"/>
          <w:bCs w:val="false"/>
          <w:i w:val="false"/>
          <w:iCs w:val="false"/>
          <w:color w:val="000000"/>
          <w:highlight w:val="white"/>
        </w:rPr>
        <w:t xml:space="preserve"> BayerHaberkorn1970 induces mRNA expression in the spleen elevated over non-infected control and over mice infected with both wild derived isolates. Mice were sacrificed at different time points post infection (dpi) and mRNA expression levels were assessed using quantitative PCR. Dots indicate normalized expression values for individual mice. Lines are drawn using local polynomial regression fitting (a “loess smoother”).</w:t>
      </w:r>
    </w:p>
    <w:p>
      <w:pPr>
        <w:pStyle w:val="TextBody"/>
        <w:spacing w:lineRule="auto" w:line="360"/>
        <w:jc w:val="both"/>
        <w:rPr>
          <w:rStyle w:val="Emphasis"/>
          <w:rFonts w:ascii="Times New Roman" w:hAnsi="Times New Roman"/>
          <w:b w:val="false"/>
          <w:b w:val="false"/>
          <w:bCs w:val="false"/>
          <w:i w:val="false"/>
          <w:i w:val="false"/>
          <w:iCs w:val="false"/>
          <w:color w:val="000000"/>
          <w:highlight w:val="white"/>
        </w:rPr>
      </w:pPr>
      <w:r>
        <w:rPr>
          <w:rFonts w:ascii="Times New Roman" w:hAnsi="Times New Roman"/>
          <w:b w:val="false"/>
          <w:bCs w:val="false"/>
          <w:i w:val="false"/>
          <w:iCs w:val="false"/>
          <w:color w:val="000000"/>
          <w:highlight w:val="white"/>
        </w:rPr>
      </w:r>
    </w:p>
    <w:p>
      <w:pPr>
        <w:pStyle w:val="TextBody"/>
        <w:spacing w:lineRule="auto" w:line="360"/>
        <w:jc w:val="both"/>
        <w:rPr/>
      </w:pPr>
      <w:r>
        <w:rPr>
          <w:rFonts w:ascii="Times New Roman" w:hAnsi="Times New Roman"/>
          <w:b/>
          <w:bCs/>
        </w:rPr>
        <w:t>Figure 5</w:t>
      </w:r>
      <w:r>
        <w:rPr>
          <w:rFonts w:ascii="Times New Roman" w:hAnsi="Times New Roman"/>
        </w:rPr>
        <w:t xml:space="preserve"> -</w:t>
      </w:r>
      <w:r>
        <w:rPr>
          <w:rFonts w:ascii="Times New Roman" w:hAnsi="Times New Roman"/>
          <w:b/>
          <w:bCs/>
        </w:rPr>
        <w:t xml:space="preserve"> Immune cell infiltration and parasites in histological caecum sections obtained from mice infected with different </w:t>
      </w:r>
      <w:r>
        <w:rPr>
          <w:rFonts w:ascii="Times New Roman" w:hAnsi="Times New Roman"/>
          <w:b/>
          <w:bCs/>
          <w:i/>
          <w:iCs/>
        </w:rPr>
        <w:t>Eimeria</w:t>
      </w:r>
      <w:r>
        <w:rPr>
          <w:rFonts w:ascii="Times New Roman" w:hAnsi="Times New Roman"/>
          <w:b/>
          <w:bCs/>
        </w:rPr>
        <w:t xml:space="preserve"> isolates</w:t>
      </w:r>
      <w:r>
        <w:rPr>
          <w:rFonts w:ascii="Times New Roman" w:hAnsi="Times New Roman"/>
        </w:rPr>
        <w:t xml:space="preserve">. NMRI mice were innoculated with 200 oocysts. a) Mice infected with the laboratory strain </w:t>
      </w:r>
      <w:r>
        <w:rPr>
          <w:rFonts w:ascii="Times New Roman" w:hAnsi="Times New Roman"/>
          <w:i/>
          <w:iCs/>
        </w:rPr>
        <w:t>E. falciformis</w:t>
      </w:r>
      <w:r>
        <w:rPr>
          <w:rFonts w:ascii="Times New Roman" w:hAnsi="Times New Roman"/>
        </w:rPr>
        <w:t xml:space="preserve"> BayerHaberkorn1970 show moderate inflammation (score 2, Table 3) at 3 dpi and strong inflammation b) at 5 dpi (score 3, Table 3). Infections with the wild derived isolate </w:t>
      </w:r>
      <w:r>
        <w:rPr>
          <w:rFonts w:ascii="Times New Roman" w:hAnsi="Times New Roman"/>
          <w:i/>
          <w:iCs/>
        </w:rPr>
        <w:t>E. ferrisi</w:t>
      </w:r>
      <w:r>
        <w:rPr>
          <w:rFonts w:ascii="Times New Roman" w:hAnsi="Times New Roman"/>
        </w:rPr>
        <w:t xml:space="preserve"> Brandenburg64 at c) 3 dpi and d) 5 dpi, show low numbers of infiltrating immune cells (score 1, Table 3). </w:t>
      </w:r>
      <w:r>
        <w:rPr/>
        <w:t xml:space="preserve">Evident inflammatory process (score 3= high, Table 3) is associated with appearance of sexual stages and developing oocysts (black arrows) of the </w:t>
      </w:r>
      <w:r>
        <w:rPr>
          <w:i/>
          <w:iCs/>
        </w:rPr>
        <w:t>E. falciformis</w:t>
      </w:r>
      <w:r>
        <w:rPr/>
        <w:t xml:space="preserve"> BayerHaberkorn1970 isolate at 7 dpi (e) and the wild derived isolate </w:t>
      </w:r>
      <w:r>
        <w:rPr>
          <w:i/>
          <w:iCs/>
        </w:rPr>
        <w:t>E. falciformis</w:t>
      </w:r>
      <w:r>
        <w:rPr/>
        <w:t xml:space="preserve"> Brandenburg88 at 9 dpi (f). The infiltrate consists mainly of lymphocytes and plasma cells. Note the high cellularity in the mucosa comprising lymphocytes in the lamina propria (LP) with fewer eosinophil and neutrophile in the LP and submucosa (SM). </w:t>
      </w:r>
      <w:r>
        <w:rPr>
          <w:rFonts w:ascii="Times New Roman" w:hAnsi="Times New Roman"/>
        </w:rPr>
        <w:t>Scale bar 50µm in a-d.</w:t>
      </w:r>
    </w:p>
    <w:p>
      <w:pPr>
        <w:pStyle w:val="TextBody"/>
        <w:spacing w:lineRule="auto" w:line="360" w:before="0" w:after="140"/>
        <w:jc w:val="both"/>
        <w:rPr/>
      </w:pPr>
      <w:r>
        <w:rPr/>
      </w:r>
    </w:p>
    <w:sectPr>
      <w:footerReference w:type="default" r:id="rId11"/>
      <w:type w:val="nextPage"/>
      <w:pgSz w:w="12240" w:h="15840"/>
      <w:pgMar w:left="1134" w:right="1134" w:header="0" w:top="1134" w:footer="0" w:bottom="1134" w:gutter="0"/>
      <w:pgNumType w:fmt="decimal"/>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9-08-14T13:37:38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Changed this to 14 days after the group discussion</w:t>
      </w:r>
    </w:p>
  </w:comment>
  <w:comment w:id="1" w:author="Unknown Author" w:date="2019-08-14T13:35:43Z" w:initials="">
    <w:p>
      <w:r>
        <w:rPr>
          <w:rFonts w:ascii="Liberation Serif" w:hAnsi="Liberation Serif" w:eastAsia="SimSun" w:cs="Lucida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GB" w:eastAsia="zh-CN" w:bidi="hi-IN"/>
        </w:rPr>
        <w:t>I don’t get this at all.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erif">
    <w:altName w:val="Times New Roman"/>
    <w:charset w:val="ee"/>
    <w:family w:val="swiss"/>
    <w:pitch w:val="variable"/>
  </w:font>
  <w:font w:name="OpenSymbol">
    <w:altName w:val="Arial Unicode MS"/>
    <w:charset w:val="ee"/>
    <w:family w:val="roman"/>
    <w:pitch w:val="variable"/>
  </w:font>
  <w:font w:name="Times New Roman">
    <w:charset w:val="ee"/>
    <w:family w:val="roman"/>
    <w:pitch w:val="variable"/>
  </w:font>
  <w:font w:name="Liberation Sans">
    <w:altName w:val="Arial"/>
    <w:charset w:val="ee"/>
    <w:family w:val="roman"/>
    <w:pitch w:val="variable"/>
  </w:font>
  <w:font w:name="Times new roman">
    <w:charset w:val="ee"/>
    <w:family w:val="roman"/>
    <w:pitch w:val="variable"/>
  </w:font>
  <w:font w:name="AdvTT5235d5a9">
    <w:charset w:val="ee"/>
    <w:family w:val="roman"/>
    <w:pitch w:val="variable"/>
  </w:font>
  <w:font w:name="Times New Roman">
    <w:charset w:val="01"/>
    <w:family w:val="roman"/>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376896903"/>
    </w:sdtPr>
    <w:sdtContent>
      <w:p>
        <w:pPr>
          <w:pStyle w:val="Footer"/>
          <w:jc w:val="right"/>
          <w:rPr/>
        </w:pPr>
        <w:r>
          <w:rPr/>
          <w:fldChar w:fldCharType="begin"/>
        </w:r>
        <w:r>
          <w:rPr/>
          <w:instrText> PAGE </w:instrText>
        </w:r>
        <w:r>
          <w:rPr/>
          <w:fldChar w:fldCharType="separate"/>
        </w:r>
        <w:r>
          <w:rPr/>
          <w:t>1</w:t>
        </w:r>
        <w:r>
          <w:rPr/>
          <w:fldChar w:fldCharType="end"/>
        </w:r>
      </w:p>
      <w:p>
        <w:pPr>
          <w:pStyle w:val="Footer"/>
          <w:rPr/>
        </w:pPr>
        <w:r>
          <w:rPr/>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47331257"/>
    </w:sdtPr>
    <w:sdtContent>
      <w:p>
        <w:pPr>
          <w:pStyle w:val="Footer"/>
          <w:jc w:val="right"/>
          <w:rPr/>
        </w:pPr>
        <w:r>
          <w:rPr/>
          <w:fldChar w:fldCharType="begin"/>
        </w:r>
        <w:r>
          <w:rPr/>
          <w:instrText> PAGE </w:instrText>
        </w:r>
        <w:r>
          <w:rPr/>
          <w:fldChar w:fldCharType="separate"/>
        </w:r>
        <w:r>
          <w:rPr/>
          <w:t>14</w:t>
        </w:r>
        <w:r>
          <w:rPr/>
          <w:fldChar w:fldCharType="end"/>
        </w:r>
      </w:p>
      <w:p>
        <w:pPr>
          <w:pStyle w:val="Footer"/>
          <w:rPr/>
        </w:pPr>
        <w:r>
          <w:rPr/>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27711631"/>
    </w:sdtPr>
    <w:sdtContent>
      <w:p>
        <w:pPr>
          <w:pStyle w:val="Footer"/>
          <w:jc w:val="right"/>
          <w:rPr/>
        </w:pPr>
        <w:r>
          <w:rPr/>
          <w:fldChar w:fldCharType="begin"/>
        </w:r>
        <w:r>
          <w:rPr/>
          <w:instrText> PAGE </w:instrText>
        </w:r>
        <w:r>
          <w:rPr/>
          <w:fldChar w:fldCharType="separate"/>
        </w:r>
        <w:r>
          <w:rPr/>
          <w:t>26</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5"/>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Cs w:val="24"/>
        <w:lang w:val="en-GB"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outlineLvl w:val="0"/>
    </w:pPr>
    <w:rPr>
      <w:rFonts w:ascii="Liberation Serif" w:hAnsi="Liberation Serif" w:eastAsia="Segoe UI" w:cs="Tahoma"/>
      <w:b/>
      <w:bCs/>
      <w:sz w:val="48"/>
      <w:szCs w:val="48"/>
    </w:rPr>
  </w:style>
  <w:style w:type="paragraph" w:styleId="Heading2">
    <w:name w:val="Heading 2"/>
    <w:basedOn w:val="Heading"/>
    <w:qFormat/>
    <w:pPr>
      <w:spacing w:before="200" w:after="120"/>
      <w:outlineLvl w:val="1"/>
    </w:pPr>
    <w:rPr>
      <w:rFonts w:ascii="Liberation Serif" w:hAnsi="Liberation Serif" w:eastAsia="Droid Sans Fallback" w:cs="DejaVu Sans"/>
      <w:b/>
      <w:bCs/>
      <w:sz w:val="36"/>
      <w:szCs w:val="36"/>
    </w:rPr>
  </w:style>
  <w:style w:type="paragraph" w:styleId="Heading3">
    <w:name w:val="Heading 3"/>
    <w:basedOn w:val="Heading"/>
    <w:qFormat/>
    <w:pPr>
      <w:spacing w:before="140" w:after="120"/>
      <w:outlineLvl w:val="2"/>
    </w:pPr>
    <w:rPr>
      <w:rFonts w:ascii="Liberation Serif" w:hAnsi="Liberation Serif" w:eastAsia="Droid Sans Fallback" w:cs="DejaVu Sans"/>
      <w:b/>
      <w:bCs/>
      <w:color w:val="808080"/>
    </w:rPr>
  </w:style>
  <w:style w:type="character" w:styleId="DefaultParagraphFont" w:default="1">
    <w:name w:val="Default Paragraph Font"/>
    <w:uiPriority w:val="1"/>
    <w:semiHidden/>
    <w:unhideWhenUsed/>
    <w:qFormat/>
    <w:rPr/>
  </w:style>
  <w:style w:type="character" w:styleId="Emphasis">
    <w:name w:val="Emphasis"/>
    <w:qFormat/>
    <w:rPr>
      <w:i/>
      <w:iCs/>
    </w:rPr>
  </w:style>
  <w:style w:type="character" w:styleId="InternetLink" w:customStyle="1">
    <w:name w:val="Internet Link"/>
    <w:basedOn w:val="DefaultParagraphFont"/>
    <w:uiPriority w:val="99"/>
    <w:unhideWhenUsed/>
    <w:rsid w:val="00a63da6"/>
    <w:rPr>
      <w:color w:val="0563C1" w:themeColor="hyperlink"/>
      <w:u w:val="single"/>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KommentartextZchn" w:customStyle="1">
    <w:name w:val="Kommentartext Zchn"/>
    <w:basedOn w:val="DefaultParagraphFont"/>
    <w:link w:val="Kommentartext"/>
    <w:uiPriority w:val="99"/>
    <w:qFormat/>
    <w:rPr>
      <w:rFonts w:cs="Mangal"/>
      <w:sz w:val="20"/>
      <w:szCs w:val="18"/>
    </w:rPr>
  </w:style>
  <w:style w:type="character" w:styleId="Annotationreference">
    <w:name w:val="annotation reference"/>
    <w:basedOn w:val="DefaultParagraphFont"/>
    <w:uiPriority w:val="99"/>
    <w:semiHidden/>
    <w:unhideWhenUsed/>
    <w:qFormat/>
    <w:rPr>
      <w:sz w:val="16"/>
      <w:szCs w:val="16"/>
    </w:rPr>
  </w:style>
  <w:style w:type="character" w:styleId="SprechblasentextZchn" w:customStyle="1">
    <w:name w:val="Sprechblasentext Zchn"/>
    <w:basedOn w:val="DefaultParagraphFont"/>
    <w:link w:val="Sprechblasentext"/>
    <w:uiPriority w:val="99"/>
    <w:semiHidden/>
    <w:qFormat/>
    <w:rsid w:val="001e5847"/>
    <w:rPr>
      <w:rFonts w:ascii="Times New Roman" w:hAnsi="Times New Roman" w:cs="Mangal"/>
      <w:sz w:val="18"/>
      <w:szCs w:val="16"/>
    </w:rPr>
  </w:style>
  <w:style w:type="character" w:styleId="KommentarthemaZchn" w:customStyle="1">
    <w:name w:val="Kommentarthema Zchn"/>
    <w:basedOn w:val="KommentartextZchn"/>
    <w:link w:val="Kommentarthema"/>
    <w:uiPriority w:val="99"/>
    <w:semiHidden/>
    <w:qFormat/>
    <w:rsid w:val="001e5847"/>
    <w:rPr>
      <w:rFonts w:cs="Mangal"/>
      <w:b/>
      <w:bCs/>
      <w:sz w:val="20"/>
      <w:szCs w:val="18"/>
    </w:rPr>
  </w:style>
  <w:style w:type="character" w:styleId="KopfzeileZchn" w:customStyle="1">
    <w:name w:val="Kopfzeile Zchn"/>
    <w:basedOn w:val="DefaultParagraphFont"/>
    <w:link w:val="Kopfzeile"/>
    <w:uiPriority w:val="99"/>
    <w:qFormat/>
    <w:rsid w:val="00b43efd"/>
    <w:rPr>
      <w:rFonts w:cs="Mangal"/>
      <w:szCs w:val="21"/>
    </w:rPr>
  </w:style>
  <w:style w:type="character" w:styleId="FuzeileZchn" w:customStyle="1">
    <w:name w:val="Fußzeile Zchn"/>
    <w:basedOn w:val="DefaultParagraphFont"/>
    <w:link w:val="Fuzeile"/>
    <w:uiPriority w:val="99"/>
    <w:qFormat/>
    <w:rsid w:val="00b43efd"/>
    <w:rPr>
      <w:rFonts w:cs="Mangal"/>
      <w:szCs w:val="21"/>
    </w:rPr>
  </w:style>
  <w:style w:type="character" w:styleId="ListLabel1" w:customStyle="1">
    <w:name w:val="ListLabel 1"/>
    <w:qFormat/>
    <w:rPr>
      <w:rFonts w:ascii="Times New Roman" w:hAnsi="Times New Roman"/>
      <w:i w:val="false"/>
      <w:iCs w:val="false"/>
      <w:color w:val="000000"/>
    </w:rPr>
  </w:style>
  <w:style w:type="character" w:styleId="ListLabel2" w:customStyle="1">
    <w:name w:val="ListLabel 2"/>
    <w:qFormat/>
    <w:rPr>
      <w:rFonts w:ascii="Times New Roman" w:hAnsi="Times New Roman"/>
      <w:color w:val="000000"/>
      <w:u w:val="none"/>
    </w:rPr>
  </w:style>
  <w:style w:type="character" w:styleId="ListLabel3" w:customStyle="1">
    <w:name w:val="ListLabel 3"/>
    <w:qFormat/>
    <w:rPr/>
  </w:style>
  <w:style w:type="character" w:styleId="ListLabel4" w:customStyle="1">
    <w:name w:val="ListLabel 4"/>
    <w:qFormat/>
    <w:rPr>
      <w:rFonts w:ascii="Times New Roman" w:hAnsi="Times New Roman"/>
      <w:i w:val="false"/>
      <w:iCs w:val="false"/>
      <w:color w:val="000000"/>
    </w:rPr>
  </w:style>
  <w:style w:type="character" w:styleId="ListLabel5" w:customStyle="1">
    <w:name w:val="ListLabel 5"/>
    <w:qFormat/>
    <w:rPr>
      <w:rFonts w:ascii="Times New Roman" w:hAnsi="Times New Roman"/>
      <w:color w:val="000000"/>
      <w:u w:val="none"/>
    </w:rPr>
  </w:style>
  <w:style w:type="character" w:styleId="ListLabel6" w:customStyle="1">
    <w:name w:val="ListLabel 6"/>
    <w:qFormat/>
    <w:rPr/>
  </w:style>
  <w:style w:type="character" w:styleId="ListLabel7" w:customStyle="1">
    <w:name w:val="ListLabel 7"/>
    <w:qFormat/>
    <w:rPr>
      <w:rFonts w:ascii="Times New Roman" w:hAnsi="Times New Roman"/>
      <w:i w:val="false"/>
      <w:iCs w:val="false"/>
      <w:color w:val="000000"/>
    </w:rPr>
  </w:style>
  <w:style w:type="character" w:styleId="ListLabel8" w:customStyle="1">
    <w:name w:val="ListLabel 8"/>
    <w:qFormat/>
    <w:rPr>
      <w:rFonts w:ascii="Times New Roman" w:hAnsi="Times New Roman"/>
      <w:color w:val="000000"/>
      <w:u w:val="none"/>
    </w:rPr>
  </w:style>
  <w:style w:type="character" w:styleId="ListLabel9" w:customStyle="1">
    <w:name w:val="ListLabel 9"/>
    <w:qFormat/>
    <w:rPr/>
  </w:style>
  <w:style w:type="character" w:styleId="ListLabel10" w:customStyle="1">
    <w:name w:val="ListLabel 10"/>
    <w:qFormat/>
    <w:rPr>
      <w:rFonts w:ascii="Times New Roman" w:hAnsi="Times New Roman"/>
      <w:i w:val="false"/>
      <w:iCs w:val="false"/>
      <w:color w:val="000000"/>
    </w:rPr>
  </w:style>
  <w:style w:type="character" w:styleId="ListLabel11" w:customStyle="1">
    <w:name w:val="ListLabel 11"/>
    <w:qFormat/>
    <w:rPr>
      <w:rFonts w:ascii="Times New Roman" w:hAnsi="Times New Roman"/>
      <w:color w:val="000000"/>
      <w:u w:val="none"/>
    </w:rPr>
  </w:style>
  <w:style w:type="character" w:styleId="ListLabel12" w:customStyle="1">
    <w:name w:val="ListLabel 12"/>
    <w:qFormat/>
    <w:rPr/>
  </w:style>
  <w:style w:type="character" w:styleId="ListLabel13" w:customStyle="1">
    <w:name w:val="ListLabel 13"/>
    <w:qFormat/>
    <w:rPr>
      <w:rFonts w:ascii="Times New Roman" w:hAnsi="Times New Roman"/>
      <w:i w:val="false"/>
      <w:iCs w:val="false"/>
      <w:color w:val="000000"/>
    </w:rPr>
  </w:style>
  <w:style w:type="character" w:styleId="ListLabel14" w:customStyle="1">
    <w:name w:val="ListLabel 14"/>
    <w:qFormat/>
    <w:rPr>
      <w:rFonts w:ascii="Times New Roman" w:hAnsi="Times New Roman"/>
      <w:color w:val="000000"/>
      <w:u w:val="none"/>
    </w:rPr>
  </w:style>
  <w:style w:type="character" w:styleId="ListLabel15" w:customStyle="1">
    <w:name w:val="ListLabel 15"/>
    <w:qFormat/>
    <w:rPr/>
  </w:style>
  <w:style w:type="character" w:styleId="ListLabel16" w:customStyle="1">
    <w:name w:val="ListLabel 16"/>
    <w:qFormat/>
    <w:rPr>
      <w:rFonts w:ascii="Times New Roman" w:hAnsi="Times New Roman"/>
      <w:i w:val="false"/>
      <w:iCs w:val="false"/>
      <w:color w:val="000000"/>
    </w:rPr>
  </w:style>
  <w:style w:type="character" w:styleId="ListLabel17" w:customStyle="1">
    <w:name w:val="ListLabel 17"/>
    <w:qFormat/>
    <w:rPr>
      <w:rFonts w:ascii="Times New Roman" w:hAnsi="Times New Roman"/>
      <w:color w:val="000000"/>
      <w:u w:val="none"/>
    </w:rPr>
  </w:style>
  <w:style w:type="character" w:styleId="ListLabel18" w:customStyle="1">
    <w:name w:val="ListLabel 18"/>
    <w:qFormat/>
    <w:rPr/>
  </w:style>
  <w:style w:type="character" w:styleId="ListLabel19" w:customStyle="1">
    <w:name w:val="ListLabel 19"/>
    <w:qFormat/>
    <w:rPr>
      <w:rFonts w:ascii="Times New Roman" w:hAnsi="Times New Roman"/>
      <w:i w:val="false"/>
      <w:iCs w:val="false"/>
      <w:color w:val="000000"/>
    </w:rPr>
  </w:style>
  <w:style w:type="character" w:styleId="ListLabel20" w:customStyle="1">
    <w:name w:val="ListLabel 20"/>
    <w:qFormat/>
    <w:rPr>
      <w:rFonts w:ascii="Times New Roman" w:hAnsi="Times New Roman"/>
      <w:color w:val="000000"/>
      <w:u w:val="none"/>
    </w:rPr>
  </w:style>
  <w:style w:type="character" w:styleId="ListLabel21" w:customStyle="1">
    <w:name w:val="ListLabel 21"/>
    <w:qFormat/>
    <w:rPr/>
  </w:style>
  <w:style w:type="character" w:styleId="ListLabel22" w:customStyle="1">
    <w:name w:val="ListLabel 22"/>
    <w:qFormat/>
    <w:rPr>
      <w:rFonts w:ascii="Times New Roman" w:hAnsi="Times New Roman"/>
      <w:i w:val="false"/>
      <w:iCs w:val="false"/>
      <w:color w:val="000000"/>
    </w:rPr>
  </w:style>
  <w:style w:type="character" w:styleId="ListLabel23" w:customStyle="1">
    <w:name w:val="ListLabel 23"/>
    <w:qFormat/>
    <w:rPr>
      <w:rFonts w:ascii="Times New Roman" w:hAnsi="Times New Roman"/>
      <w:color w:val="000000"/>
      <w:u w:val="none"/>
    </w:rPr>
  </w:style>
  <w:style w:type="character" w:styleId="ListLabel24" w:customStyle="1">
    <w:name w:val="ListLabel 24"/>
    <w:qFormat/>
    <w:rPr/>
  </w:style>
  <w:style w:type="character" w:styleId="ListLabel25" w:customStyle="1">
    <w:name w:val="ListLabel 25"/>
    <w:qFormat/>
    <w:rPr>
      <w:rFonts w:ascii="Times New Roman" w:hAnsi="Times New Roman"/>
      <w:i w:val="false"/>
      <w:iCs w:val="false"/>
      <w:color w:val="000000"/>
    </w:rPr>
  </w:style>
  <w:style w:type="character" w:styleId="ListLabel26" w:customStyle="1">
    <w:name w:val="ListLabel 26"/>
    <w:qFormat/>
    <w:rPr>
      <w:rFonts w:ascii="Times New Roman" w:hAnsi="Times New Roman"/>
      <w:color w:val="000000"/>
      <w:u w:val="none"/>
    </w:rPr>
  </w:style>
  <w:style w:type="character" w:styleId="ListLabel27" w:customStyle="1">
    <w:name w:val="ListLabel 27"/>
    <w:qFormat/>
    <w:rPr/>
  </w:style>
  <w:style w:type="character" w:styleId="ListLabel28" w:customStyle="1">
    <w:name w:val="ListLabel 28"/>
    <w:qFormat/>
    <w:rPr>
      <w:rFonts w:ascii="Times New Roman" w:hAnsi="Times New Roman"/>
      <w:i w:val="false"/>
      <w:iCs w:val="false"/>
      <w:color w:val="000000"/>
    </w:rPr>
  </w:style>
  <w:style w:type="character" w:styleId="ListLabel29" w:customStyle="1">
    <w:name w:val="ListLabel 29"/>
    <w:qFormat/>
    <w:rPr>
      <w:rFonts w:ascii="Times New Roman" w:hAnsi="Times New Roman"/>
      <w:color w:val="000000"/>
      <w:u w:val="none"/>
    </w:rPr>
  </w:style>
  <w:style w:type="character" w:styleId="ListLabel30" w:customStyle="1">
    <w:name w:val="ListLabel 30"/>
    <w:qFormat/>
    <w:rPr/>
  </w:style>
  <w:style w:type="character" w:styleId="ListLabel31" w:customStyle="1">
    <w:name w:val="ListLabel 31"/>
    <w:qFormat/>
    <w:rPr>
      <w:rFonts w:ascii="Times New Roman" w:hAnsi="Times New Roman"/>
      <w:i w:val="false"/>
      <w:iCs w:val="false"/>
      <w:color w:val="000000"/>
    </w:rPr>
  </w:style>
  <w:style w:type="character" w:styleId="ListLabel32" w:customStyle="1">
    <w:name w:val="ListLabel 32"/>
    <w:qFormat/>
    <w:rPr>
      <w:rFonts w:ascii="Times New Roman" w:hAnsi="Times New Roman"/>
      <w:color w:val="000000"/>
      <w:u w:val="none"/>
    </w:rPr>
  </w:style>
  <w:style w:type="character" w:styleId="ListLabel33" w:customStyle="1">
    <w:name w:val="ListLabel 33"/>
    <w:qFormat/>
    <w:rPr/>
  </w:style>
  <w:style w:type="character" w:styleId="ListLabel34" w:customStyle="1">
    <w:name w:val="ListLabel 34"/>
    <w:qFormat/>
    <w:rPr>
      <w:rFonts w:ascii="Times New Roman" w:hAnsi="Times New Roman"/>
      <w:i w:val="false"/>
      <w:iCs w:val="false"/>
      <w:color w:val="000000"/>
    </w:rPr>
  </w:style>
  <w:style w:type="character" w:styleId="ListLabel35" w:customStyle="1">
    <w:name w:val="ListLabel 35"/>
    <w:qFormat/>
    <w:rPr>
      <w:rFonts w:ascii="Times New Roman" w:hAnsi="Times New Roman"/>
      <w:color w:val="000000"/>
      <w:u w:val="none"/>
    </w:rPr>
  </w:style>
  <w:style w:type="character" w:styleId="ListLabel36" w:customStyle="1">
    <w:name w:val="ListLabel 36"/>
    <w:qFormat/>
    <w:rPr/>
  </w:style>
  <w:style w:type="character" w:styleId="ListLabel37" w:customStyle="1">
    <w:name w:val="ListLabel 37"/>
    <w:qFormat/>
    <w:rPr>
      <w:rFonts w:ascii="Times New Roman" w:hAnsi="Times New Roman"/>
      <w:i w:val="false"/>
      <w:iCs w:val="false"/>
      <w:color w:val="000000"/>
    </w:rPr>
  </w:style>
  <w:style w:type="character" w:styleId="ListLabel38" w:customStyle="1">
    <w:name w:val="ListLabel 38"/>
    <w:qFormat/>
    <w:rPr>
      <w:rFonts w:ascii="Times New Roman" w:hAnsi="Times New Roman"/>
      <w:color w:val="000000"/>
      <w:u w:val="none"/>
    </w:rPr>
  </w:style>
  <w:style w:type="character" w:styleId="ListLabel39" w:customStyle="1">
    <w:name w:val="ListLabel 39"/>
    <w:qFormat/>
    <w:rPr/>
  </w:style>
  <w:style w:type="character" w:styleId="ListLabel40" w:customStyle="1">
    <w:name w:val="ListLabel 40"/>
    <w:qFormat/>
    <w:rPr>
      <w:rFonts w:ascii="Times New Roman" w:hAnsi="Times New Roman"/>
      <w:i w:val="false"/>
      <w:iCs w:val="false"/>
      <w:color w:val="000000"/>
    </w:rPr>
  </w:style>
  <w:style w:type="character" w:styleId="ListLabel41" w:customStyle="1">
    <w:name w:val="ListLabel 41"/>
    <w:qFormat/>
    <w:rPr>
      <w:rFonts w:ascii="Times New Roman" w:hAnsi="Times New Roman"/>
      <w:color w:val="000000"/>
      <w:u w:val="none"/>
    </w:rPr>
  </w:style>
  <w:style w:type="character" w:styleId="ListLabel42" w:customStyle="1">
    <w:name w:val="ListLabel 42"/>
    <w:qFormat/>
    <w:rPr/>
  </w:style>
  <w:style w:type="character" w:styleId="ListLabel43" w:customStyle="1">
    <w:name w:val="ListLabel 43"/>
    <w:qFormat/>
    <w:rPr>
      <w:rFonts w:ascii="Times New Roman" w:hAnsi="Times New Roman"/>
      <w:i w:val="false"/>
      <w:iCs w:val="false"/>
      <w:color w:val="000000"/>
    </w:rPr>
  </w:style>
  <w:style w:type="character" w:styleId="ListLabel44" w:customStyle="1">
    <w:name w:val="ListLabel 44"/>
    <w:qFormat/>
    <w:rPr>
      <w:rFonts w:ascii="Times New Roman" w:hAnsi="Times New Roman"/>
      <w:color w:val="000000"/>
      <w:u w:val="none"/>
    </w:rPr>
  </w:style>
  <w:style w:type="character" w:styleId="ListLabel45" w:customStyle="1">
    <w:name w:val="ListLabel 45"/>
    <w:qFormat/>
    <w:rPr/>
  </w:style>
  <w:style w:type="character" w:styleId="ListLabel46" w:customStyle="1">
    <w:name w:val="ListLabel 46"/>
    <w:qFormat/>
    <w:rPr>
      <w:rFonts w:ascii="Times New Roman" w:hAnsi="Times New Roman"/>
      <w:i w:val="false"/>
      <w:iCs w:val="false"/>
      <w:color w:val="000000"/>
    </w:rPr>
  </w:style>
  <w:style w:type="character" w:styleId="ListLabel47" w:customStyle="1">
    <w:name w:val="ListLabel 47"/>
    <w:qFormat/>
    <w:rPr>
      <w:rFonts w:ascii="Times New Roman" w:hAnsi="Times New Roman"/>
      <w:color w:val="000000"/>
      <w:u w:val="none"/>
    </w:rPr>
  </w:style>
  <w:style w:type="character" w:styleId="ListLabel48" w:customStyle="1">
    <w:name w:val="ListLabel 48"/>
    <w:qFormat/>
    <w:rPr/>
  </w:style>
  <w:style w:type="character" w:styleId="ListLabel49" w:customStyle="1">
    <w:name w:val="ListLabel 49"/>
    <w:qFormat/>
    <w:rPr>
      <w:rFonts w:ascii="Times New Roman" w:hAnsi="Times New Roman"/>
      <w:i w:val="false"/>
      <w:iCs w:val="false"/>
      <w:color w:val="000000"/>
    </w:rPr>
  </w:style>
  <w:style w:type="character" w:styleId="ListLabel50" w:customStyle="1">
    <w:name w:val="ListLabel 50"/>
    <w:qFormat/>
    <w:rPr>
      <w:rFonts w:ascii="Times New Roman" w:hAnsi="Times New Roman"/>
      <w:color w:val="000000"/>
      <w:u w:val="none"/>
    </w:rPr>
  </w:style>
  <w:style w:type="character" w:styleId="ListLabel51" w:customStyle="1">
    <w:name w:val="ListLabel 51"/>
    <w:qFormat/>
    <w:rPr/>
  </w:style>
  <w:style w:type="character" w:styleId="ListLabel52" w:customStyle="1">
    <w:name w:val="ListLabel 52"/>
    <w:qFormat/>
    <w:rPr>
      <w:rFonts w:ascii="Times New Roman" w:hAnsi="Times New Roman"/>
      <w:i w:val="false"/>
      <w:iCs w:val="false"/>
      <w:color w:val="000000"/>
    </w:rPr>
  </w:style>
  <w:style w:type="character" w:styleId="ListLabel53" w:customStyle="1">
    <w:name w:val="ListLabel 53"/>
    <w:qFormat/>
    <w:rPr>
      <w:rFonts w:ascii="Times New Roman" w:hAnsi="Times New Roman"/>
      <w:color w:val="000000"/>
      <w:u w:val="none"/>
    </w:rPr>
  </w:style>
  <w:style w:type="character" w:styleId="ListLabel54" w:customStyle="1">
    <w:name w:val="ListLabel 54"/>
    <w:qFormat/>
    <w:rPr/>
  </w:style>
  <w:style w:type="character" w:styleId="ListLabel55" w:customStyle="1">
    <w:name w:val="ListLabel 55"/>
    <w:qFormat/>
    <w:rPr>
      <w:rFonts w:eastAsia="SimSun" w:cs="Lucida Sans"/>
      <w:color w:val="00000A"/>
      <w:kern w:val="2"/>
      <w:sz w:val="24"/>
      <w:szCs w:val="24"/>
      <w:lang w:val="de-DE" w:eastAsia="zh-CN" w:bidi="hi-IN"/>
    </w:rPr>
  </w:style>
  <w:style w:type="character" w:styleId="ListLabel56" w:customStyle="1">
    <w:name w:val="ListLabel 56"/>
    <w:qFormat/>
    <w:rPr>
      <w:rFonts w:ascii="Times New Roman" w:hAnsi="Times New Roman"/>
      <w:i w:val="false"/>
      <w:iCs w:val="false"/>
      <w:color w:val="000000"/>
    </w:rPr>
  </w:style>
  <w:style w:type="character" w:styleId="ListLabel57" w:customStyle="1">
    <w:name w:val="ListLabel 57"/>
    <w:qFormat/>
    <w:rPr>
      <w:rFonts w:ascii="Times New Roman" w:hAnsi="Times New Roman"/>
      <w:color w:val="000000"/>
      <w:u w:val="none"/>
    </w:rPr>
  </w:style>
  <w:style w:type="character" w:styleId="ListLabel58" w:customStyle="1">
    <w:name w:val="ListLabel 58"/>
    <w:qFormat/>
    <w:rPr/>
  </w:style>
  <w:style w:type="character" w:styleId="ListLabel59" w:customStyle="1">
    <w:name w:val="ListLabel 59"/>
    <w:qFormat/>
    <w:rPr>
      <w:rFonts w:eastAsia="SimSun" w:cs="Lucida Sans"/>
      <w:color w:val="00000A"/>
      <w:kern w:val="2"/>
      <w:sz w:val="24"/>
      <w:szCs w:val="24"/>
      <w:lang w:val="de-DE" w:eastAsia="zh-CN" w:bidi="hi-IN"/>
    </w:rPr>
  </w:style>
  <w:style w:type="character" w:styleId="Quotation" w:customStyle="1">
    <w:name w:val="Quotation"/>
    <w:qFormat/>
    <w:rPr>
      <w:i/>
      <w:iCs/>
    </w:rPr>
  </w:style>
  <w:style w:type="character" w:styleId="ListLabel60">
    <w:name w:val="ListLabel 60"/>
    <w:qFormat/>
    <w:rPr>
      <w:rFonts w:ascii="Times New Roman" w:hAnsi="Times New Roman"/>
      <w:i w:val="false"/>
      <w:iCs w:val="false"/>
      <w:color w:val="000000"/>
    </w:rPr>
  </w:style>
  <w:style w:type="character" w:styleId="ListLabel61">
    <w:name w:val="ListLabel 61"/>
    <w:qFormat/>
    <w:rPr>
      <w:rFonts w:ascii="Times New Roman" w:hAnsi="Times New Roman"/>
      <w:color w:val="000000"/>
      <w:u w:val="none"/>
    </w:rPr>
  </w:style>
  <w:style w:type="character" w:styleId="ListLabel62">
    <w:name w:val="ListLabel 62"/>
    <w:qFormat/>
    <w:rPr>
      <w:lang w:val="de-DE"/>
    </w:rPr>
  </w:style>
  <w:style w:type="character" w:styleId="ListLabel63">
    <w:name w:val="ListLabel 63"/>
    <w:qFormat/>
    <w:rPr>
      <w:color w:val="00000A"/>
      <w:u w:val="none"/>
    </w:rPr>
  </w:style>
  <w:style w:type="character" w:styleId="ListLabel64">
    <w:name w:val="ListLabel 64"/>
    <w:qFormat/>
    <w:rPr>
      <w:rFonts w:ascii="Times New Roman" w:hAnsi="Times New Roman"/>
      <w:i w:val="false"/>
      <w:iCs w:val="false"/>
      <w:color w:val="000000"/>
    </w:rPr>
  </w:style>
  <w:style w:type="character" w:styleId="ListLabel65">
    <w:name w:val="ListLabel 65"/>
    <w:qFormat/>
    <w:rPr>
      <w:rFonts w:ascii="Times New Roman" w:hAnsi="Times New Roman"/>
      <w:color w:val="000000"/>
      <w:u w:val="none"/>
    </w:rPr>
  </w:style>
  <w:style w:type="character" w:styleId="ListLabel66">
    <w:name w:val="ListLabel 66"/>
    <w:qFormat/>
    <w:rPr>
      <w:color w:val="00000A"/>
      <w:u w:val="none"/>
    </w:rPr>
  </w:style>
  <w:style w:type="character" w:styleId="ListLabel67">
    <w:name w:val="ListLabel 67"/>
    <w:qFormat/>
    <w:rPr>
      <w:rFonts w:ascii="Times New Roman" w:hAnsi="Times New Roman"/>
      <w:i w:val="false"/>
      <w:iCs w:val="false"/>
      <w:color w:val="000000"/>
    </w:rPr>
  </w:style>
  <w:style w:type="character" w:styleId="ListLabel68">
    <w:name w:val="ListLabel 68"/>
    <w:qFormat/>
    <w:rPr>
      <w:rFonts w:ascii="Times New Roman" w:hAnsi="Times New Roman"/>
      <w:color w:val="000000"/>
      <w:u w:val="none"/>
    </w:rPr>
  </w:style>
  <w:style w:type="character" w:styleId="ListLabel69">
    <w:name w:val="ListLabel 69"/>
    <w:qFormat/>
    <w:rPr>
      <w:rFonts w:ascii="Times New Roman" w:hAnsi="Times New Roman"/>
      <w:i w:val="false"/>
      <w:iCs w:val="false"/>
      <w:color w:val="000000"/>
    </w:rPr>
  </w:style>
  <w:style w:type="character" w:styleId="ListLabel70">
    <w:name w:val="ListLabel 70"/>
    <w:qFormat/>
    <w:rPr>
      <w:rFonts w:ascii="Times New Roman" w:hAnsi="Times New Roman"/>
      <w:color w:val="000000"/>
      <w:u w:val="none"/>
    </w:rPr>
  </w:style>
  <w:style w:type="character" w:styleId="ListLabel71">
    <w:name w:val="ListLabel 71"/>
    <w:qFormat/>
    <w:rPr>
      <w:rFonts w:ascii="Times New Roman" w:hAnsi="Times New Roman"/>
      <w:i w:val="false"/>
      <w:iCs w:val="false"/>
      <w:color w:val="000000"/>
    </w:rPr>
  </w:style>
  <w:style w:type="character" w:styleId="ListLabel72">
    <w:name w:val="ListLabel 72"/>
    <w:qFormat/>
    <w:rPr>
      <w:rFonts w:ascii="Times New Roman" w:hAnsi="Times New Roman"/>
      <w:color w:val="000000"/>
      <w:u w:val="none"/>
    </w:rPr>
  </w:style>
  <w:style w:type="character" w:styleId="ListLabel73">
    <w:name w:val="ListLabel 73"/>
    <w:qFormat/>
    <w:rPr>
      <w:rFonts w:ascii="Times New Roman" w:hAnsi="Times New Roman"/>
      <w:i w:val="false"/>
      <w:iCs w:val="false"/>
      <w:color w:val="000000"/>
    </w:rPr>
  </w:style>
  <w:style w:type="character" w:styleId="ListLabel74">
    <w:name w:val="ListLabel 74"/>
    <w:qFormat/>
    <w:rPr>
      <w:rFonts w:ascii="Times New Roman" w:hAnsi="Times New Roman"/>
      <w:color w:val="000000"/>
      <w:u w:val="none"/>
    </w:rPr>
  </w:style>
  <w:style w:type="character" w:styleId="ListLabel75">
    <w:name w:val="ListLabel 75"/>
    <w:qFormat/>
    <w:rPr>
      <w:rFonts w:ascii="Times New Roman" w:hAnsi="Times New Roman"/>
      <w:i w:val="false"/>
      <w:iCs w:val="false"/>
      <w:color w:val="000000"/>
    </w:rPr>
  </w:style>
  <w:style w:type="character" w:styleId="ListLabel76">
    <w:name w:val="ListLabel 76"/>
    <w:qFormat/>
    <w:rPr>
      <w:rFonts w:ascii="Times New Roman" w:hAnsi="Times New Roman"/>
      <w:color w:val="000000"/>
      <w:u w:val="none"/>
    </w:rPr>
  </w:style>
  <w:style w:type="character" w:styleId="ListLabel77">
    <w:name w:val="ListLabel 77"/>
    <w:qFormat/>
    <w:rPr>
      <w:rFonts w:ascii="Times New Roman" w:hAnsi="Times New Roman" w:cs="OpenSymbol"/>
      <w:b w:val="false"/>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ascii="Times New Roman" w:hAnsi="Times New Roman"/>
      <w:i w:val="false"/>
      <w:iCs w:val="false"/>
      <w:color w:val="000000"/>
    </w:rPr>
  </w:style>
  <w:style w:type="character" w:styleId="ListLabel87">
    <w:name w:val="ListLabel 87"/>
    <w:qFormat/>
    <w:rPr>
      <w:rFonts w:ascii="Times New Roman" w:hAnsi="Times New Roman"/>
      <w:color w:val="000000"/>
      <w:u w:val="none"/>
    </w:rPr>
  </w:style>
  <w:style w:type="character" w:styleId="ListLabel88">
    <w:name w:val="ListLabel 88"/>
    <w:qFormat/>
    <w:rPr>
      <w:rFonts w:ascii="Times New Roman" w:hAnsi="Times New Roman" w:cs="OpenSymbol"/>
      <w:b w:val="false"/>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ascii="Times New Roman" w:hAnsi="Times New Roman"/>
      <w:i w:val="false"/>
      <w:iCs w:val="false"/>
      <w:color w:val="000000"/>
    </w:rPr>
  </w:style>
  <w:style w:type="character" w:styleId="ListLabel98">
    <w:name w:val="ListLabel 98"/>
    <w:qFormat/>
    <w:rPr>
      <w:rFonts w:ascii="Times New Roman" w:hAnsi="Times New Roman"/>
      <w:color w:val="000000"/>
      <w:u w:val="none"/>
    </w:rPr>
  </w:style>
  <w:style w:type="character" w:styleId="ListLabel99">
    <w:name w:val="ListLabel 99"/>
    <w:qFormat/>
    <w:rPr>
      <w:rFonts w:ascii="Times New Roman" w:hAnsi="Times New Roman" w:cs="OpenSymbol"/>
      <w:b w:val="false"/>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ascii="Times New Roman" w:hAnsi="Times New Roman"/>
      <w:i w:val="false"/>
      <w:iCs w:val="false"/>
      <w:color w:val="000000"/>
    </w:rPr>
  </w:style>
  <w:style w:type="character" w:styleId="ListLabel109">
    <w:name w:val="ListLabel 109"/>
    <w:qFormat/>
    <w:rPr>
      <w:rFonts w:ascii="Times New Roman" w:hAnsi="Times New Roman"/>
      <w:color w:val="000000"/>
      <w:u w:val="none"/>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extBodyIndent">
    <w:name w:val="Body Text Indent"/>
    <w:basedOn w:val="TextBody"/>
    <w:qFormat/>
    <w:pPr/>
    <w:rPr/>
  </w:style>
  <w:style w:type="paragraph" w:styleId="TableContents" w:customStyle="1">
    <w:name w:val="Table Contents"/>
    <w:basedOn w:val="Normal"/>
    <w:qFormat/>
    <w:pPr>
      <w:suppressLineNumbers/>
    </w:pPr>
    <w:rPr/>
  </w:style>
  <w:style w:type="paragraph" w:styleId="Bibliography1" w:customStyle="1">
    <w:name w:val="Bibliography 1"/>
    <w:basedOn w:val="Index"/>
    <w:qFormat/>
    <w:pPr>
      <w:spacing w:lineRule="atLeast" w:line="240"/>
      <w:ind w:left="720" w:hanging="720"/>
    </w:pPr>
    <w:rPr/>
  </w:style>
  <w:style w:type="paragraph" w:styleId="Annotationtext">
    <w:name w:val="annotation text"/>
    <w:basedOn w:val="Normal"/>
    <w:link w:val="KommentartextZchn"/>
    <w:uiPriority w:val="99"/>
    <w:unhideWhenUsed/>
    <w:qFormat/>
    <w:pPr/>
    <w:rPr>
      <w:rFonts w:cs="Mangal"/>
      <w:sz w:val="20"/>
      <w:szCs w:val="18"/>
    </w:rPr>
  </w:style>
  <w:style w:type="paragraph" w:styleId="BalloonText">
    <w:name w:val="Balloon Text"/>
    <w:basedOn w:val="Normal"/>
    <w:link w:val="SprechblasentextZchn"/>
    <w:uiPriority w:val="99"/>
    <w:semiHidden/>
    <w:unhideWhenUsed/>
    <w:qFormat/>
    <w:rsid w:val="001e5847"/>
    <w:pPr/>
    <w:rPr>
      <w:rFonts w:ascii="Times New Roman" w:hAnsi="Times New Roman" w:cs="Mangal"/>
      <w:sz w:val="18"/>
      <w:szCs w:val="16"/>
    </w:rPr>
  </w:style>
  <w:style w:type="paragraph" w:styleId="Annotationsubject">
    <w:name w:val="annotation subject"/>
    <w:basedOn w:val="Annotationtext"/>
    <w:link w:val="KommentarthemaZchn"/>
    <w:uiPriority w:val="99"/>
    <w:semiHidden/>
    <w:unhideWhenUsed/>
    <w:qFormat/>
    <w:rsid w:val="001e5847"/>
    <w:pPr/>
    <w:rPr>
      <w:b/>
      <w:bCs/>
    </w:rPr>
  </w:style>
  <w:style w:type="paragraph" w:styleId="NormalWeb">
    <w:name w:val="Normal (Web)"/>
    <w:basedOn w:val="Normal"/>
    <w:uiPriority w:val="99"/>
    <w:semiHidden/>
    <w:unhideWhenUsed/>
    <w:qFormat/>
    <w:rsid w:val="00250340"/>
    <w:pPr>
      <w:spacing w:beforeAutospacing="1" w:afterAutospacing="1"/>
    </w:pPr>
    <w:rPr>
      <w:rFonts w:ascii="Times New Roman" w:hAnsi="Times New Roman" w:eastAsia="Times New Roman" w:cs="Times New Roman"/>
      <w:kern w:val="0"/>
      <w:lang w:val="de-DE" w:eastAsia="en-US" w:bidi="ar-SA"/>
    </w:rPr>
  </w:style>
  <w:style w:type="paragraph" w:styleId="Header">
    <w:name w:val="Header"/>
    <w:basedOn w:val="Normal"/>
    <w:link w:val="KopfzeileZchn"/>
    <w:uiPriority w:val="99"/>
    <w:unhideWhenUsed/>
    <w:rsid w:val="00b43efd"/>
    <w:pPr>
      <w:tabs>
        <w:tab w:val="clear" w:pos="720"/>
        <w:tab w:val="center" w:pos="4536" w:leader="none"/>
        <w:tab w:val="right" w:pos="9072" w:leader="none"/>
      </w:tabs>
    </w:pPr>
    <w:rPr>
      <w:rFonts w:cs="Mangal"/>
      <w:szCs w:val="21"/>
    </w:rPr>
  </w:style>
  <w:style w:type="paragraph" w:styleId="Footer">
    <w:name w:val="Footer"/>
    <w:basedOn w:val="Normal"/>
    <w:link w:val="FuzeileZchn"/>
    <w:uiPriority w:val="99"/>
    <w:unhideWhenUsed/>
    <w:rsid w:val="00b43efd"/>
    <w:pPr>
      <w:tabs>
        <w:tab w:val="clear" w:pos="720"/>
        <w:tab w:val="center" w:pos="4536" w:leader="none"/>
        <w:tab w:val="right" w:pos="9072" w:leader="none"/>
      </w:tabs>
    </w:pPr>
    <w:rPr>
      <w:rFonts w:cs="Mangal"/>
      <w:szCs w:val="21"/>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term=McDonald V%5BAuthor%5D&amp;cauthor=true&amp;cauthor_uid=6877863" TargetMode="External"/><Relationship Id="rId3" Type="http://schemas.openxmlformats.org/officeDocument/2006/relationships/hyperlink" Target="https://www.ncbi.nlm.nih.gov/pubmed/?term=Ballingall S%5BAuthor%5D&amp;cauthor=true&amp;cauthor_uid=6877863" TargetMode="External"/><Relationship Id="rId4" Type="http://schemas.openxmlformats.org/officeDocument/2006/relationships/hyperlink" Target="https://www.ncbi.nlm.nih.gov/pubmed/?term=Shirley MW%5BAuthor%5D&amp;cauthor=true&amp;cauthor_uid=3375582" TargetMode="External"/><Relationship Id="rId5" Type="http://schemas.openxmlformats.org/officeDocument/2006/relationships/hyperlink" Target="https://www.ncbi.nlm.nih.gov/pubmed/?term=Bellatti MA%5BAuthor%5D&amp;cauthor=true&amp;cauthor_uid=3375582" TargetMode="External"/><Relationship Id="rId6"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7"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8" Type="http://schemas.openxmlformats.org/officeDocument/2006/relationships/hyperlink" Target="https://www.google.de/url?sa=t&amp;rct=j&amp;q=&amp;esrc=s&amp;source=web&amp;cd=1&amp;cad=rja&amp;uact=8&amp;ved=0ahUKEwi__puD3IfYAhXGKlAKHYjaDEAQFgg4MAA&amp;url=https%3A%2F%2Fwww.thermofisher.com%2Forder%2Fcatalog%2Fproduct%2F12183018A&amp;usg=AOvVaw0FVD2VXdCZI8KVSaguQkxK" TargetMode="Externa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comments" Target="comment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30BF-CEB2-4149-8839-4E60B083C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3508</TotalTime>
  <Application>LibreOffice/6.2.3.2$Windows_X86_64 LibreOffice_project/aecc05fe267cc68dde00352a451aa867b3b546ac</Application>
  <Pages>27</Pages>
  <Words>10117</Words>
  <Characters>57805</Characters>
  <CharactersWithSpaces>67388</CharactersWithSpaces>
  <Paragraphs>515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2019-03-26T11:47:00Z</dcterms:created>
  <dc:creator>Alexandra Weyrich</dc:creator>
  <dc:description/>
  <dc:language>en-GB</dc:language>
  <cp:lastModifiedBy/>
  <cp:lastPrinted>2019-03-26T17:18:00Z</cp:lastPrinted>
  <dcterms:modified xsi:type="dcterms:W3CDTF">2019-08-14T15:54:05Z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zotero-version="5.0.47"&gt;&lt;session id="eZhEhz8W"/&gt;&lt;style id="http://www.zotero.org/styles/elsevier-harvard" hasBibliography="1" bibliographyStyleHasBeenSet="1"/&gt;&lt;prefs&gt;&lt;pref name="fieldType" value="ReferenceMark"/&gt;&lt;pref name="automati</vt:lpwstr>
  </property>
  <property fmtid="{D5CDD505-2E9C-101B-9397-08002B2CF9AE}" pid="9" name="ZOTERO_PREF_2">
    <vt:lpwstr>cJournalAbbreviations" value="true"/&gt;&lt;/prefs&gt;&lt;/data&gt;</vt:lpwstr>
  </property>
</Properties>
</file>