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Атака ATI на протокол SS7</w:t>
      </w:r>
    </w:p>
    <w:p>
      <w:pPr>
        <w:pStyle w:val="Author"/>
      </w:pPr>
      <w:r>
        <w:t xml:space="preserve">Панченко Д.Д. 1132229056</w:t>
      </w:r>
    </w:p>
    <w:p>
      <w:pPr>
        <w:pStyle w:val="Author"/>
      </w:pPr>
      <w:r>
        <w:t xml:space="preserve">Савурская П.А. 1132222827</w:t>
      </w:r>
    </w:p>
    <w:p>
      <w:pPr>
        <w:pStyle w:val="Author"/>
      </w:pPr>
      <w:r>
        <w:t xml:space="preserve">Кочарян Н.Р. 1132221541</w:t>
      </w:r>
    </w:p>
    <w:p>
      <w:pPr>
        <w:pStyle w:val="Author"/>
      </w:pPr>
      <w:r>
        <w:t xml:space="preserve">Чистякова Д.В. 1132220820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Произошел инцидент, связанный с утечкой конфиденциальной информации о передвижениях и активности ключевых политиков. Нужно найти уязвимость и устранить её.</w:t>
      </w:r>
    </w:p>
    <w:bookmarkEnd w:id="20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79" w:name="Xa6d3755096670cf1ed34cea6cd7c682decf3d9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Уязвимость SS7 AnyTimeInterrogation и последствие SS7 ATI payload</w:t>
      </w:r>
    </w:p>
    <w:bookmarkStart w:id="49" w:name="обнаружение-атак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Обнаружение атаки</w:t>
      </w:r>
    </w:p>
    <w:p>
      <w:pPr>
        <w:pStyle w:val="FirstParagraph"/>
      </w:pPr>
      <w:r>
        <w:t xml:space="preserve">Мы имеем следющую схему шаблона (рис. 1).</w:t>
      </w:r>
    </w:p>
    <w:bookmarkStart w:id="24" w:name="fig:001"/>
    <w:p>
      <w:pPr>
        <w:pStyle w:val="CaptionedFigure"/>
      </w:pPr>
      <w:r>
        <w:drawing>
          <wp:inline>
            <wp:extent cx="3733800" cy="1785973"/>
            <wp:effectExtent b="0" l="0" r="0" t="0"/>
            <wp:docPr descr="Рис. 1: Схема шаблон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шаблона</w:t>
      </w:r>
    </w:p>
    <w:bookmarkEnd w:id="24"/>
    <w:p>
      <w:pPr>
        <w:pStyle w:val="BodyText"/>
      </w:pPr>
      <w:r>
        <w:t xml:space="preserve">На схеме мы видим, что файрвол протокола SS7 находится по адресу</w:t>
      </w:r>
      <w:r>
        <w:t xml:space="preserve"> </w:t>
      </w:r>
      <w:r>
        <w:rPr>
          <w:rStyle w:val="VerbatimChar"/>
        </w:rPr>
        <w:t xml:space="preserve">10.10.1.254</w:t>
      </w:r>
      <w:r>
        <w:t xml:space="preserve">.</w:t>
      </w:r>
    </w:p>
    <w:p>
      <w:pPr>
        <w:pStyle w:val="BodyText"/>
      </w:pPr>
      <w:r>
        <w:t xml:space="preserve">Перейдя по этому адресу, мы подключаемся к инструменту pfsense (рис. 2).</w:t>
      </w:r>
    </w:p>
    <w:bookmarkStart w:id="28" w:name="fig:002"/>
    <w:p>
      <w:pPr>
        <w:pStyle w:val="CaptionedFigure"/>
      </w:pPr>
      <w:r>
        <w:drawing>
          <wp:inline>
            <wp:extent cx="3733800" cy="2291472"/>
            <wp:effectExtent b="0" l="0" r="0" t="0"/>
            <wp:docPr descr="Рис. 2: Инструмент pfsense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Инструмент pfsense</w:t>
      </w:r>
    </w:p>
    <w:bookmarkEnd w:id="28"/>
    <w:p>
      <w:pPr>
        <w:pStyle w:val="BodyText"/>
      </w:pPr>
      <w:r>
        <w:t xml:space="preserve">Логин и пароль от сервиса мы находим в утилите KeePass (рис. 3, рис. 4).</w:t>
      </w:r>
    </w:p>
    <w:bookmarkStart w:id="32" w:name="fig:003"/>
    <w:p>
      <w:pPr>
        <w:pStyle w:val="CaptionedFigure"/>
      </w:pPr>
      <w:r>
        <w:drawing>
          <wp:inline>
            <wp:extent cx="3733800" cy="2002436"/>
            <wp:effectExtent b="0" l="0" r="0" t="0"/>
            <wp:docPr descr="Рис. 3: Утилита KeePass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Утилита KeePass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195718"/>
            <wp:effectExtent b="0" l="0" r="0" t="0"/>
            <wp:docPr descr="Рис. 4: Логин и пароль от pfsense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Логин и пароль от pfsense</w:t>
      </w:r>
    </w:p>
    <w:bookmarkEnd w:id="36"/>
    <w:p>
      <w:pPr>
        <w:pStyle w:val="BodyText"/>
      </w:pPr>
      <w:r>
        <w:t xml:space="preserve">После ввода данных мы попадаем в дашборд с логами файрвола (рис. 5).</w:t>
      </w:r>
    </w:p>
    <w:bookmarkStart w:id="40" w:name="fig:005"/>
    <w:p>
      <w:pPr>
        <w:pStyle w:val="CaptionedFigure"/>
      </w:pPr>
      <w:r>
        <w:drawing>
          <wp:inline>
            <wp:extent cx="3733800" cy="1754946"/>
            <wp:effectExtent b="0" l="0" r="0" t="0"/>
            <wp:docPr descr="Рис. 5: Дашборд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Дашборд</w:t>
      </w:r>
    </w:p>
    <w:bookmarkEnd w:id="40"/>
    <w:p>
      <w:pPr>
        <w:pStyle w:val="BodyText"/>
      </w:pPr>
      <w:r>
        <w:t xml:space="preserve">Для дальнейшего диагностирование мы переходим во вкладку</w:t>
      </w:r>
      <w:r>
        <w:t xml:space="preserve"> </w:t>
      </w:r>
      <w:r>
        <w:t xml:space="preserve">“Diagnostics”</w:t>
      </w:r>
      <w:r>
        <w:t xml:space="preserve"> </w:t>
      </w:r>
      <w:r>
        <w:t xml:space="preserve">-</w:t>
      </w:r>
      <w:r>
        <w:t xml:space="preserve"> </w:t>
      </w:r>
      <w:r>
        <w:t xml:space="preserve">“Packet Capture”</w:t>
      </w:r>
      <w:r>
        <w:t xml:space="preserve"> </w:t>
      </w:r>
      <w:r>
        <w:t xml:space="preserve">(рис. 6).</w:t>
      </w:r>
    </w:p>
    <w:bookmarkStart w:id="44" w:name="fig:006"/>
    <w:p>
      <w:pPr>
        <w:pStyle w:val="CaptionedFigure"/>
      </w:pPr>
      <w:r>
        <w:drawing>
          <wp:inline>
            <wp:extent cx="3733800" cy="1498515"/>
            <wp:effectExtent b="0" l="0" r="0" t="0"/>
            <wp:docPr descr="Рис. 6: Packet Capture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Packet Capture</w:t>
      </w:r>
    </w:p>
    <w:bookmarkEnd w:id="44"/>
    <w:p>
      <w:pPr>
        <w:pStyle w:val="BodyText"/>
      </w:pPr>
      <w:r>
        <w:t xml:space="preserve">С помощью данного инструмента мы проанализируем весь трафик (рис. 7).</w:t>
      </w:r>
    </w:p>
    <w:bookmarkStart w:id="48" w:name="fig:007"/>
    <w:p>
      <w:pPr>
        <w:pStyle w:val="CaptionedFigure"/>
      </w:pPr>
      <w:r>
        <w:drawing>
          <wp:inline>
            <wp:extent cx="3733800" cy="1386376"/>
            <wp:effectExtent b="0" l="0" r="0" t="0"/>
            <wp:docPr descr="Рис. 7: Трафик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Трафик</w:t>
      </w:r>
    </w:p>
    <w:bookmarkEnd w:id="48"/>
    <w:p>
      <w:pPr>
        <w:pStyle w:val="BodyText"/>
      </w:pPr>
      <w:r>
        <w:t xml:space="preserve">После анализа трафика мы обнаружили два необычных ip-адреса:</w:t>
      </w:r>
      <w:r>
        <w:t xml:space="preserve"> </w:t>
      </w:r>
      <w:r>
        <w:rPr>
          <w:rStyle w:val="VerbatimChar"/>
        </w:rPr>
        <w:t xml:space="preserve">195.239.174.108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195.239.174.11</w:t>
      </w:r>
      <w:r>
        <w:t xml:space="preserve">.</w:t>
      </w:r>
    </w:p>
    <w:p>
      <w:pPr>
        <w:pStyle w:val="BodyText"/>
      </w:pPr>
      <w:r>
        <w:t xml:space="preserve">После просмотра схемы шаблона мы понимаем, что ip</w:t>
      </w:r>
      <w:r>
        <w:t xml:space="preserve"> </w:t>
      </w:r>
      <w:r>
        <w:rPr>
          <w:rStyle w:val="VerbatimChar"/>
        </w:rPr>
        <w:t xml:space="preserve">195.239.174.108</w:t>
      </w:r>
      <w:r>
        <w:t xml:space="preserve"> </w:t>
      </w:r>
      <w:r>
        <w:t xml:space="preserve">- это STP SS7, то есть точка передачи сигнала (узел), который направляет сигнальные сообщения в сети SS7. Этот ip не представляет никакой угрозы для нас.</w:t>
      </w:r>
    </w:p>
    <w:p>
      <w:pPr>
        <w:pStyle w:val="BodyText"/>
      </w:pPr>
      <w:r>
        <w:t xml:space="preserve">Остался ip</w:t>
      </w:r>
      <w:r>
        <w:t xml:space="preserve"> </w:t>
      </w:r>
      <w:r>
        <w:rPr>
          <w:rStyle w:val="VerbatimChar"/>
        </w:rPr>
        <w:t xml:space="preserve">195.239.174.11</w:t>
      </w:r>
      <w:r>
        <w:t xml:space="preserve">, с ним и будем работать.</w:t>
      </w:r>
    </w:p>
    <w:bookmarkEnd w:id="49"/>
    <w:bookmarkStart w:id="78" w:name="устранение-атак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Устранение атаки</w:t>
      </w:r>
    </w:p>
    <w:p>
      <w:pPr>
        <w:pStyle w:val="FirstParagraph"/>
      </w:pPr>
      <w:r>
        <w:t xml:space="preserve">Для устранения атаки мы подключаемся к машине с тем самым STP SS7 через утилиту PuTTY (рис. 8).</w:t>
      </w:r>
    </w:p>
    <w:bookmarkStart w:id="53" w:name="fig:008"/>
    <w:p>
      <w:pPr>
        <w:pStyle w:val="CaptionedFigure"/>
      </w:pPr>
      <w:r>
        <w:drawing>
          <wp:inline>
            <wp:extent cx="3733800" cy="1386840"/>
            <wp:effectExtent b="0" l="0" r="0" t="0"/>
            <wp:docPr descr="Рис. 8: Подключение к машине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Подключение к машине</w:t>
      </w:r>
    </w:p>
    <w:bookmarkEnd w:id="53"/>
    <w:p>
      <w:pPr>
        <w:pStyle w:val="BodyText"/>
      </w:pPr>
      <w:r>
        <w:t xml:space="preserve">Логин и пароль от машины мы берем в утилите KeePass (рис. 9).</w:t>
      </w:r>
    </w:p>
    <w:bookmarkStart w:id="57" w:name="fig:009"/>
    <w:p>
      <w:pPr>
        <w:pStyle w:val="CaptionedFigure"/>
      </w:pPr>
      <w:r>
        <w:drawing>
          <wp:inline>
            <wp:extent cx="3733800" cy="1201358"/>
            <wp:effectExtent b="0" l="0" r="0" t="0"/>
            <wp:docPr descr="Рис. 9: Утилита KeePass с логином и паролем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Утилита KeePass с логином и паролем</w:t>
      </w:r>
    </w:p>
    <w:bookmarkEnd w:id="57"/>
    <w:p>
      <w:pPr>
        <w:pStyle w:val="BodyText"/>
      </w:pPr>
      <w:r>
        <w:t xml:space="preserve">С помощью этих данных подключаемся к виртуальной машине (рис. 10).</w:t>
      </w:r>
    </w:p>
    <w:bookmarkStart w:id="61" w:name="fig:010"/>
    <w:p>
      <w:pPr>
        <w:pStyle w:val="CaptionedFigure"/>
      </w:pPr>
      <w:r>
        <w:drawing>
          <wp:inline>
            <wp:extent cx="3733800" cy="1951247"/>
            <wp:effectExtent b="0" l="0" r="0" t="0"/>
            <wp:docPr descr="Рис. 10: Успешное подключение к машине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Успешное подключение к машине</w:t>
      </w:r>
    </w:p>
    <w:bookmarkEnd w:id="61"/>
    <w:p>
      <w:pPr>
        <w:pStyle w:val="BodyText"/>
      </w:pPr>
      <w:r>
        <w:t xml:space="preserve">Теперь проверим настройки файрвола с помощью команды</w:t>
      </w:r>
      <w:r>
        <w:t xml:space="preserve"> </w:t>
      </w:r>
      <w:r>
        <w:rPr>
          <w:rStyle w:val="VerbatimChar"/>
        </w:rPr>
        <w:t xml:space="preserve">sudo iptables -L -v</w:t>
      </w:r>
      <w:r>
        <w:t xml:space="preserve"> </w:t>
      </w:r>
      <w:r>
        <w:t xml:space="preserve">(рис. 11).</w:t>
      </w:r>
    </w:p>
    <w:bookmarkStart w:id="65" w:name="fig:011"/>
    <w:p>
      <w:pPr>
        <w:pStyle w:val="CaptionedFigure"/>
      </w:pPr>
      <w:r>
        <w:drawing>
          <wp:inline>
            <wp:extent cx="3733800" cy="878879"/>
            <wp:effectExtent b="0" l="0" r="0" t="0"/>
            <wp:docPr descr="Рис. 11: Настройки файрвол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Настройки файрвола</w:t>
      </w:r>
    </w:p>
    <w:bookmarkEnd w:id="65"/>
    <w:p>
      <w:pPr>
        <w:pStyle w:val="BodyText"/>
      </w:pPr>
      <w:r>
        <w:t xml:space="preserve">В файрволе не задано никаких условий.</w:t>
      </w:r>
    </w:p>
    <w:p>
      <w:pPr>
        <w:pStyle w:val="BodyText"/>
      </w:pPr>
      <w:r>
        <w:t xml:space="preserve">Для устранения атаки запретим подключение с атакующего ip-адреса</w:t>
      </w:r>
      <w:r>
        <w:t xml:space="preserve"> </w:t>
      </w:r>
      <w:r>
        <w:rPr>
          <w:rStyle w:val="VerbatimChar"/>
        </w:rPr>
        <w:t xml:space="preserve">195.239.174.11</w:t>
      </w:r>
      <w:r>
        <w:t xml:space="preserve"> </w:t>
      </w:r>
      <w:r>
        <w:t xml:space="preserve">(рис. 12).</w:t>
      </w:r>
    </w:p>
    <w:bookmarkStart w:id="69" w:name="fig:012"/>
    <w:p>
      <w:pPr>
        <w:pStyle w:val="CaptionedFigure"/>
      </w:pPr>
      <w:r>
        <w:drawing>
          <wp:inline>
            <wp:extent cx="3733800" cy="940663"/>
            <wp:effectExtent b="0" l="0" r="0" t="0"/>
            <wp:docPr descr="Рис. 12: Запрет подключения с атакующего ip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Запрет подключения с атакующего ip</w:t>
      </w:r>
    </w:p>
    <w:bookmarkEnd w:id="69"/>
    <w:p>
      <w:pPr>
        <w:pStyle w:val="BodyText"/>
      </w:pPr>
      <w:r>
        <w:t xml:space="preserve">После этих действий уязвимость и последствие успешно устранены (рис. 13, рис. 14).</w:t>
      </w:r>
    </w:p>
    <w:bookmarkStart w:id="73" w:name="fig:013"/>
    <w:p>
      <w:pPr>
        <w:pStyle w:val="CaptionedFigure"/>
      </w:pPr>
      <w:r>
        <w:drawing>
          <wp:inline>
            <wp:extent cx="3733800" cy="496643"/>
            <wp:effectExtent b="0" l="0" r="0" t="0"/>
            <wp:docPr descr="Рис. 13: Устранение уязвимости SS7 AnyTimeInterrogation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Устранение уязвимости SS7 AnyTimeInterrogation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447340"/>
            <wp:effectExtent b="0" l="0" r="0" t="0"/>
            <wp:docPr descr="Рис. 14: Устранение последствия SS7 ATI payload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Устранение последствия SS7 ATI payload</w:t>
      </w:r>
    </w:p>
    <w:bookmarkEnd w:id="77"/>
    <w:bookmarkEnd w:id="78"/>
    <w:bookmarkEnd w:id="79"/>
    <w:bookmarkEnd w:id="80"/>
    <w:bookmarkStart w:id="8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мы успешно устранили уязвимость SS7 AnyTimeInterrogation и последствие SS7 ATI payload (рис. 15).</w:t>
      </w:r>
    </w:p>
    <w:bookmarkStart w:id="84" w:name="fig:015"/>
    <w:p>
      <w:pPr>
        <w:pStyle w:val="CaptionedFigure"/>
      </w:pPr>
      <w:r>
        <w:drawing>
          <wp:inline>
            <wp:extent cx="3733800" cy="1263926"/>
            <wp:effectExtent b="0" l="0" r="0" t="0"/>
            <wp:docPr descr="Рис. 15: Успешное устранение уязвимостей и последствий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Успешное устранение уязвимостей и последствий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Панченко Д.Д. 1132229056; Савурская П.А. 1132222827; Кочарян Н.Р. 1132221541; Чистякова Д.В. 1132220820</dc:creator>
  <dc:language>ru-RU</dc:language>
  <cp:keywords/>
  <dcterms:created xsi:type="dcterms:W3CDTF">2025-04-17T11:12:45Z</dcterms:created>
  <dcterms:modified xsi:type="dcterms:W3CDTF">2025-04-17T11:12:45Z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False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IBM Plex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athfontoptions">
    <vt:lpwstr/>
  </property>
  <property fmtid="{D5CDD505-2E9C-101B-9397-08002B2CF9AE}" pid="59" name="monofont">
    <vt:lpwstr>IBM Plex Mono</vt:lpwstr>
  </property>
  <property fmtid="{D5CDD505-2E9C-101B-9397-08002B2CF9AE}" pid="60" name="monofontoptions">
    <vt:lpwstr>Scale=MatchLowercase,Scale=0.94,FakeStretch=0.9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IBM Plex Serif</vt:lpwstr>
  </property>
  <property fmtid="{D5CDD505-2E9C-101B-9397-08002B2CF9AE}" pid="71" name="romanfontoptions">
    <vt:lpwstr>Ligatures=Common,Ligatures=TeX,Scale=0.94</vt:lpwstr>
  </property>
  <property fmtid="{D5CDD505-2E9C-101B-9397-08002B2CF9AE}" pid="72" name="sansfont">
    <vt:lpwstr>IBM Plex Sans</vt:lpwstr>
  </property>
  <property fmtid="{D5CDD505-2E9C-101B-9397-08002B2CF9AE}" pid="73" name="sansfontoptions">
    <vt:lpwstr>Ligatures=Common,Ligatures=TeX,Scale=MatchLowercase,Scale=0.94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Атака ATI на протокол SS7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