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№2</w:t>
      </w:r>
    </w:p>
    <w:p>
      <w:pPr>
        <w:pStyle w:val="Subtitle"/>
      </w:pPr>
      <w:r>
        <w:t xml:space="preserve">Захват почтового сервера</w:t>
      </w:r>
    </w:p>
    <w:p>
      <w:pPr>
        <w:pStyle w:val="Author"/>
      </w:pPr>
      <w:r>
        <w:t xml:space="preserve">Панченко Д.Д. 1132229056</w:t>
      </w:r>
    </w:p>
    <w:p>
      <w:pPr>
        <w:pStyle w:val="Author"/>
      </w:pPr>
      <w:r>
        <w:t xml:space="preserve">Савурская П.А. 1132222827</w:t>
      </w:r>
    </w:p>
    <w:p>
      <w:pPr>
        <w:pStyle w:val="Author"/>
      </w:pPr>
      <w:r>
        <w:t xml:space="preserve">Кочарян Н.Р. 1132221541</w:t>
      </w:r>
    </w:p>
    <w:p>
      <w:pPr>
        <w:pStyle w:val="Author"/>
      </w:pPr>
      <w:r>
        <w:t xml:space="preserve">Чистякова Д.В. 1132220820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 внешнем периметре расположен почтовый сервер организации, необходимо получить доступ к флагу, расположенному в папке</w:t>
      </w:r>
      <w:r>
        <w:t xml:space="preserve"> </w:t>
      </w:r>
      <w:r>
        <w:rPr>
          <w:rStyle w:val="VerbatimChar"/>
        </w:rPr>
        <w:t xml:space="preserve">С:\Windows\system32\</w:t>
      </w:r>
      <w:r>
        <w:t xml:space="preserve">.</w:t>
      </w:r>
    </w:p>
    <w:bookmarkEnd w:id="20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69" w:name="поиск-вектора-атаки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Поиск вектора атаки</w:t>
      </w:r>
    </w:p>
    <w:p>
      <w:pPr>
        <w:pStyle w:val="FirstParagraph"/>
      </w:pPr>
      <w:r>
        <w:t xml:space="preserve">Откроем терминал и просканируем подсеть</w:t>
      </w:r>
      <w:r>
        <w:t xml:space="preserve"> </w:t>
      </w:r>
      <w:r>
        <w:rPr>
          <w:rStyle w:val="VerbatimChar"/>
        </w:rPr>
        <w:t xml:space="preserve">195.239.174.0/24</w:t>
      </w:r>
      <w:r>
        <w:t xml:space="preserve"> </w:t>
      </w:r>
      <w:r>
        <w:t xml:space="preserve">для поиска открытых портов, которые можно использовать для атаки (рис. 1).</w:t>
      </w:r>
    </w:p>
    <w:bookmarkStart w:id="24" w:name="fig:001"/>
    <w:p>
      <w:pPr>
        <w:pStyle w:val="CaptionedFigure"/>
      </w:pPr>
      <w:r>
        <w:drawing>
          <wp:inline>
            <wp:extent cx="3733800" cy="4404265"/>
            <wp:effectExtent b="0" l="0" r="0" t="0"/>
            <wp:docPr descr="Рис. 1: Сканирование сети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04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Сканирование сети</w:t>
      </w:r>
    </w:p>
    <w:bookmarkEnd w:id="24"/>
    <w:p>
      <w:pPr>
        <w:pStyle w:val="BodyText"/>
      </w:pPr>
      <w:r>
        <w:t xml:space="preserve">В результате сканирования на хосте</w:t>
      </w:r>
      <w:r>
        <w:t xml:space="preserve"> </w:t>
      </w:r>
      <w:r>
        <w:rPr>
          <w:rStyle w:val="VerbatimChar"/>
        </w:rPr>
        <w:t xml:space="preserve">195.239.174.1</w:t>
      </w:r>
      <w:r>
        <w:t xml:space="preserve"> </w:t>
      </w:r>
      <w:r>
        <w:t xml:space="preserve">мы получили открытые порты</w:t>
      </w:r>
      <w:r>
        <w:t xml:space="preserve"> </w:t>
      </w:r>
      <w:r>
        <w:rPr>
          <w:rStyle w:val="VerbatimChar"/>
        </w:rPr>
        <w:t xml:space="preserve">25</w:t>
      </w:r>
      <w:r>
        <w:t xml:space="preserve"> </w:t>
      </w:r>
      <w:r>
        <w:t xml:space="preserve">(порт, предназначенный для передачи электронных писем) и</w:t>
      </w:r>
      <w:r>
        <w:t xml:space="preserve"> </w:t>
      </w:r>
      <w:r>
        <w:rPr>
          <w:rStyle w:val="VerbatimChar"/>
        </w:rPr>
        <w:t xml:space="preserve">443</w:t>
      </w:r>
      <w:r>
        <w:t xml:space="preserve"> </w:t>
      </w:r>
      <w:r>
        <w:t xml:space="preserve">(порт для защищенной связи веб-браузера).</w:t>
      </w:r>
    </w:p>
    <w:p>
      <w:pPr>
        <w:pStyle w:val="BodyText"/>
      </w:pPr>
      <w:r>
        <w:t xml:space="preserve">Значит на хосте</w:t>
      </w:r>
      <w:r>
        <w:t xml:space="preserve"> </w:t>
      </w:r>
      <w:r>
        <w:rPr>
          <w:rStyle w:val="VerbatimChar"/>
        </w:rPr>
        <w:t xml:space="preserve">195.239.174.1</w:t>
      </w:r>
      <w:r>
        <w:t xml:space="preserve"> </w:t>
      </w:r>
      <w:r>
        <w:t xml:space="preserve">установлен почтовый сервер.</w:t>
      </w:r>
    </w:p>
    <w:p>
      <w:pPr>
        <w:pStyle w:val="BodyText"/>
      </w:pPr>
      <w:r>
        <w:t xml:space="preserve">Убедимся в этом (рис. 2).</w:t>
      </w:r>
    </w:p>
    <w:bookmarkStart w:id="28" w:name="fig:002"/>
    <w:p>
      <w:pPr>
        <w:pStyle w:val="CaptionedFigure"/>
      </w:pPr>
      <w:r>
        <w:drawing>
          <wp:inline>
            <wp:extent cx="3733800" cy="2568824"/>
            <wp:effectExtent b="0" l="0" r="0" t="0"/>
            <wp:docPr descr="Рис. 2: Exchange Server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8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Exchange Server</w:t>
      </w:r>
    </w:p>
    <w:bookmarkEnd w:id="28"/>
    <w:p>
      <w:pPr>
        <w:pStyle w:val="BodyText"/>
      </w:pPr>
      <w:r>
        <w:t xml:space="preserve">Определим версию Exchange Server для поиска уязвимостей (рис. 3, рис. 4).</w:t>
      </w:r>
    </w:p>
    <w:bookmarkStart w:id="32" w:name="fig:003"/>
    <w:p>
      <w:pPr>
        <w:pStyle w:val="CaptionedFigure"/>
      </w:pPr>
      <w:r>
        <w:drawing>
          <wp:inline>
            <wp:extent cx="3733800" cy="2443665"/>
            <wp:effectExtent b="0" l="0" r="0" t="0"/>
            <wp:docPr descr="Рис. 3: Определение версии Exchange Server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3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Определение версии Exchange Server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2017289"/>
            <wp:effectExtent b="0" l="0" r="0" t="0"/>
            <wp:docPr descr="Рис. 4: Определение версии Exchange Server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Определение версии Exchange Server</w:t>
      </w:r>
    </w:p>
    <w:bookmarkEnd w:id="36"/>
    <w:p>
      <w:pPr>
        <w:pStyle w:val="BodyText"/>
      </w:pPr>
      <w:r>
        <w:t xml:space="preserve">Ищем нужную сборку в документации Microsoft Exchange (рис. 5).</w:t>
      </w:r>
    </w:p>
    <w:bookmarkStart w:id="40" w:name="fig:005"/>
    <w:p>
      <w:pPr>
        <w:pStyle w:val="CaptionedFigure"/>
      </w:pPr>
      <w:r>
        <w:drawing>
          <wp:inline>
            <wp:extent cx="3733800" cy="539384"/>
            <wp:effectExtent b="0" l="0" r="0" t="0"/>
            <wp:docPr descr="Рис. 5: Дата выпуска сборки Exchange Server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9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Дата выпуска сборки Exchange Server</w:t>
      </w:r>
    </w:p>
    <w:bookmarkEnd w:id="40"/>
    <w:p>
      <w:pPr>
        <w:pStyle w:val="BodyText"/>
      </w:pPr>
      <w:r>
        <w:t xml:space="preserve">Для дальнейшего планирования атаки, переходим на сайт CVEdetails (рис. 6).</w:t>
      </w:r>
    </w:p>
    <w:bookmarkStart w:id="44" w:name="fig:006"/>
    <w:p>
      <w:pPr>
        <w:pStyle w:val="CaptionedFigure"/>
      </w:pPr>
      <w:r>
        <w:drawing>
          <wp:inline>
            <wp:extent cx="3733800" cy="1843055"/>
            <wp:effectExtent b="0" l="0" r="0" t="0"/>
            <wp:docPr descr="Рис. 6: Сайт CVEdetails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Сайт CVEdetails</w:t>
      </w:r>
    </w:p>
    <w:bookmarkEnd w:id="44"/>
    <w:p>
      <w:pPr>
        <w:pStyle w:val="BodyText"/>
      </w:pPr>
      <w:r>
        <w:t xml:space="preserve">Найдем уязвимости, доступные к эксплуатации (рис. 7).</w:t>
      </w:r>
    </w:p>
    <w:bookmarkStart w:id="48" w:name="fig:007"/>
    <w:p>
      <w:pPr>
        <w:pStyle w:val="CaptionedFigure"/>
      </w:pPr>
      <w:r>
        <w:drawing>
          <wp:inline>
            <wp:extent cx="3733800" cy="2306905"/>
            <wp:effectExtent b="0" l="0" r="0" t="0"/>
            <wp:docPr descr="Рис. 7: Приоритетные уязвимости Microsoft Exchange Server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6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Приоритетные уязвимости Microsoft Exchange Server</w:t>
      </w:r>
    </w:p>
    <w:bookmarkEnd w:id="48"/>
    <w:p>
      <w:pPr>
        <w:pStyle w:val="BodyText"/>
      </w:pPr>
      <w:r>
        <w:t xml:space="preserve">Изучим детальную информацию об уязвимостях (рис. 8, рис. 9).</w:t>
      </w:r>
    </w:p>
    <w:bookmarkStart w:id="52" w:name="fig:008"/>
    <w:p>
      <w:pPr>
        <w:pStyle w:val="CaptionedFigure"/>
      </w:pPr>
      <w:r>
        <w:drawing>
          <wp:inline>
            <wp:extent cx="3733800" cy="637396"/>
            <wp:effectExtent b="0" l="0" r="0" t="0"/>
            <wp:docPr descr="Рис. 8: Детальная информация по уязвимости CVE-2021-34473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7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Детальная информация по уязвимости CVE-2021-34473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1502871"/>
            <wp:effectExtent b="0" l="0" r="0" t="0"/>
            <wp:docPr descr="Рис. 9: Детальная информация по уязвимости CVE-2021-26855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2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Детальная информация по уязвимости CVE-2021-26855</w:t>
      </w:r>
    </w:p>
    <w:bookmarkEnd w:id="56"/>
    <w:p>
      <w:pPr>
        <w:pStyle w:val="BodyText"/>
      </w:pPr>
      <w:r>
        <w:t xml:space="preserve">После изучения детальной информации можно убедиться в том, что первая дата раскрытия информации по уязвимости больше даты выпуска сборки атакуемого почтового сервера Microsoft Exchange Server.</w:t>
      </w:r>
    </w:p>
    <w:p>
      <w:pPr>
        <w:pStyle w:val="BodyText"/>
      </w:pPr>
      <w:r>
        <w:t xml:space="preserve">Значит, что указанные уязвимости можно эксплуатировать.</w:t>
      </w:r>
    </w:p>
    <w:p>
      <w:pPr>
        <w:pStyle w:val="BodyText"/>
      </w:pPr>
      <w:r>
        <w:t xml:space="preserve">Используем инструмент exploit Metasploit для атаки (рис. 10, рис. 11).</w:t>
      </w:r>
    </w:p>
    <w:bookmarkStart w:id="60" w:name="fig:010"/>
    <w:p>
      <w:pPr>
        <w:pStyle w:val="CaptionedFigure"/>
      </w:pPr>
      <w:r>
        <w:drawing>
          <wp:inline>
            <wp:extent cx="3733800" cy="1039228"/>
            <wp:effectExtent b="0" l="0" r="0" t="0"/>
            <wp:docPr descr="Рис. 10: Запуск модуля Metasploit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9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 модуля Metasploit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965574"/>
            <wp:effectExtent b="0" l="0" r="0" t="0"/>
            <wp:docPr descr="Рис. 11: Запуск модуля Metasploit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5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модуля Metasploit</w:t>
      </w:r>
    </w:p>
    <w:bookmarkEnd w:id="64"/>
    <w:p>
      <w:pPr>
        <w:pStyle w:val="BodyText"/>
      </w:pPr>
      <w:r>
        <w:t xml:space="preserve">Проведем сканирование с помощью данного модуля (рис. 12).</w:t>
      </w:r>
    </w:p>
    <w:bookmarkStart w:id="68" w:name="fig:012"/>
    <w:p>
      <w:pPr>
        <w:pStyle w:val="CaptionedFigure"/>
      </w:pPr>
      <w:r>
        <w:drawing>
          <wp:inline>
            <wp:extent cx="3733800" cy="4787368"/>
            <wp:effectExtent b="0" l="0" r="0" t="0"/>
            <wp:docPr descr="Рис. 12: Модули Metasploit для атаки на Microsoft Exchange Server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87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Модули Metasploit для атаки на Microsoft Exchange Server</w:t>
      </w:r>
    </w:p>
    <w:bookmarkEnd w:id="68"/>
    <w:p>
      <w:pPr>
        <w:pStyle w:val="BodyText"/>
      </w:pPr>
      <w:r>
        <w:t xml:space="preserve">Для атаки мы воспользуемся уязвимостью ProxyShell.</w:t>
      </w:r>
    </w:p>
    <w:bookmarkEnd w:id="69"/>
    <w:bookmarkStart w:id="90" w:name="X95cf2ade8267b425b32eeec1439f52b7084b3d7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Атака с использованием уязвимости ProxyShell</w:t>
      </w:r>
    </w:p>
    <w:p>
      <w:pPr>
        <w:pStyle w:val="FirstParagraph"/>
      </w:pPr>
      <w:r>
        <w:t xml:space="preserve">Воспользуемся модулем</w:t>
      </w:r>
      <w:r>
        <w:t xml:space="preserve"> </w:t>
      </w:r>
      <w:r>
        <w:rPr>
          <w:rStyle w:val="VerbatimChar"/>
        </w:rPr>
        <w:t xml:space="preserve">windows/http/exchange_proxyshell_rce</w:t>
      </w:r>
      <w:r>
        <w:t xml:space="preserve"> </w:t>
      </w:r>
      <w:r>
        <w:t xml:space="preserve">(рис. 13).</w:t>
      </w:r>
    </w:p>
    <w:bookmarkStart w:id="73" w:name="fig:013"/>
    <w:p>
      <w:pPr>
        <w:pStyle w:val="CaptionedFigure"/>
      </w:pPr>
      <w:r>
        <w:drawing>
          <wp:inline>
            <wp:extent cx="3733800" cy="388672"/>
            <wp:effectExtent b="0" l="0" r="0" t="0"/>
            <wp:docPr descr="Рис. 13: Модуль windows/http/exchange_proxyshell_rce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Модуль windows/http/exchange_proxyshell_rce</w:t>
      </w:r>
    </w:p>
    <w:bookmarkEnd w:id="73"/>
    <w:p>
      <w:pPr>
        <w:pStyle w:val="BodyText"/>
      </w:pPr>
      <w:r>
        <w:t xml:space="preserve">Зададим параметры</w:t>
      </w:r>
      <w:r>
        <w:t xml:space="preserve"> </w:t>
      </w:r>
      <w:r>
        <w:rPr>
          <w:rStyle w:val="VerbatimChar"/>
        </w:rPr>
        <w:t xml:space="preserve">lhost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rhosts</w:t>
      </w:r>
      <w:r>
        <w:t xml:space="preserve"> </w:t>
      </w:r>
      <w:r>
        <w:t xml:space="preserve">(рис. 14, рис. 15).</w:t>
      </w:r>
    </w:p>
    <w:bookmarkStart w:id="77" w:name="fig:014"/>
    <w:p>
      <w:pPr>
        <w:pStyle w:val="CaptionedFigure"/>
      </w:pPr>
      <w:r>
        <w:drawing>
          <wp:inline>
            <wp:extent cx="3733800" cy="185818"/>
            <wp:effectExtent b="0" l="0" r="0" t="0"/>
            <wp:docPr descr="Рис. 14: Установка параметров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параметров</w:t>
      </w:r>
    </w:p>
    <w:bookmarkEnd w:id="77"/>
    <w:bookmarkStart w:id="81" w:name="fig:015"/>
    <w:p>
      <w:pPr>
        <w:pStyle w:val="CaptionedFigure"/>
      </w:pPr>
      <w:r>
        <w:drawing>
          <wp:inline>
            <wp:extent cx="3733800" cy="180012"/>
            <wp:effectExtent b="0" l="0" r="0" t="0"/>
            <wp:docPr descr="Рис. 15: Установка параметров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Установка параметров</w:t>
      </w:r>
    </w:p>
    <w:bookmarkEnd w:id="81"/>
    <w:p>
      <w:pPr>
        <w:pStyle w:val="BodyText"/>
      </w:pPr>
      <w:r>
        <w:t xml:space="preserve">Запустим модуль ProxyShell и получим meterpeter-сессию. (рис. 16).</w:t>
      </w:r>
    </w:p>
    <w:bookmarkStart w:id="85" w:name="fig:016"/>
    <w:p>
      <w:pPr>
        <w:pStyle w:val="CaptionedFigure"/>
      </w:pPr>
      <w:r>
        <w:drawing>
          <wp:inline>
            <wp:extent cx="3733800" cy="2833295"/>
            <wp:effectExtent b="0" l="0" r="0" t="0"/>
            <wp:docPr descr="Рис. 16: Процесс эксплуатации уязвимого сервера Microsoft Exchange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3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Процесс эксплуатации уязвимого сервера Microsoft Exchange</w:t>
      </w:r>
    </w:p>
    <w:bookmarkEnd w:id="85"/>
    <w:p>
      <w:pPr>
        <w:pStyle w:val="BodyText"/>
      </w:pPr>
      <w:r>
        <w:t xml:space="preserve">В процессе эксплуатации модуля ProxyShell обнаружена и проэксплуатирована уязвимость CVE-2021-34473.</w:t>
      </w:r>
    </w:p>
    <w:p>
      <w:pPr>
        <w:pStyle w:val="BodyText"/>
      </w:pPr>
      <w:r>
        <w:t xml:space="preserve">Воспользуемся командой</w:t>
      </w:r>
      <w:r>
        <w:t xml:space="preserve"> </w:t>
      </w:r>
      <w:r>
        <w:rPr>
          <w:rStyle w:val="VerbatimChar"/>
        </w:rPr>
        <w:t xml:space="preserve">cat C:/windows/system32/flag_for_red_team.txt</w:t>
      </w:r>
      <w:r>
        <w:t xml:space="preserve"> </w:t>
      </w:r>
      <w:r>
        <w:t xml:space="preserve">для нахождения флага (рис. 17).</w:t>
      </w:r>
    </w:p>
    <w:bookmarkStart w:id="89" w:name="fig:017"/>
    <w:p>
      <w:pPr>
        <w:pStyle w:val="CaptionedFigure"/>
      </w:pPr>
      <w:r>
        <w:drawing>
          <wp:inline>
            <wp:extent cx="3733800" cy="363770"/>
            <wp:effectExtent b="0" l="0" r="0" t="0"/>
            <wp:docPr descr="Рис. 17: Поиск и чтение содержимого флага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Поиск и чтение содержимого флага</w:t>
      </w:r>
    </w:p>
    <w:bookmarkEnd w:id="89"/>
    <w:bookmarkEnd w:id="90"/>
    <w:bookmarkEnd w:id="91"/>
    <w:bookmarkStart w:id="9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работы мы успешно получили доступ к флагу, расположенному в папке</w:t>
      </w:r>
      <w:r>
        <w:t xml:space="preserve"> </w:t>
      </w:r>
      <w:r>
        <w:rPr>
          <w:rStyle w:val="VerbatimChar"/>
        </w:rPr>
        <w:t xml:space="preserve">С:\Windows\system32\</w:t>
      </w:r>
      <w:r>
        <w:t xml:space="preserve">.</w:t>
      </w:r>
    </w:p>
    <w:bookmarkEnd w:id="9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Панченко Д.Д. 1132229056; Савурская П.А. 1132222827; Кочарян Н.Р. 1132221541; Чистякова Д.В. 1132220820</dc:creator>
  <dc:language>ru-RU</dc:language>
  <cp:keywords/>
  <dcterms:created xsi:type="dcterms:W3CDTF">2025-03-10T09:41:48Z</dcterms:created>
  <dcterms:modified xsi:type="dcterms:W3CDTF">2025-03-10T09:41:48Z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ccsDelim">
    <vt:lpwstr>, </vt:lpwstr>
  </property>
  <property fmtid="{D5CDD505-2E9C-101B-9397-08002B2CF9AE}" pid="7" name="ccsLabelSep">
    <vt:lpwstr> — </vt:lpwstr>
  </property>
  <property fmtid="{D5CDD505-2E9C-101B-9397-08002B2CF9AE}" pid="8" name="ccsTemplate">
    <vt:lpwstr>iccsLabelSept</vt:lpwstr>
  </property>
  <property fmtid="{D5CDD505-2E9C-101B-9397-08002B2CF9AE}" pid="9" name="chapDelim">
    <vt:lpwstr>.</vt:lpwstr>
  </property>
  <property fmtid="{D5CDD505-2E9C-101B-9397-08002B2CF9AE}" pid="10" name="chapters">
    <vt:lpwstr>False</vt:lpwstr>
  </property>
  <property fmtid="{D5CDD505-2E9C-101B-9397-08002B2CF9AE}" pid="11" name="chaptersDepth">
    <vt:lpwstr>1</vt:lpwstr>
  </property>
  <property fmtid="{D5CDD505-2E9C-101B-9397-08002B2CF9AE}" pid="12" name="codeBlockCaptions">
    <vt:lpwstr>False</vt:lpwstr>
  </property>
  <property fmtid="{D5CDD505-2E9C-101B-9397-08002B2CF9AE}" pid="13" name="cref">
    <vt:lpwstr>False</vt:lpwstr>
  </property>
  <property fmtid="{D5CDD505-2E9C-101B-9397-08002B2CF9AE}" pid="14" name="crossrefYaml">
    <vt:lpwstr>pandoc-crossref.yaml</vt:lpwstr>
  </property>
  <property fmtid="{D5CDD505-2E9C-101B-9397-08002B2CF9AE}" pid="15" name="documentclass">
    <vt:lpwstr>scrreprt</vt:lpwstr>
  </property>
  <property fmtid="{D5CDD505-2E9C-101B-9397-08002B2CF9AE}" pid="16" name="eqLabels">
    <vt:lpwstr>arabic</vt:lpwstr>
  </property>
  <property fmtid="{D5CDD505-2E9C-101B-9397-08002B2CF9AE}" pid="17" name="eqnBlockInlineMath">
    <vt:lpwstr>False</vt:lpwstr>
  </property>
  <property fmtid="{D5CDD505-2E9C-101B-9397-08002B2CF9AE}" pid="18" name="eqnBlockTemplate">
    <vt:lpwstr>ti</vt:lpwstr>
  </property>
  <property fmtid="{D5CDD505-2E9C-101B-9397-08002B2CF9AE}" pid="19" name="eqnDisplayTemplate">
    <vt:lpwstr>e</vt:lpwstr>
  </property>
  <property fmtid="{D5CDD505-2E9C-101B-9397-08002B2CF9AE}" pid="20" name="eqnIndexTemplate">
    <vt:lpwstr>(i)</vt:lpwstr>
  </property>
  <property fmtid="{D5CDD505-2E9C-101B-9397-08002B2CF9AE}" pid="21" name="eqnInlineTableTemplate">
    <vt:lpwstr>e</vt:lpwstr>
  </property>
  <property fmtid="{D5CDD505-2E9C-101B-9397-08002B2CF9AE}" pid="22" name="eqnInlineTemplate">
    <vt:lpwstr>eequationNumberTeX{i}</vt:lpwstr>
  </property>
  <property fmtid="{D5CDD505-2E9C-101B-9397-08002B2CF9AE}" pid="23" name="eqnPrefix">
    <vt:lpwstr/>
  </property>
  <property fmtid="{D5CDD505-2E9C-101B-9397-08002B2CF9AE}" pid="24" name="eqnPrefixTemplate">
    <vt:lpwstr>p i</vt:lpwstr>
  </property>
  <property fmtid="{D5CDD505-2E9C-101B-9397-08002B2CF9AE}" pid="25" name="equationNumberTeX">
    <vt:lpwstr>\qquad</vt:lpwstr>
  </property>
  <property fmtid="{D5CDD505-2E9C-101B-9397-08002B2CF9AE}" pid="26" name="figLabels">
    <vt:lpwstr>arabic</vt:lpwstr>
  </property>
  <property fmtid="{D5CDD505-2E9C-101B-9397-08002B2CF9AE}" pid="27" name="figPrefix">
    <vt:lpwstr/>
  </property>
  <property fmtid="{D5CDD505-2E9C-101B-9397-08002B2CF9AE}" pid="28" name="figPrefixTemplate">
    <vt:lpwstr>p i</vt:lpwstr>
  </property>
  <property fmtid="{D5CDD505-2E9C-101B-9397-08002B2CF9AE}" pid="29" name="figureTemplate">
    <vt:lpwstr>figureTitle ititleDelim t</vt:lpwstr>
  </property>
  <property fmtid="{D5CDD505-2E9C-101B-9397-08002B2CF9AE}" pid="30" name="figureTitle">
    <vt:lpwstr>Рис.</vt:lpwstr>
  </property>
  <property fmtid="{D5CDD505-2E9C-101B-9397-08002B2CF9AE}" pid="31" name="fontsize">
    <vt:lpwstr>12pt</vt:lpwstr>
  </property>
  <property fmtid="{D5CDD505-2E9C-101B-9397-08002B2CF9AE}" pid="32" name="header-includes">
    <vt:lpwstr/>
  </property>
  <property fmtid="{D5CDD505-2E9C-101B-9397-08002B2CF9AE}" pid="33" name="indent">
    <vt:lpwstr>True</vt:lpwstr>
  </property>
  <property fmtid="{D5CDD505-2E9C-101B-9397-08002B2CF9AE}" pid="34" name="lastDelim">
    <vt:lpwstr>, </vt:lpwstr>
  </property>
  <property fmtid="{D5CDD505-2E9C-101B-9397-08002B2CF9AE}" pid="35" name="linestretch">
    <vt:lpwstr>1.5</vt:lpwstr>
  </property>
  <property fmtid="{D5CDD505-2E9C-101B-9397-08002B2CF9AE}" pid="36" name="linkReferences">
    <vt:lpwstr>False</vt:lpwstr>
  </property>
  <property fmtid="{D5CDD505-2E9C-101B-9397-08002B2CF9AE}" pid="37" name="listItemTitleDelim">
    <vt:lpwstr>.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Листинг</vt:lpwstr>
  </property>
  <property fmtid="{D5CDD505-2E9C-101B-9397-08002B2CF9AE}" pid="40" name="listings">
    <vt:lpwstr>False</vt:lpwstr>
  </property>
  <property fmtid="{D5CDD505-2E9C-101B-9397-08002B2CF9AE}" pid="41" name="lof">
    <vt:lpwstr>False</vt:lpwstr>
  </property>
  <property fmtid="{D5CDD505-2E9C-101B-9397-08002B2CF9AE}" pid="42" name="lofItemTemplate">
    <vt:lpwstr>lofItemTitleilistItemTitleDelimt </vt:lpwstr>
  </property>
  <property fmtid="{D5CDD505-2E9C-101B-9397-08002B2CF9AE}" pid="43" name="lofItemTitle">
    <vt:lpwstr/>
  </property>
  <property fmtid="{D5CDD505-2E9C-101B-9397-08002B2CF9AE}" pid="44" name="lofTitle">
    <vt:lpwstr>Список иллюстраций</vt:lpwstr>
  </property>
  <property fmtid="{D5CDD505-2E9C-101B-9397-08002B2CF9AE}" pid="45" name="lolItemTemplate">
    <vt:lpwstr>lolItemTitleilistItemTitleDelimt </vt:lpwstr>
  </property>
  <property fmtid="{D5CDD505-2E9C-101B-9397-08002B2CF9AE}" pid="46" name="lolItemTitle">
    <vt:lpwstr/>
  </property>
  <property fmtid="{D5CDD505-2E9C-101B-9397-08002B2CF9AE}" pid="47" name="lolTitle">
    <vt:lpwstr>Листинги</vt:lpwstr>
  </property>
  <property fmtid="{D5CDD505-2E9C-101B-9397-08002B2CF9AE}" pid="48" name="lot">
    <vt:lpwstr>False</vt:lpwstr>
  </property>
  <property fmtid="{D5CDD505-2E9C-101B-9397-08002B2CF9AE}" pid="49" name="lotItemTemplate">
    <vt:lpwstr>lotItemTitleilistItemTitleDelimt </vt:lpwstr>
  </property>
  <property fmtid="{D5CDD505-2E9C-101B-9397-08002B2CF9AE}" pid="50" name="lotItemTitle">
    <vt:lpwstr/>
  </property>
  <property fmtid="{D5CDD505-2E9C-101B-9397-08002B2CF9AE}" pid="51" name="lotTitle">
    <vt:lpwstr>Список таблиц</vt:lpwstr>
  </property>
  <property fmtid="{D5CDD505-2E9C-101B-9397-08002B2CF9AE}" pid="52" name="lstLabels">
    <vt:lpwstr>arabic</vt:lpwstr>
  </property>
  <property fmtid="{D5CDD505-2E9C-101B-9397-08002B2CF9AE}" pid="53" name="lstPrefix">
    <vt:lpwstr/>
  </property>
  <property fmtid="{D5CDD505-2E9C-101B-9397-08002B2CF9AE}" pid="54" name="lstPrefixTemplate">
    <vt:lpwstr>p i</vt:lpwstr>
  </property>
  <property fmtid="{D5CDD505-2E9C-101B-9397-08002B2CF9AE}" pid="55" name="mainfont">
    <vt:lpwstr>IBM Plex Serif</vt:lpwstr>
  </property>
  <property fmtid="{D5CDD505-2E9C-101B-9397-08002B2CF9AE}" pid="56" name="mainfontoptions">
    <vt:lpwstr>Ligatures=Common,Ligatures=TeX,Scale=0.94</vt:lpwstr>
  </property>
  <property fmtid="{D5CDD505-2E9C-101B-9397-08002B2CF9AE}" pid="57" name="mathfont">
    <vt:lpwstr>STIX Two Math</vt:lpwstr>
  </property>
  <property fmtid="{D5CDD505-2E9C-101B-9397-08002B2CF9AE}" pid="58" name="mathfontoptions">
    <vt:lpwstr/>
  </property>
  <property fmtid="{D5CDD505-2E9C-101B-9397-08002B2CF9AE}" pid="59" name="monofont">
    <vt:lpwstr>IBM Plex Mono</vt:lpwstr>
  </property>
  <property fmtid="{D5CDD505-2E9C-101B-9397-08002B2CF9AE}" pid="60" name="monofontoptions">
    <vt:lpwstr>Scale=MatchLowercase,Scale=0.94,FakeStretch=0.9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IBM Plex Serif</vt:lpwstr>
  </property>
  <property fmtid="{D5CDD505-2E9C-101B-9397-08002B2CF9AE}" pid="71" name="romanfontoptions">
    <vt:lpwstr>Ligatures=Common,Ligatures=TeX,Scale=0.94</vt:lpwstr>
  </property>
  <property fmtid="{D5CDD505-2E9C-101B-9397-08002B2CF9AE}" pid="72" name="sansfont">
    <vt:lpwstr>IBM Plex Sans</vt:lpwstr>
  </property>
  <property fmtid="{D5CDD505-2E9C-101B-9397-08002B2CF9AE}" pid="73" name="sansfontoptions">
    <vt:lpwstr>Ligatures=Common,Ligatures=TeX,Scale=MatchLowercase,Scale=0.94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Захват почтового сервера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