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9.png" ContentType="image/png"/>
  <Override PartName="/word/media/rId63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25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2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7.png" ContentType="image/png"/>
  <Override PartName="/word/media/rId142.png" ContentType="image/png"/>
  <Override PartName="/word/media/rId146.png" ContentType="image/png"/>
  <Override PartName="/word/media/rId34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182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№3</w:t>
      </w:r>
    </w:p>
    <w:p>
      <w:pPr>
        <w:pStyle w:val="Subtitle"/>
      </w:pPr>
      <w:r>
        <w:t xml:space="preserve">Защита корпоративного мессенджера</w:t>
      </w:r>
    </w:p>
    <w:p>
      <w:pPr>
        <w:pStyle w:val="Author"/>
      </w:pPr>
      <w:r>
        <w:t xml:space="preserve">Панченко Д.Д. 1132229056</w:t>
      </w:r>
    </w:p>
    <w:p>
      <w:pPr>
        <w:pStyle w:val="Author"/>
      </w:pPr>
      <w:r>
        <w:t xml:space="preserve">Савурская П.А. 1132222827</w:t>
      </w:r>
    </w:p>
    <w:p>
      <w:pPr>
        <w:pStyle w:val="Author"/>
      </w:pPr>
      <w:r>
        <w:t xml:space="preserve">Кочарян Н.Р. 1132221541</w:t>
      </w:r>
    </w:p>
    <w:p>
      <w:pPr>
        <w:pStyle w:val="Author"/>
      </w:pPr>
      <w:r>
        <w:t xml:space="preserve">Чистякова Д.В. 1132220820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Защитить корпортивный мессенджер от атаки. Найти и устранить уязвимости и последствия от них.</w:t>
      </w:r>
    </w:p>
    <w:bookmarkEnd w:id="20"/>
    <w:bookmarkStart w:id="1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68" w:name="X9b95904ed61733e4c2e11a81911e3d95f425913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Уязвимость WordPress wpDiscuz и последствие WordPress Deface</w:t>
      </w:r>
    </w:p>
    <w:bookmarkStart w:id="33" w:name="Xe8acbb64c68be8cd7c920d3e590c07d21177b5d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Обнаружение уязвимости WordPress wpDiscuz</w:t>
      </w:r>
    </w:p>
    <w:p>
      <w:pPr>
        <w:pStyle w:val="FirstParagraph"/>
      </w:pPr>
      <w:r>
        <w:t xml:space="preserve">Детектируем эксплуатацию уязвимости CVE-2020-24186 с помощью сетевого сенсора ViPNet IDS NS (рис. 1, рис. 2).</w:t>
      </w:r>
    </w:p>
    <w:bookmarkStart w:id="24" w:name="fig:001"/>
    <w:p>
      <w:pPr>
        <w:pStyle w:val="CaptionedFigure"/>
      </w:pPr>
      <w:r>
        <w:drawing>
          <wp:inline>
            <wp:extent cx="3733800" cy="1283493"/>
            <wp:effectExtent b="0" l="0" r="0" t="0"/>
            <wp:docPr descr="Рис. 1: Журнал событий сетевого сенсора ViPNet IDS NS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Журнал событий сетевого сенсора ViPNet IDS NS</w:t>
      </w:r>
    </w:p>
    <w:bookmarkEnd w:id="24"/>
    <w:bookmarkStart w:id="28" w:name="fig:002"/>
    <w:p>
      <w:pPr>
        <w:pStyle w:val="CaptionedFigure"/>
      </w:pPr>
      <w:r>
        <w:drawing>
          <wp:inline>
            <wp:extent cx="3733800" cy="3891768"/>
            <wp:effectExtent b="0" l="0" r="0" t="0"/>
            <wp:docPr descr="Рис. 2: Карточка события ИБ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1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Карточка события ИБ</w:t>
      </w:r>
    </w:p>
    <w:bookmarkEnd w:id="28"/>
    <w:p>
      <w:pPr>
        <w:pStyle w:val="BodyText"/>
      </w:pPr>
      <w:r>
        <w:t xml:space="preserve">С помощью «WP Activity Log» проверяем журнал и обнаруживаем авторизацию внешнего пользователя и загрузку файла (рис. 3).</w:t>
      </w:r>
    </w:p>
    <w:bookmarkStart w:id="32" w:name="fig:003"/>
    <w:p>
      <w:pPr>
        <w:pStyle w:val="CaptionedFigure"/>
      </w:pPr>
      <w:r>
        <w:drawing>
          <wp:inline>
            <wp:extent cx="3733800" cy="650013"/>
            <wp:effectExtent b="0" l="0" r="0" t="0"/>
            <wp:docPr descr="Рис. 3: Окно пользовательской активности в WordPres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пользовательской активности в WordPress</w:t>
      </w:r>
    </w:p>
    <w:bookmarkEnd w:id="32"/>
    <w:bookmarkEnd w:id="33"/>
    <w:bookmarkStart w:id="50" w:name="устранение-уязвимости-wordpress-wpdiscuz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Устранение уязвимости WordPress wpDiscuz</w:t>
      </w:r>
    </w:p>
    <w:p>
      <w:pPr>
        <w:pStyle w:val="FirstParagraph"/>
      </w:pPr>
      <w:r>
        <w:t xml:space="preserve">Закрытие уязвимости можно осуществить с помощью отключения плагина WpDiscuz. Для отключения плагина в панели инструментов заходим в раздел «Plugins» и далее отключаем нужный плагин (рис. 4).</w:t>
      </w:r>
    </w:p>
    <w:bookmarkStart w:id="37" w:name="fig:004"/>
    <w:p>
      <w:pPr>
        <w:pStyle w:val="CaptionedFigure"/>
      </w:pPr>
      <w:r>
        <w:drawing>
          <wp:inline>
            <wp:extent cx="3733800" cy="658036"/>
            <wp:effectExtent b="0" l="0" r="0" t="0"/>
            <wp:docPr descr="Рис. 4: Отключение плагина в панели управления в WordPress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8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Отключение плагина в панели управления в WordPress</w:t>
      </w:r>
    </w:p>
    <w:bookmarkEnd w:id="37"/>
    <w:p>
      <w:pPr>
        <w:pStyle w:val="BodyText"/>
      </w:pPr>
      <w:r>
        <w:t xml:space="preserve">Данная нагрузка заключается в том, что нарушитель устанавливает shell сессию с уязвимой машиной. Для обнаружения meterpreter-сессии проверим сокеты уязвимой машины на подключение с помощью утилиты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(рис. 5).</w:t>
      </w:r>
    </w:p>
    <w:bookmarkStart w:id="41" w:name="fig:005"/>
    <w:p>
      <w:pPr>
        <w:pStyle w:val="CaptionedFigure"/>
      </w:pPr>
      <w:r>
        <w:drawing>
          <wp:inline>
            <wp:extent cx="3733800" cy="761536"/>
            <wp:effectExtent b="0" l="0" r="0" t="0"/>
            <wp:docPr descr="Рис. 5: Отображение информации о TCP-соединениях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1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Отображение информации о TCP-соединениях</w:t>
      </w:r>
    </w:p>
    <w:bookmarkEnd w:id="41"/>
    <w:p>
      <w:pPr>
        <w:pStyle w:val="BodyText"/>
      </w:pPr>
      <w:r>
        <w:t xml:space="preserve">Для закрытия вредоносного сокета завершим процесс с помощью команды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(рис. 6).</w:t>
      </w:r>
    </w:p>
    <w:bookmarkStart w:id="45" w:name="fig:006"/>
    <w:p>
      <w:pPr>
        <w:pStyle w:val="CaptionedFigure"/>
      </w:pPr>
      <w:r>
        <w:drawing>
          <wp:inline>
            <wp:extent cx="3099334" cy="173254"/>
            <wp:effectExtent b="0" l="0" r="0" t="0"/>
            <wp:docPr descr="Рис. 6: Процесс закрытия meterpreter-сесси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34" cy="17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Процесс закрытия meterpreter-сессии</w:t>
      </w:r>
    </w:p>
    <w:bookmarkEnd w:id="45"/>
    <w:p>
      <w:pPr>
        <w:pStyle w:val="BodyText"/>
      </w:pPr>
      <w:r>
        <w:t xml:space="preserve">Уязвимость WordPress wpDiscuz устранена (рис. 7).</w:t>
      </w:r>
    </w:p>
    <w:bookmarkStart w:id="49" w:name="fig:007"/>
    <w:p>
      <w:pPr>
        <w:pStyle w:val="CaptionedFigure"/>
      </w:pPr>
      <w:r>
        <w:drawing>
          <wp:inline>
            <wp:extent cx="3733800" cy="287215"/>
            <wp:effectExtent b="0" l="0" r="0" t="0"/>
            <wp:docPr descr="Рис. 7: Устранение уязвимости WordPress wpDiscuz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Устранение уязвимости WordPress wpDiscuz</w:t>
      </w:r>
    </w:p>
    <w:bookmarkEnd w:id="49"/>
    <w:bookmarkEnd w:id="50"/>
    <w:bookmarkStart w:id="67" w:name="устранение-последствия-wordpress-deface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Устранение последствия WordPress Deface</w:t>
      </w:r>
    </w:p>
    <w:p>
      <w:pPr>
        <w:pStyle w:val="FirstParagraph"/>
      </w:pPr>
      <w:r>
        <w:t xml:space="preserve">Данная нагрузка подразумевает изменение внешнего вида сайта путем изменения главной страницы сайта на картинку «hacked» (рис. 8).</w:t>
      </w:r>
    </w:p>
    <w:bookmarkStart w:id="54" w:name="fig:008"/>
    <w:p>
      <w:pPr>
        <w:pStyle w:val="CaptionedFigure"/>
      </w:pPr>
      <w:r>
        <w:drawing>
          <wp:inline>
            <wp:extent cx="3733800" cy="2155001"/>
            <wp:effectExtent b="0" l="0" r="0" t="0"/>
            <wp:docPr descr="Рис. 8: Страничка сайт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5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Страничка сайта</w:t>
      </w:r>
    </w:p>
    <w:bookmarkEnd w:id="54"/>
    <w:p>
      <w:pPr>
        <w:pStyle w:val="BodyText"/>
      </w:pPr>
      <w:r>
        <w:t xml:space="preserve">Для нейтрализации данной нагрузки сформируем backup с помощью плагина Updraft Backup/Restore (рис. 9).</w:t>
      </w:r>
    </w:p>
    <w:bookmarkStart w:id="58" w:name="fig:009"/>
    <w:p>
      <w:pPr>
        <w:pStyle w:val="CaptionedFigure"/>
      </w:pPr>
      <w:r>
        <w:drawing>
          <wp:inline>
            <wp:extent cx="3733800" cy="758826"/>
            <wp:effectExtent b="0" l="0" r="0" t="0"/>
            <wp:docPr descr="Рис. 9: Существующие резервные копии UpdraftPlus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Существующие резервные копии UpdraftPlus</w:t>
      </w:r>
    </w:p>
    <w:bookmarkEnd w:id="58"/>
    <w:p>
      <w:pPr>
        <w:pStyle w:val="BodyText"/>
      </w:pPr>
      <w:r>
        <w:t xml:space="preserve">Выберем самую последнию резервную копию и проведем восстановление (рис. 10).</w:t>
      </w:r>
    </w:p>
    <w:bookmarkStart w:id="62" w:name="fig:010"/>
    <w:p>
      <w:pPr>
        <w:pStyle w:val="CaptionedFigure"/>
      </w:pPr>
      <w:r>
        <w:drawing>
          <wp:inline>
            <wp:extent cx="3733800" cy="1993857"/>
            <wp:effectExtent b="0" l="0" r="0" t="0"/>
            <wp:docPr descr="Рис. 10: Успешное выполнение восстановления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Успешное выполнение восстановления</w:t>
      </w:r>
    </w:p>
    <w:bookmarkEnd w:id="62"/>
    <w:p>
      <w:pPr>
        <w:pStyle w:val="BodyText"/>
      </w:pPr>
      <w:r>
        <w:t xml:space="preserve">Последствие «Deface» веб-интерфейса успешно устранено (рис. 11).</w:t>
      </w:r>
    </w:p>
    <w:bookmarkStart w:id="66" w:name="fig:011"/>
    <w:p>
      <w:pPr>
        <w:pStyle w:val="CaptionedFigure"/>
      </w:pPr>
      <w:r>
        <w:drawing>
          <wp:inline>
            <wp:extent cx="3733800" cy="225266"/>
            <wp:effectExtent b="0" l="0" r="0" t="0"/>
            <wp:docPr descr="Рис. 11: Устранение последствия WordPress Deface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Устранение последствия WordPress Deface</w:t>
      </w:r>
    </w:p>
    <w:bookmarkEnd w:id="66"/>
    <w:bookmarkEnd w:id="67"/>
    <w:bookmarkEnd w:id="68"/>
    <w:bookmarkStart w:id="136" w:name="X79c64d00d8edf85cb178bdd0333606e57025258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Уязвимость RocketChat RCE и последствие RocketChat meterpreter</w:t>
      </w:r>
    </w:p>
    <w:bookmarkStart w:id="81" w:name="обнаружение-уязвимости-rocketchat-rce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Обнаружение уязвимости RocketChat RCE</w:t>
      </w:r>
    </w:p>
    <w:p>
      <w:pPr>
        <w:pStyle w:val="FirstParagraph"/>
      </w:pPr>
      <w:r>
        <w:t xml:space="preserve">Детектируем скачивание вредоносного файла в формате «.elf» для установки TCP-соединения (рис. 12).</w:t>
      </w:r>
    </w:p>
    <w:bookmarkStart w:id="72" w:name="fig:012"/>
    <w:p>
      <w:pPr>
        <w:pStyle w:val="CaptionedFigure"/>
      </w:pPr>
      <w:r>
        <w:drawing>
          <wp:inline>
            <wp:extent cx="3733800" cy="1134257"/>
            <wp:effectExtent b="0" l="0" r="0" t="0"/>
            <wp:docPr descr="Рис. 12: События ИБ в сетевом сенсоре ViPNet IDS NS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4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События ИБ в сетевом сенсоре ViPNet IDS NS</w:t>
      </w:r>
    </w:p>
    <w:bookmarkEnd w:id="72"/>
    <w:p>
      <w:pPr>
        <w:pStyle w:val="BodyText"/>
      </w:pPr>
      <w:r>
        <w:t xml:space="preserve">После восстановления пароля администратора (см. следующий пункт) в веб-интерфейсе RocketChat можем увидеть добавленные сценарии (рис. 13, рис. 14).</w:t>
      </w:r>
    </w:p>
    <w:bookmarkStart w:id="76" w:name="fig:013"/>
    <w:p>
      <w:pPr>
        <w:pStyle w:val="CaptionedFigure"/>
      </w:pPr>
      <w:r>
        <w:drawing>
          <wp:inline>
            <wp:extent cx="3733800" cy="985666"/>
            <wp:effectExtent b="0" l="0" r="0" t="0"/>
            <wp:docPr descr="Рис. 13: Выполнение сценариев" title="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5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Выполнение сценариев</w:t>
      </w:r>
    </w:p>
    <w:bookmarkEnd w:id="76"/>
    <w:bookmarkStart w:id="80" w:name="fig:014"/>
    <w:p>
      <w:pPr>
        <w:pStyle w:val="CaptionedFigure"/>
      </w:pPr>
      <w:r>
        <w:drawing>
          <wp:inline>
            <wp:extent cx="3733800" cy="663122"/>
            <wp:effectExtent b="0" l="0" r="0" t="0"/>
            <wp:docPr descr="Рис. 14: Сценарий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3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Сценарий</w:t>
      </w:r>
    </w:p>
    <w:bookmarkEnd w:id="80"/>
    <w:bookmarkEnd w:id="81"/>
    <w:bookmarkStart w:id="122" w:name="устранение-уязвимости-rocketchat-rce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Устранение уязвимости RocketChat RCE</w:t>
      </w:r>
    </w:p>
    <w:p>
      <w:pPr>
        <w:pStyle w:val="FirstParagraph"/>
      </w:pPr>
      <w:r>
        <w:t xml:space="preserve">Для восстановления доступа к аккаунту администратора сбросим пароль. Письмо с инструкциями для сброса пароля читаем в файле</w:t>
      </w:r>
      <w:r>
        <w:t xml:space="preserve"> </w:t>
      </w:r>
      <w:r>
        <w:rPr>
          <w:rStyle w:val="VerbatimChar"/>
        </w:rPr>
        <w:t xml:space="preserve">/var/mail/admin</w:t>
      </w:r>
      <w:r>
        <w:t xml:space="preserve"> </w:t>
      </w:r>
      <w:r>
        <w:t xml:space="preserve">(рис. 15, рис. 16)</w:t>
      </w:r>
    </w:p>
    <w:bookmarkStart w:id="85" w:name="fig:015"/>
    <w:p>
      <w:pPr>
        <w:pStyle w:val="CaptionedFigure"/>
      </w:pPr>
      <w:r>
        <w:drawing>
          <wp:inline>
            <wp:extent cx="3733800" cy="1862197"/>
            <wp:effectExtent b="0" l="0" r="0" t="0"/>
            <wp:docPr descr="Рис. 15: Восстановление пароля" title="" id="83" name="Picture"/>
            <a:graphic>
              <a:graphicData uri="http://schemas.openxmlformats.org/drawingml/2006/picture">
                <pic:pic>
                  <pic:nvPicPr>
                    <pic:cNvPr descr="image/20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2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Восстановление пароля</w:t>
      </w:r>
    </w:p>
    <w:bookmarkEnd w:id="85"/>
    <w:bookmarkStart w:id="89" w:name="fig:016"/>
    <w:p>
      <w:pPr>
        <w:pStyle w:val="CaptionedFigure"/>
      </w:pPr>
      <w:r>
        <w:drawing>
          <wp:inline>
            <wp:extent cx="3733800" cy="442234"/>
            <wp:effectExtent b="0" l="0" r="0" t="0"/>
            <wp:docPr descr="Рис. 16: Ссылка для сброса пароля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Ссылка для сброса пароля</w:t>
      </w:r>
    </w:p>
    <w:bookmarkEnd w:id="89"/>
    <w:p>
      <w:pPr>
        <w:pStyle w:val="BodyText"/>
      </w:pPr>
      <w:r>
        <w:t xml:space="preserve">Переходим по ссылке и вводим новый пароль. Также для учетной записи администратора настроена двухфакторная аутентификация, воспользуемся кодами восстановления, которые записаны в файле</w:t>
      </w:r>
      <w:r>
        <w:t xml:space="preserve"> </w:t>
      </w:r>
      <w:r>
        <w:rPr>
          <w:rStyle w:val="VerbatimChar"/>
        </w:rPr>
        <w:t xml:space="preserve">/home/user/backup_codes</w:t>
      </w:r>
      <w:r>
        <w:t xml:space="preserve"> </w:t>
      </w:r>
      <w:r>
        <w:t xml:space="preserve">(рис. 17, рис. 18).</w:t>
      </w:r>
    </w:p>
    <w:bookmarkStart w:id="93" w:name="fig:017"/>
    <w:p>
      <w:pPr>
        <w:pStyle w:val="CaptionedFigure"/>
      </w:pPr>
      <w:r>
        <w:drawing>
          <wp:inline>
            <wp:extent cx="3733800" cy="2260537"/>
            <wp:effectExtent b="0" l="0" r="0" t="0"/>
            <wp:docPr descr="Рис. 17: Восстановление пароля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Восстановление пароля</w:t>
      </w:r>
    </w:p>
    <w:bookmarkEnd w:id="93"/>
    <w:bookmarkStart w:id="97" w:name="fig:018"/>
    <w:p>
      <w:pPr>
        <w:pStyle w:val="CaptionedFigure"/>
      </w:pPr>
      <w:r>
        <w:drawing>
          <wp:inline>
            <wp:extent cx="3733800" cy="390944"/>
            <wp:effectExtent b="0" l="0" r="0" t="0"/>
            <wp:docPr descr="Рис. 18: Коды восстановления" title="" id="95" name="Picture"/>
            <a:graphic>
              <a:graphicData uri="http://schemas.openxmlformats.org/drawingml/2006/picture">
                <pic:pic>
                  <pic:nvPicPr>
                    <pic:cNvPr descr="image/23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Коды восстановления</w:t>
      </w:r>
    </w:p>
    <w:bookmarkEnd w:id="97"/>
    <w:p>
      <w:pPr>
        <w:pStyle w:val="BodyText"/>
      </w:pPr>
      <w:r>
        <w:t xml:space="preserve">Включим обязательный второй фактор для всех пользователей. Зайдем в «Администрирование», выберем роль и активируем параметр «Пользователи должны использовать двухфакторную аутентификацию» (рис. 19).</w:t>
      </w:r>
    </w:p>
    <w:bookmarkStart w:id="101" w:name="fig:019"/>
    <w:p>
      <w:pPr>
        <w:pStyle w:val="CaptionedFigure"/>
      </w:pPr>
      <w:r>
        <w:drawing>
          <wp:inline>
            <wp:extent cx="3733800" cy="3108241"/>
            <wp:effectExtent b="0" l="0" r="0" t="0"/>
            <wp:docPr descr="Рис. 19: Настройка обязательной двухфакторной аутентификации" title="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8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Настройка обязательной двухфакторной аутентификации</w:t>
      </w:r>
    </w:p>
    <w:bookmarkEnd w:id="101"/>
    <w:p>
      <w:pPr>
        <w:pStyle w:val="BodyText"/>
      </w:pPr>
      <w:r>
        <w:t xml:space="preserve">Настроим автоматическое подтверждение почты во вкладке «Администрирование» (рис. 20).</w:t>
      </w:r>
    </w:p>
    <w:bookmarkStart w:id="105" w:name="fig:020"/>
    <w:p>
      <w:pPr>
        <w:pStyle w:val="CaptionedFigure"/>
      </w:pPr>
      <w:r>
        <w:drawing>
          <wp:inline>
            <wp:extent cx="3733800" cy="3522883"/>
            <wp:effectExtent b="0" l="0" r="0" t="0"/>
            <wp:docPr descr="Рис. 20: Настройка регистрации новых пользователей" title="" id="103" name="Picture"/>
            <a:graphic>
              <a:graphicData uri="http://schemas.openxmlformats.org/drawingml/2006/picture">
                <pic:pic>
                  <pic:nvPicPr>
                    <pic:cNvPr descr="image/25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Настройка регистрации новых пользователей</w:t>
      </w:r>
    </w:p>
    <w:bookmarkEnd w:id="105"/>
    <w:p>
      <w:pPr>
        <w:pStyle w:val="BodyText"/>
      </w:pPr>
      <w:r>
        <w:t xml:space="preserve">Настроим автоматическую двухфакторную аутентификацию по электронной почте для новых пользователей во вкладке «Администрирование» (рис. 21).</w:t>
      </w:r>
    </w:p>
    <w:bookmarkStart w:id="109" w:name="fig:021"/>
    <w:p>
      <w:pPr>
        <w:pStyle w:val="CaptionedFigure"/>
      </w:pPr>
      <w:r>
        <w:drawing>
          <wp:inline>
            <wp:extent cx="3733800" cy="842210"/>
            <wp:effectExtent b="0" l="0" r="0" t="0"/>
            <wp:docPr descr="Рис. 21: Настройка автоматической двухфакторной аутентификации" title="" id="107" name="Picture"/>
            <a:graphic>
              <a:graphicData uri="http://schemas.openxmlformats.org/drawingml/2006/picture">
                <pic:pic>
                  <pic:nvPicPr>
                    <pic:cNvPr descr="image/2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Настройка автоматической двухфакторной аутентификации</w:t>
      </w:r>
    </w:p>
    <w:bookmarkEnd w:id="109"/>
    <w:p>
      <w:pPr>
        <w:pStyle w:val="BodyText"/>
      </w:pPr>
      <w:r>
        <w:t xml:space="preserve">Вторая NoSQL инъекция для повышения привилегий использует высокоуровневый оператор БД</w:t>
      </w:r>
      <w:r>
        <w:t xml:space="preserve"> </w:t>
      </w:r>
      <w:r>
        <w:rPr>
          <w:rStyle w:val="VerbatimChar"/>
        </w:rPr>
        <w:t xml:space="preserve">$where</w:t>
      </w:r>
      <w:r>
        <w:t xml:space="preserve">, то отключим выполнения JavaScript на стороне сервера базы данных. Для этого отредактируем файл конфигурации БД</w:t>
      </w:r>
      <w:r>
        <w:t xml:space="preserve"> </w:t>
      </w:r>
      <w:r>
        <w:rPr>
          <w:rStyle w:val="VerbatimChar"/>
        </w:rPr>
        <w:t xml:space="preserve">/etc/mongod.conf</w:t>
      </w:r>
      <w:r>
        <w:t xml:space="preserve"> </w:t>
      </w:r>
      <w:r>
        <w:t xml:space="preserve">(рис. 22).</w:t>
      </w:r>
    </w:p>
    <w:bookmarkStart w:id="113" w:name="fig:022"/>
    <w:p>
      <w:pPr>
        <w:pStyle w:val="CaptionedFigure"/>
      </w:pPr>
      <w:r>
        <w:drawing>
          <wp:inline>
            <wp:extent cx="2983831" cy="789271"/>
            <wp:effectExtent b="0" l="0" r="0" t="0"/>
            <wp:docPr descr="Рис. 22: Настройка конфигурации БД" title="" id="111" name="Picture"/>
            <a:graphic>
              <a:graphicData uri="http://schemas.openxmlformats.org/drawingml/2006/picture">
                <pic:pic>
                  <pic:nvPicPr>
                    <pic:cNvPr descr="image/2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31" cy="78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Настройка конфигурации БД</w:t>
      </w:r>
    </w:p>
    <w:bookmarkEnd w:id="113"/>
    <w:p>
      <w:pPr>
        <w:pStyle w:val="BodyText"/>
      </w:pPr>
      <w:r>
        <w:t xml:space="preserve">Для применения настроек перезапустим службу (рис. 23).</w:t>
      </w:r>
    </w:p>
    <w:bookmarkStart w:id="117" w:name="fig:023"/>
    <w:p>
      <w:pPr>
        <w:pStyle w:val="CaptionedFigure"/>
      </w:pPr>
      <w:r>
        <w:drawing>
          <wp:inline>
            <wp:extent cx="3733800" cy="198606"/>
            <wp:effectExtent b="0" l="0" r="0" t="0"/>
            <wp:docPr descr="Рис. 23: Перезапуск службы" title="" id="115" name="Picture"/>
            <a:graphic>
              <a:graphicData uri="http://schemas.openxmlformats.org/drawingml/2006/picture">
                <pic:pic>
                  <pic:nvPicPr>
                    <pic:cNvPr descr="image/28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Перезапуск службы</w:t>
      </w:r>
    </w:p>
    <w:bookmarkEnd w:id="117"/>
    <w:p>
      <w:pPr>
        <w:pStyle w:val="BodyText"/>
      </w:pPr>
      <w:r>
        <w:t xml:space="preserve">Уязвимость RocketChat RCE устранена (рис. 24).</w:t>
      </w:r>
    </w:p>
    <w:bookmarkStart w:id="121" w:name="fig:024"/>
    <w:p>
      <w:pPr>
        <w:pStyle w:val="CaptionedFigure"/>
      </w:pPr>
      <w:r>
        <w:drawing>
          <wp:inline>
            <wp:extent cx="3733800" cy="304110"/>
            <wp:effectExtent b="0" l="0" r="0" t="0"/>
            <wp:docPr descr="Рис. 24: Устранение уязвимости RocketChat RCE" title="" id="119" name="Picture"/>
            <a:graphic>
              <a:graphicData uri="http://schemas.openxmlformats.org/drawingml/2006/picture">
                <pic:pic>
                  <pic:nvPicPr>
                    <pic:cNvPr descr="image/29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Устранение уязвимости RocketChat RCE</w:t>
      </w:r>
    </w:p>
    <w:bookmarkEnd w:id="121"/>
    <w:bookmarkEnd w:id="122"/>
    <w:bookmarkStart w:id="135" w:name="X6250b4976b77aa4eec612eb49e9dbdbdc73fe05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Устранение последствия RocketChat meterpreter</w:t>
      </w:r>
    </w:p>
    <w:p>
      <w:pPr>
        <w:pStyle w:val="FirstParagraph"/>
      </w:pPr>
      <w:r>
        <w:t xml:space="preserve">Для устранения meterpreter-сессии сначала выполним команду</w:t>
      </w:r>
      <w:r>
        <w:t xml:space="preserve"> </w:t>
      </w:r>
      <w:r>
        <w:rPr>
          <w:rStyle w:val="VerbatimChar"/>
        </w:rPr>
        <w:t xml:space="preserve">ss -tp</w:t>
      </w:r>
      <w:r>
        <w:t xml:space="preserve"> </w:t>
      </w:r>
      <w:r>
        <w:t xml:space="preserve">для обнаружения активных соединений, а после командой</w:t>
      </w:r>
      <w:r>
        <w:t xml:space="preserve"> </w:t>
      </w:r>
      <w:r>
        <w:rPr>
          <w:rStyle w:val="VerbatimChar"/>
        </w:rPr>
        <w:t xml:space="preserve">sudo kill</w:t>
      </w:r>
      <w:r>
        <w:t xml:space="preserve"> </w:t>
      </w:r>
      <w:r>
        <w:t xml:space="preserve">завершим процесс, устанавливающий соединение с хостом злоумышленника (рис. 25, рис. 26).</w:t>
      </w:r>
    </w:p>
    <w:bookmarkStart w:id="126" w:name="fig:025"/>
    <w:p>
      <w:pPr>
        <w:pStyle w:val="CaptionedFigure"/>
      </w:pPr>
      <w:r>
        <w:drawing>
          <wp:inline>
            <wp:extent cx="3733800" cy="366465"/>
            <wp:effectExtent b="0" l="0" r="0" t="0"/>
            <wp:docPr descr="Рис. 25: Сокет с узлом нарушителя" title="" id="124" name="Picture"/>
            <a:graphic>
              <a:graphicData uri="http://schemas.openxmlformats.org/drawingml/2006/picture">
                <pic:pic>
                  <pic:nvPicPr>
                    <pic:cNvPr descr="image/33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Сокет с узлом нарушителя</w:t>
      </w:r>
    </w:p>
    <w:bookmarkEnd w:id="126"/>
    <w:bookmarkStart w:id="130" w:name="fig:026"/>
    <w:p>
      <w:pPr>
        <w:pStyle w:val="CaptionedFigure"/>
      </w:pPr>
      <w:r>
        <w:drawing>
          <wp:inline>
            <wp:extent cx="3416968" cy="221381"/>
            <wp:effectExtent b="0" l="0" r="0" t="0"/>
            <wp:docPr descr="Рис. 26: Завершение процесса" title="" id="128" name="Picture"/>
            <a:graphic>
              <a:graphicData uri="http://schemas.openxmlformats.org/drawingml/2006/picture">
                <pic:pic>
                  <pic:nvPicPr>
                    <pic:cNvPr descr="image/3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22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Завершение процесса</w:t>
      </w:r>
    </w:p>
    <w:bookmarkEnd w:id="130"/>
    <w:p>
      <w:pPr>
        <w:pStyle w:val="BodyText"/>
      </w:pPr>
      <w:r>
        <w:t xml:space="preserve">Последствие RocketChat meterpreter успешно устранено (рис. 27).</w:t>
      </w:r>
    </w:p>
    <w:bookmarkStart w:id="134" w:name="fig:027"/>
    <w:p>
      <w:pPr>
        <w:pStyle w:val="CaptionedFigure"/>
      </w:pPr>
      <w:r>
        <w:drawing>
          <wp:inline>
            <wp:extent cx="3733800" cy="274709"/>
            <wp:effectExtent b="0" l="0" r="0" t="0"/>
            <wp:docPr descr="Рис. 27: Устранение последствия RocketChat meterpreter" title="" id="132" name="Picture"/>
            <a:graphic>
              <a:graphicData uri="http://schemas.openxmlformats.org/drawingml/2006/picture">
                <pic:pic>
                  <pic:nvPicPr>
                    <pic:cNvPr descr="image/3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Устранение последствия RocketChat meterpreter</w:t>
      </w:r>
    </w:p>
    <w:bookmarkEnd w:id="134"/>
    <w:bookmarkEnd w:id="135"/>
    <w:bookmarkEnd w:id="136"/>
    <w:bookmarkStart w:id="180" w:name="Xc52cc9b8f687a5b87253abe0c704f9465514d89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Уязвимость Proxylogon и последствие Exchange China Chopper</w:t>
      </w:r>
    </w:p>
    <w:bookmarkStart w:id="141" w:name="обнаружение-уязвимости-proxylogon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Обнаружение уязвимости Proxylogon</w:t>
      </w:r>
    </w:p>
    <w:p>
      <w:pPr>
        <w:pStyle w:val="FirstParagraph"/>
      </w:pPr>
      <w:r>
        <w:t xml:space="preserve">С помощью ViPNet IDS NS обнаруживаем несколько событий, которые связаны с эксплуатацией уязвимости Proxylogon (рис. 28).</w:t>
      </w:r>
    </w:p>
    <w:bookmarkStart w:id="140" w:name="fig:028"/>
    <w:p>
      <w:pPr>
        <w:pStyle w:val="CaptionedFigure"/>
      </w:pPr>
      <w:r>
        <w:drawing>
          <wp:inline>
            <wp:extent cx="3733800" cy="592590"/>
            <wp:effectExtent b="0" l="0" r="0" t="0"/>
            <wp:docPr descr="Рис. 28: Список событий, направленных на уязвимый сервер" title="" id="138" name="Picture"/>
            <a:graphic>
              <a:graphicData uri="http://schemas.openxmlformats.org/drawingml/2006/picture">
                <pic:pic>
                  <pic:nvPicPr>
                    <pic:cNvPr descr="image/3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2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Список событий, направленных на уязвимый сервер</w:t>
      </w:r>
    </w:p>
    <w:bookmarkEnd w:id="140"/>
    <w:bookmarkEnd w:id="141"/>
    <w:bookmarkStart w:id="166" w:name="устранение-уязвимости-proxylogon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Устранение уязвимости Proxylogon</w:t>
      </w:r>
    </w:p>
    <w:p>
      <w:pPr>
        <w:pStyle w:val="FirstParagraph"/>
      </w:pPr>
      <w:r>
        <w:t xml:space="preserve">Во время эксплуатации уязвимости Proxylogon нарушитель совершает GET и POST запросы к</w:t>
      </w:r>
      <w:r>
        <w:t xml:space="preserve"> </w:t>
      </w:r>
      <w:r>
        <w:rPr>
          <w:rStyle w:val="VerbatimChar"/>
        </w:rPr>
        <w:t xml:space="preserve">/ecp</w:t>
      </w:r>
      <w:r>
        <w:t xml:space="preserve">. Ограничим доступ к директории, чтобы уязвимость не эксплуатировалась, с помощью Internet Information Services Manager (рис. 29, рис. 30).</w:t>
      </w:r>
    </w:p>
    <w:bookmarkStart w:id="145" w:name="fig:029"/>
    <w:p>
      <w:pPr>
        <w:pStyle w:val="CaptionedFigure"/>
      </w:pPr>
      <w:r>
        <w:drawing>
          <wp:inline>
            <wp:extent cx="3733800" cy="726016"/>
            <wp:effectExtent b="0" l="0" r="0" t="0"/>
            <wp:docPr descr="Рис. 29: Окно IIS" title="" id="143" name="Picture"/>
            <a:graphic>
              <a:graphicData uri="http://schemas.openxmlformats.org/drawingml/2006/picture">
                <pic:pic>
                  <pic:nvPicPr>
                    <pic:cNvPr descr="image/38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Окно IIS</w:t>
      </w:r>
    </w:p>
    <w:bookmarkEnd w:id="145"/>
    <w:bookmarkStart w:id="149" w:name="fig:030"/>
    <w:p>
      <w:pPr>
        <w:pStyle w:val="CaptionedFigure"/>
      </w:pPr>
      <w:r>
        <w:drawing>
          <wp:inline>
            <wp:extent cx="3733800" cy="2851434"/>
            <wp:effectExtent b="0" l="0" r="0" t="0"/>
            <wp:docPr descr="Рис. 30: IP Address and Domain Restrictions" title="" id="147" name="Picture"/>
            <a:graphic>
              <a:graphicData uri="http://schemas.openxmlformats.org/drawingml/2006/picture">
                <pic:pic>
                  <pic:nvPicPr>
                    <pic:cNvPr descr="image/39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1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IP Address and Domain Restrictions</w:t>
      </w:r>
    </w:p>
    <w:bookmarkEnd w:id="149"/>
    <w:p>
      <w:pPr>
        <w:pStyle w:val="BodyText"/>
      </w:pPr>
      <w:r>
        <w:t xml:space="preserve">Также обнаруживаем meterpreter-сессию нарушителя с уязвимым сервером при помощи утилиты</w:t>
      </w:r>
      <w:r>
        <w:t xml:space="preserve"> </w:t>
      </w:r>
      <w:r>
        <w:rPr>
          <w:rStyle w:val="VerbatimChar"/>
        </w:rPr>
        <w:t xml:space="preserve">netstat</w:t>
      </w:r>
      <w:r>
        <w:t xml:space="preserve"> </w:t>
      </w:r>
      <w:r>
        <w:t xml:space="preserve">с ключами</w:t>
      </w:r>
      <w:r>
        <w:t xml:space="preserve"> </w:t>
      </w:r>
      <w:r>
        <w:rPr>
          <w:rStyle w:val="VerbatimChar"/>
        </w:rPr>
        <w:t xml:space="preserve">-b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-o</w:t>
      </w:r>
      <w:r>
        <w:t xml:space="preserve"> </w:t>
      </w:r>
      <w:r>
        <w:t xml:space="preserve">(рис. 31).</w:t>
      </w:r>
    </w:p>
    <w:bookmarkStart w:id="153" w:name="fig:031"/>
    <w:p>
      <w:pPr>
        <w:pStyle w:val="CaptionedFigure"/>
      </w:pPr>
      <w:r>
        <w:drawing>
          <wp:inline>
            <wp:extent cx="3733800" cy="414866"/>
            <wp:effectExtent b="0" l="0" r="0" t="0"/>
            <wp:docPr descr="Рис. 31: Сокет с узлом нарушителя" title="" id="151" name="Picture"/>
            <a:graphic>
              <a:graphicData uri="http://schemas.openxmlformats.org/drawingml/2006/picture">
                <pic:pic>
                  <pic:nvPicPr>
                    <pic:cNvPr descr="image/40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Сокет с узлом нарушителя</w:t>
      </w:r>
    </w:p>
    <w:bookmarkEnd w:id="153"/>
    <w:p>
      <w:pPr>
        <w:pStyle w:val="BodyText"/>
      </w:pPr>
      <w:r>
        <w:t xml:space="preserve">Завершим meterpreter-сессию нарушителя с уязвимым сервером (рис. 32, рис. 33).</w:t>
      </w:r>
    </w:p>
    <w:bookmarkStart w:id="157" w:name="fig:032"/>
    <w:p>
      <w:pPr>
        <w:pStyle w:val="CaptionedFigure"/>
      </w:pPr>
      <w:r>
        <w:drawing>
          <wp:inline>
            <wp:extent cx="3368842" cy="221381"/>
            <wp:effectExtent b="0" l="0" r="0" t="0"/>
            <wp:docPr descr="Рис. 32: Завершение процесса" title="" id="155" name="Picture"/>
            <a:graphic>
              <a:graphicData uri="http://schemas.openxmlformats.org/drawingml/2006/picture">
                <pic:pic>
                  <pic:nvPicPr>
                    <pic:cNvPr descr="image/4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2" cy="22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Завершение процесса</w:t>
      </w:r>
    </w:p>
    <w:bookmarkEnd w:id="157"/>
    <w:bookmarkStart w:id="161" w:name="fig:033"/>
    <w:p>
      <w:pPr>
        <w:pStyle w:val="CaptionedFigure"/>
      </w:pPr>
      <w:r>
        <w:drawing>
          <wp:inline>
            <wp:extent cx="3733800" cy="321750"/>
            <wp:effectExtent b="0" l="0" r="0" t="0"/>
            <wp:docPr descr="Рис. 33: Завершение процесса" title="" id="159" name="Picture"/>
            <a:graphic>
              <a:graphicData uri="http://schemas.openxmlformats.org/drawingml/2006/picture">
                <pic:pic>
                  <pic:nvPicPr>
                    <pic:cNvPr descr="image/42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Завершение процесса</w:t>
      </w:r>
    </w:p>
    <w:bookmarkEnd w:id="161"/>
    <w:p>
      <w:pPr>
        <w:pStyle w:val="BodyText"/>
      </w:pPr>
      <w:r>
        <w:t xml:space="preserve">Уязвимость Proxylogon устранена (рис. 34).</w:t>
      </w:r>
    </w:p>
    <w:bookmarkStart w:id="165" w:name="fig:034"/>
    <w:p>
      <w:pPr>
        <w:pStyle w:val="CaptionedFigure"/>
      </w:pPr>
      <w:r>
        <w:drawing>
          <wp:inline>
            <wp:extent cx="3733800" cy="342956"/>
            <wp:effectExtent b="0" l="0" r="0" t="0"/>
            <wp:docPr descr="Рис. 34: Устранение уязвимости Proxylogon" title="" id="163" name="Picture"/>
            <a:graphic>
              <a:graphicData uri="http://schemas.openxmlformats.org/drawingml/2006/picture">
                <pic:pic>
                  <pic:nvPicPr>
                    <pic:cNvPr descr="image/43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Устранение уязвимости Proxylogon</w:t>
      </w:r>
    </w:p>
    <w:bookmarkEnd w:id="165"/>
    <w:bookmarkEnd w:id="166"/>
    <w:bookmarkStart w:id="179" w:name="X38a70d20b51458db0de0642496986eb74410822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Устранение последствия Exchange China Chopper</w:t>
      </w:r>
    </w:p>
    <w:p>
      <w:pPr>
        <w:pStyle w:val="FirstParagraph"/>
      </w:pPr>
      <w:r>
        <w:t xml:space="preserve">Backdoor China Chopper установлен в самую очевидную для таких атак директорию. Находим его в</w:t>
      </w:r>
      <w:r>
        <w:t xml:space="preserve"> </w:t>
      </w:r>
      <w:r>
        <w:rPr>
          <w:rStyle w:val="VerbatimChar"/>
        </w:rPr>
        <w:t xml:space="preserve">С:\ProgramFiles\Microsoft\Exchange Server\V15\FrontEnd\HttpProxy\owa\auth\AM_backdoor.aspx</w:t>
      </w:r>
      <w:r>
        <w:t xml:space="preserve"> </w:t>
      </w:r>
      <w:r>
        <w:t xml:space="preserve">(рис. 35).</w:t>
      </w:r>
    </w:p>
    <w:bookmarkStart w:id="170" w:name="fig:035"/>
    <w:p>
      <w:pPr>
        <w:pStyle w:val="CaptionedFigure"/>
      </w:pPr>
      <w:r>
        <w:drawing>
          <wp:inline>
            <wp:extent cx="3733800" cy="1212402"/>
            <wp:effectExtent b="0" l="0" r="0" t="0"/>
            <wp:docPr descr="Рис. 35: Backdoor China Chopper" title="" id="168" name="Picture"/>
            <a:graphic>
              <a:graphicData uri="http://schemas.openxmlformats.org/drawingml/2006/picture">
                <pic:pic>
                  <pic:nvPicPr>
                    <pic:cNvPr descr="image/44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Backdoor China Chopper</w:t>
      </w:r>
    </w:p>
    <w:bookmarkEnd w:id="170"/>
    <w:p>
      <w:pPr>
        <w:pStyle w:val="BodyText"/>
      </w:pPr>
      <w:r>
        <w:t xml:space="preserve">Для устранения нагрузки Backdoor China Chopper удаляем файл веб-оболочки и завершаем meterpreter-сессию, что уже было сделано в предыдущем пункте (рис. 36).</w:t>
      </w:r>
    </w:p>
    <w:bookmarkStart w:id="174" w:name="fig:036"/>
    <w:p>
      <w:pPr>
        <w:pStyle w:val="CaptionedFigure"/>
      </w:pPr>
      <w:r>
        <w:drawing>
          <wp:inline>
            <wp:extent cx="3715351" cy="3888606"/>
            <wp:effectExtent b="0" l="0" r="0" t="0"/>
            <wp:docPr descr="Рис. 36: Backdoor China Chopper" title="" id="172" name="Picture"/>
            <a:graphic>
              <a:graphicData uri="http://schemas.openxmlformats.org/drawingml/2006/picture">
                <pic:pic>
                  <pic:nvPicPr>
                    <pic:cNvPr descr="image/45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51" cy="3888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Backdoor China Chopper</w:t>
      </w:r>
    </w:p>
    <w:bookmarkEnd w:id="174"/>
    <w:p>
      <w:pPr>
        <w:pStyle w:val="BodyText"/>
      </w:pPr>
      <w:r>
        <w:t xml:space="preserve">Последствие Exchange China Chopper успешно устранено (рис. 37).</w:t>
      </w:r>
    </w:p>
    <w:bookmarkStart w:id="178" w:name="fig:037"/>
    <w:p>
      <w:pPr>
        <w:pStyle w:val="CaptionedFigure"/>
      </w:pPr>
      <w:r>
        <w:drawing>
          <wp:inline>
            <wp:extent cx="3733800" cy="258666"/>
            <wp:effectExtent b="0" l="0" r="0" t="0"/>
            <wp:docPr descr="Рис. 37: Устранение последствия Exchange China Chopper" title="" id="176" name="Picture"/>
            <a:graphic>
              <a:graphicData uri="http://schemas.openxmlformats.org/drawingml/2006/picture">
                <pic:pic>
                  <pic:nvPicPr>
                    <pic:cNvPr descr="image/46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Устранение последствия Exchange China Chopper</w:t>
      </w:r>
    </w:p>
    <w:bookmarkEnd w:id="178"/>
    <w:bookmarkEnd w:id="179"/>
    <w:bookmarkEnd w:id="180"/>
    <w:bookmarkEnd w:id="181"/>
    <w:bookmarkStart w:id="18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мы успешно устранили три уязвимости и три последствия (рис. 38):</w:t>
      </w:r>
      <w:r>
        <w:br/>
      </w:r>
      <w:r>
        <w:t xml:space="preserve">1) Уязвимость WordPress wpDiscuz и последствие WordPress Deface;</w:t>
      </w:r>
      <w:r>
        <w:br/>
      </w:r>
      <w:r>
        <w:t xml:space="preserve">2) Уязвимость RocketChat RCE и последствие RocketChat meterpreter;</w:t>
      </w:r>
      <w:r>
        <w:br/>
      </w:r>
      <w:r>
        <w:t xml:space="preserve">3) Уязвимость Proxylogon и последствие Exchange China Chopper.</w:t>
      </w:r>
    </w:p>
    <w:bookmarkStart w:id="185" w:name="fig:038"/>
    <w:p>
      <w:pPr>
        <w:pStyle w:val="CaptionedFigure"/>
      </w:pPr>
      <w:r>
        <w:drawing>
          <wp:inline>
            <wp:extent cx="3733800" cy="1001561"/>
            <wp:effectExtent b="0" l="0" r="0" t="0"/>
            <wp:docPr descr="Рис. 38: Успешное устранение уязвимостей и последствий" title="" id="183" name="Picture"/>
            <a:graphic>
              <a:graphicData uri="http://schemas.openxmlformats.org/drawingml/2006/picture">
                <pic:pic>
                  <pic:nvPicPr>
                    <pic:cNvPr descr="image/47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Успешное устранение уязвимостей и последствий</w:t>
      </w:r>
    </w:p>
    <w:bookmarkEnd w:id="185"/>
    <w:bookmarkEnd w:id="1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29" Target="media/rId2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7" Target="media/rId137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34" Target="media/rId34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82" Target="media/rId182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Панченко Д.Д. 1132229056; Савурская П.А. 1132222827; Кочарян Н.Р. 1132221541; Чистякова Д.В. 1132220820</dc:creator>
  <dc:language>ru-RU</dc:language>
  <cp:keywords/>
  <dcterms:created xsi:type="dcterms:W3CDTF">2025-03-31T16:19:09Z</dcterms:created>
  <dcterms:modified xsi:type="dcterms:W3CDTF">2025-03-31T16:19:09Z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Рис.</vt:lpwstr>
  </property>
  <property fmtid="{D5CDD505-2E9C-101B-9397-08002B2CF9AE}" pid="31" name="fontsize">
    <vt:lpwstr>12pt</vt:lpwstr>
  </property>
  <property fmtid="{D5CDD505-2E9C-101B-9397-08002B2CF9AE}" pid="32" name="header-includes">
    <vt:lpwstr/>
  </property>
  <property fmtid="{D5CDD505-2E9C-101B-9397-08002B2CF9AE}" pid="33" name="indent">
    <vt:lpwstr>True</vt:lpwstr>
  </property>
  <property fmtid="{D5CDD505-2E9C-101B-9397-08002B2CF9AE}" pid="34" name="lastDelim">
    <vt:lpwstr>, </vt:lpwstr>
  </property>
  <property fmtid="{D5CDD505-2E9C-101B-9397-08002B2CF9AE}" pid="35" name="linestretch">
    <vt:lpwstr>1.5</vt:lpwstr>
  </property>
  <property fmtid="{D5CDD505-2E9C-101B-9397-08002B2CF9AE}" pid="36" name="linkReferences">
    <vt:lpwstr>False</vt:lpwstr>
  </property>
  <property fmtid="{D5CDD505-2E9C-101B-9397-08002B2CF9AE}" pid="37" name="listItemTitleDelim">
    <vt:lpwstr>.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Листинг</vt:lpwstr>
  </property>
  <property fmtid="{D5CDD505-2E9C-101B-9397-08002B2CF9AE}" pid="40" name="listings">
    <vt:lpwstr>False</vt:lpwstr>
  </property>
  <property fmtid="{D5CDD505-2E9C-101B-9397-08002B2CF9AE}" pid="41" name="lof">
    <vt:lpwstr>False</vt:lpwstr>
  </property>
  <property fmtid="{D5CDD505-2E9C-101B-9397-08002B2CF9AE}" pid="42" name="lofItemTemplate">
    <vt:lpwstr>lofItemTitleilistItemTitleDelimt </vt:lpwstr>
  </property>
  <property fmtid="{D5CDD505-2E9C-101B-9397-08002B2CF9AE}" pid="43" name="lofItemTitle">
    <vt:lpwstr/>
  </property>
  <property fmtid="{D5CDD505-2E9C-101B-9397-08002B2CF9AE}" pid="44" name="lofTitle">
    <vt:lpwstr>Список иллюстраций</vt:lpwstr>
  </property>
  <property fmtid="{D5CDD505-2E9C-101B-9397-08002B2CF9AE}" pid="45" name="lolItemTemplate">
    <vt:lpwstr>lolItemTitleilistItemTitleDelimt </vt:lpwstr>
  </property>
  <property fmtid="{D5CDD505-2E9C-101B-9397-08002B2CF9AE}" pid="46" name="lolItemTitle">
    <vt:lpwstr/>
  </property>
  <property fmtid="{D5CDD505-2E9C-101B-9397-08002B2CF9AE}" pid="47" name="lolTitle">
    <vt:lpwstr>Листинги</vt:lpwstr>
  </property>
  <property fmtid="{D5CDD505-2E9C-101B-9397-08002B2CF9AE}" pid="48" name="lot">
    <vt:lpwstr>False</vt:lpwstr>
  </property>
  <property fmtid="{D5CDD505-2E9C-101B-9397-08002B2CF9AE}" pid="49" name="lotItemTemplate">
    <vt:lpwstr>lotItemTitleilistItemTitleDelimt </vt:lpwstr>
  </property>
  <property fmtid="{D5CDD505-2E9C-101B-9397-08002B2CF9AE}" pid="50" name="lotItemTitle">
    <vt:lpwstr/>
  </property>
  <property fmtid="{D5CDD505-2E9C-101B-9397-08002B2CF9AE}" pid="51" name="lotTitle">
    <vt:lpwstr>Список таблиц</vt:lpwstr>
  </property>
  <property fmtid="{D5CDD505-2E9C-101B-9397-08002B2CF9AE}" pid="52" name="lstLabels">
    <vt:lpwstr>arabic</vt:lpwstr>
  </property>
  <property fmtid="{D5CDD505-2E9C-101B-9397-08002B2CF9AE}" pid="53" name="lstPrefix">
    <vt:lpwstr/>
  </property>
  <property fmtid="{D5CDD505-2E9C-101B-9397-08002B2CF9AE}" pid="54" name="lstPrefixTemplate">
    <vt:lpwstr>p i</vt:lpwstr>
  </property>
  <property fmtid="{D5CDD505-2E9C-101B-9397-08002B2CF9AE}" pid="55" name="mainfont">
    <vt:lpwstr>IBM Plex Serif</vt:lpwstr>
  </property>
  <property fmtid="{D5CDD505-2E9C-101B-9397-08002B2CF9AE}" pid="56" name="mainfontoptions">
    <vt:lpwstr>Ligatures=Common,Ligatures=TeX,Scale=0.94</vt:lpwstr>
  </property>
  <property fmtid="{D5CDD505-2E9C-101B-9397-08002B2CF9AE}" pid="57" name="mathfont">
    <vt:lpwstr>STIX Two Math</vt:lpwstr>
  </property>
  <property fmtid="{D5CDD505-2E9C-101B-9397-08002B2CF9AE}" pid="58" name="mathfontoptions">
    <vt:lpwstr/>
  </property>
  <property fmtid="{D5CDD505-2E9C-101B-9397-08002B2CF9AE}" pid="59" name="monofont">
    <vt:lpwstr>IBM Plex Mono</vt:lpwstr>
  </property>
  <property fmtid="{D5CDD505-2E9C-101B-9397-08002B2CF9AE}" pid="60" name="monofontoptions">
    <vt:lpwstr>Scale=MatchLowercase,Scale=0.94,FakeStretch=0.9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IBM Plex Serif</vt:lpwstr>
  </property>
  <property fmtid="{D5CDD505-2E9C-101B-9397-08002B2CF9AE}" pid="71" name="romanfontoptions">
    <vt:lpwstr>Ligatures=Common,Ligatures=TeX,Scale=0.94</vt:lpwstr>
  </property>
  <property fmtid="{D5CDD505-2E9C-101B-9397-08002B2CF9AE}" pid="72" name="sansfont">
    <vt:lpwstr>IBM Plex Sans</vt:lpwstr>
  </property>
  <property fmtid="{D5CDD505-2E9C-101B-9397-08002B2CF9AE}" pid="73" name="sansfontoptions">
    <vt:lpwstr>Ligatures=Common,Ligatures=TeX,Scale=MatchLowercase,Scale=0.94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Защита корпоративного мессенджера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