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rPr>
      </w:pPr>
      <w:r w:rsidDel="00000000" w:rsidR="00000000" w:rsidRPr="00000000">
        <w:rPr>
          <w:rFonts w:ascii="Roboto" w:cs="Roboto" w:eastAsia="Roboto" w:hAnsi="Roboto"/>
          <w:rtl w:val="0"/>
        </w:rPr>
        <w:t xml:space="preserve">When We first met up we decided that our company would be a furniture store with one central warehouse, several stores/showrooms and suppliers in the local area and would have a record of past customers who they could deliver to. At each store as well as at the warehouse and on delivery they would have multiple members of staff, with each location overseen by a branch manager and an area manager overseeing them all. We settled on this idea because it meets all the requirements in terms of complexity while remaining simple enough to not be overwhelming.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