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0F8B8D"/>
          <w:sz w:val="20"/>
        </w:rPr>
        <w:t>LOCAL FLOW</w:t>
      </w:r>
    </w:p>
    <w:p>
      <w:pPr>
        <w:spacing w:after="40"/>
        <w:jc w:val="center"/>
      </w:pPr>
      <w:r>
        <w:rPr>
          <w:rFonts w:ascii="Calibri" w:hAnsi="Calibri"/>
          <w:b/>
          <w:color w:val="17233A"/>
          <w:sz w:val="44"/>
        </w:rPr>
        <w:t>Post-Safety Production Acceptance Benchmark</w:t>
      </w:r>
    </w:p>
    <w:p>
      <w:pPr>
        <w:spacing w:after="280"/>
        <w:jc w:val="center"/>
      </w:pPr>
      <w:r>
        <w:rPr>
          <w:rFonts w:ascii="Calibri" w:hAnsi="Calibri"/>
          <w:b w:val="0"/>
          <w:color w:val="5B677A"/>
          <w:sz w:val="20"/>
        </w:rPr>
        <w:t>Run label: Task 12 Tail Latency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3293"/>
        <w:gridCol w:w="3293"/>
        <w:gridCol w:w="3293"/>
      </w:tblGrid>
      <w:tr>
        <w:tc>
          <w:tcPr>
            <w:tcW w:type="dxa" w:w="3293"/>
            <w:shd w:fill="E1F4F2"/>
          </w:tcPr>
          <w:p>
            <w:pPr>
              <w:spacing w:after="0"/>
              <w:jc w:val="center"/>
            </w:pPr>
            <w:r>
              <w:rPr>
                <w:b/>
                <w:color w:val="17233A"/>
                <w:sz w:val="36"/>
              </w:rPr>
              <w:t>0.200s</w:t>
            </w:r>
            <w:r>
              <w:br/>
            </w:r>
            <w:r>
              <w:rPr>
                <w:b/>
                <w:color w:val="5B677A"/>
                <w:sz w:val="17"/>
              </w:rPr>
              <w:t>median production latency</w:t>
            </w:r>
            <w:r>
              <w:br/>
            </w:r>
            <w:r>
              <w:rPr>
                <w:color w:val="5B677A"/>
                <w:sz w:val="16"/>
              </w:rPr>
              <w:t>warmup excluded</w:t>
            </w:r>
          </w:p>
        </w:tc>
        <w:tc>
          <w:tcPr>
            <w:tcW w:type="dxa" w:w="3293"/>
            <w:shd w:fill="EAF2FB"/>
          </w:tcPr>
          <w:p>
            <w:pPr>
              <w:spacing w:after="0"/>
              <w:jc w:val="center"/>
            </w:pPr>
            <w:r>
              <w:rPr>
                <w:b/>
                <w:color w:val="17233A"/>
                <w:sz w:val="36"/>
              </w:rPr>
              <w:t>0.219s</w:t>
            </w:r>
            <w:r>
              <w:br/>
            </w:r>
            <w:r>
              <w:rPr>
                <w:b/>
                <w:color w:val="5B677A"/>
                <w:sz w:val="17"/>
              </w:rPr>
              <w:t>p95 production latency</w:t>
            </w:r>
            <w:r>
              <w:br/>
            </w:r>
            <w:r>
              <w:rPr>
                <w:color w:val="5B677A"/>
                <w:sz w:val="16"/>
              </w:rPr>
              <w:t>24 samples</w:t>
            </w:r>
          </w:p>
        </w:tc>
        <w:tc>
          <w:tcPr>
            <w:tcW w:type="dxa" w:w="3293"/>
            <w:shd w:fill="FFF4DD"/>
          </w:tcPr>
          <w:p>
            <w:pPr>
              <w:spacing w:after="0"/>
              <w:jc w:val="center"/>
            </w:pPr>
            <w:r>
              <w:rPr>
                <w:b/>
                <w:color w:val="17233A"/>
                <w:sz w:val="36"/>
              </w:rPr>
              <w:t>23/0/1</w:t>
            </w:r>
            <w:r>
              <w:br/>
            </w:r>
            <w:r>
              <w:rPr>
                <w:b/>
                <w:color w:val="5B677A"/>
                <w:sz w:val="17"/>
              </w:rPr>
              <w:t>path split</w:t>
            </w:r>
            <w:r>
              <w:br/>
            </w:r>
            <w:r>
              <w:rPr>
                <w:color w:val="5B677A"/>
                <w:sz w:val="16"/>
              </w:rPr>
              <w:t>MLX/Ollama/raw</w:t>
            </w:r>
          </w:p>
        </w:tc>
      </w:tr>
    </w:tbl>
    <w:p>
      <w:pPr>
        <w:pStyle w:val="Heading1"/>
      </w:pPr>
      <w:r>
        <w:t>Executive Summary</w:t>
      </w:r>
    </w:p>
    <w:p>
      <w:pPr>
        <w:spacing w:after="120"/>
      </w:pPr>
      <w:r>
        <w:rPr>
          <w:rFonts w:ascii="Calibri" w:hAnsi="Calibri"/>
          <w:b w:val="0"/>
          <w:color w:val="17233A"/>
          <w:sz w:val="21"/>
        </w:rPr>
        <w:t>This run measures the actual production cleanup chain after one warmup inside a single process: MLX first, Ollama fallback second, and raw transcript fallback last. Manual output review remains required before changing the default provider.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-chain-laten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Runtime Contract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4939"/>
        <w:gridCol w:w="4939"/>
      </w:tblGrid>
      <w:tr>
        <w:tc>
          <w:tcPr>
            <w:tcW w:type="dxa" w:w="493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Item</w:t>
            </w:r>
          </w:p>
        </w:tc>
        <w:tc>
          <w:tcPr>
            <w:tcW w:type="dxa" w:w="493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Value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Selected provider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mlx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Provider chain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mlx (mlx-community/Qwen2.5-1.5B-Instruct-4bit) -&gt; ollama (gemma3:4b)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Warmup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3.216s via mlx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Automated decision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hold_for_raw_fallback_review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Manual review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required before default switch</w:t>
            </w:r>
          </w:p>
        </w:tc>
      </w:tr>
    </w:tbl>
    <w:p>
      <w:pPr>
        <w:pStyle w:val="Heading1"/>
      </w:pPr>
      <w:r>
        <w:t>Sample Results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9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ID</w:t>
            </w:r>
          </w:p>
        </w:tc>
        <w:tc>
          <w:tcPr>
            <w:tcW w:type="dxa" w:w="19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Latency</w:t>
            </w:r>
          </w:p>
        </w:tc>
        <w:tc>
          <w:tcPr>
            <w:tcW w:type="dxa" w:w="19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Path</w:t>
            </w:r>
          </w:p>
        </w:tc>
        <w:tc>
          <w:tcPr>
            <w:tcW w:type="dxa" w:w="19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Attempted</w:t>
            </w:r>
          </w:p>
        </w:tc>
        <w:tc>
          <w:tcPr>
            <w:tcW w:type="dxa" w:w="19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Final text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01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0.172s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I think we should ship it Friday.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02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0.174s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Yeah, basically the dashboard is broken again.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03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0.201s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Can you send me the link to that doc?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04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0.211s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So I was thinking maybe we grab lunch after standup.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05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0.195s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Let's move the meeting to three thirty instead.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07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0.202s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I mean, it's probably a caching issue.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08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0.209s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so like the query takes forever when i add the group by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09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0.205s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Remind me to follow up with Sarah tomorrow morning.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10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0.218s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Yeah, I'll push the fix after I grab a coffee.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11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0.186s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So, the memory usage spikes every night around midnight.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12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0.200s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Can we circle back on the pricing thing next week?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13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0.190s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Honestly, I think the second option is way better.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14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0.216s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My flight gets in at like seven so dinner at eight works.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15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0.219s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so basically zendesk tickets should route to the the triage queue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16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0.201s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I want to test this on the staging cluster first.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17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0.170s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raw_fallback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yeah the uh the new hire starts monday i think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18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0.182s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Let's just revert it and investigate tomorrow.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19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0.199s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so grafana needs the api key rotated before the demo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20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0.241s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Okay, uh, long story short, we missed the deadline by two days.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21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0.159s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I think we should ship it Friday.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22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0.167s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Yeah, basically the dashboard is broken again.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23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0.192s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Can you send me the link to that doc.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25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0.174s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Let's move the meeting to three thirty instead.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26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0.201s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okay so the customer said the alerts are firing twice.</w:t>
            </w:r>
          </w:p>
        </w:tc>
      </w:tr>
    </w:tbl>
    <w:p>
      <w:pPr>
        <w:pStyle w:val="Heading1"/>
      </w:pPr>
      <w:r>
        <w:t>Rejected Attempt Diagnostics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411"/>
        <w:gridCol w:w="1411"/>
        <w:gridCol w:w="1411"/>
        <w:gridCol w:w="1411"/>
        <w:gridCol w:w="1411"/>
        <w:gridCol w:w="1411"/>
        <w:gridCol w:w="1411"/>
      </w:tblGrid>
      <w:tr>
        <w:tc>
          <w:tcPr>
            <w:tcW w:type="dxa" w:w="1411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5"/>
              </w:rPr>
              <w:t>ID</w:t>
            </w:r>
          </w:p>
        </w:tc>
        <w:tc>
          <w:tcPr>
            <w:tcW w:type="dxa" w:w="1411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5"/>
              </w:rPr>
              <w:t>Provider</w:t>
            </w:r>
          </w:p>
        </w:tc>
        <w:tc>
          <w:tcPr>
            <w:tcW w:type="dxa" w:w="1411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5"/>
              </w:rPr>
              <w:t>Latency</w:t>
            </w:r>
          </w:p>
        </w:tc>
        <w:tc>
          <w:tcPr>
            <w:tcW w:type="dxa" w:w="1411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5"/>
              </w:rPr>
              <w:t>Outcome</w:t>
            </w:r>
          </w:p>
        </w:tc>
        <w:tc>
          <w:tcPr>
            <w:tcW w:type="dxa" w:w="1411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5"/>
              </w:rPr>
              <w:t>Reason</w:t>
            </w:r>
          </w:p>
        </w:tc>
        <w:tc>
          <w:tcPr>
            <w:tcW w:type="dxa" w:w="1411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5"/>
              </w:rPr>
              <w:t>Detail</w:t>
            </w:r>
          </w:p>
        </w:tc>
        <w:tc>
          <w:tcPr>
            <w:tcW w:type="dxa" w:w="1411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5"/>
              </w:rPr>
              <w:t>Raw candidate</w:t>
            </w:r>
          </w:p>
        </w:tc>
      </w:tr>
      <w:tr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17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mlx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0.170s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rejected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protectedMarkerLoss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i think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2"/>
              </w:rPr>
              <w:t>Yeah, the new hire starts next Monday.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A"/>
        <w:sz w:val="16"/>
      </w:rPr>
      <w:t>Research brief - generated from local benchmark artifacts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Local Flow Production Cleanup Acceptance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364A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364A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