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/>
          <w:b/>
          <w:color w:val="0F8B8D"/>
          <w:sz w:val="20"/>
        </w:rPr>
        <w:t>LOCAL FLOW</w:t>
      </w:r>
    </w:p>
    <w:p>
      <w:pPr>
        <w:spacing w:after="40"/>
        <w:jc w:val="center"/>
      </w:pPr>
      <w:r>
        <w:rPr>
          <w:rFonts w:ascii="Calibri" w:hAnsi="Calibri"/>
          <w:b/>
          <w:color w:val="17233A"/>
          <w:sz w:val="52"/>
        </w:rPr>
        <w:t>MLX Cleanup Benchmark</w:t>
      </w:r>
    </w:p>
    <w:p>
      <w:pPr>
        <w:spacing w:after="280"/>
        <w:jc w:val="center"/>
      </w:pPr>
      <w:r>
        <w:rPr>
          <w:rFonts w:ascii="Calibri" w:hAnsi="Calibri"/>
          <w:b w:val="0"/>
          <w:color w:val="5B677A"/>
          <w:sz w:val="25"/>
        </w:rPr>
        <w:t>Replacing a 3.3 GB Ollama cleanup hop with a lightweight native MLX model</w:t>
      </w:r>
    </w:p>
    <w:p>
      <w:pPr>
        <w:spacing w:after="360"/>
        <w:jc w:val="center"/>
      </w:pPr>
      <w:r>
        <w:rPr>
          <w:rFonts w:ascii="Calibri" w:hAnsi="Calibri"/>
          <w:b w:val="0"/>
          <w:color w:val="5B677A"/>
          <w:sz w:val="19"/>
        </w:rPr>
        <w:t>Research brief | Run label: task-2-formal-cleanup-benchmark | July 6, 2026 | Local benchmark over 24 filler-heavy dictation references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</w:tblPr>
      <w:tblGrid>
        <w:gridCol w:w="3293"/>
        <w:gridCol w:w="3293"/>
        <w:gridCol w:w="3293"/>
      </w:tblGrid>
      <w:tr>
        <w:tc>
          <w:tcPr>
            <w:tcW w:type="dxa" w:w="3293"/>
            <w:shd w:fill="E1F4F2"/>
          </w:tcPr>
          <w:p>
            <w:pPr>
              <w:spacing w:after="0"/>
              <w:jc w:val="center"/>
            </w:pPr>
            <w:r>
              <w:rPr>
                <w:b/>
                <w:color w:val="17233A"/>
                <w:sz w:val="36"/>
              </w:rPr>
              <w:t>0.240s</w:t>
            </w:r>
            <w:r>
              <w:br/>
            </w:r>
            <w:r>
              <w:rPr>
                <w:b/>
                <w:color w:val="5B677A"/>
                <w:sz w:val="17"/>
              </w:rPr>
              <w:t>median cleanup latency</w:t>
            </w:r>
            <w:r>
              <w:br/>
            </w:r>
            <w:r>
              <w:rPr>
                <w:color w:val="5B677A"/>
                <w:sz w:val="16"/>
              </w:rPr>
              <w:t>MLX rerun after unloading 30B model</w:t>
            </w:r>
          </w:p>
        </w:tc>
        <w:tc>
          <w:tcPr>
            <w:tcW w:type="dxa" w:w="3293"/>
            <w:shd w:fill="EAF2FB"/>
          </w:tcPr>
          <w:p>
            <w:pPr>
              <w:spacing w:after="0"/>
              <w:jc w:val="center"/>
            </w:pPr>
            <w:r>
              <w:rPr>
                <w:b/>
                <w:color w:val="17233A"/>
                <w:sz w:val="36"/>
              </w:rPr>
              <w:t>3.8x</w:t>
            </w:r>
            <w:r>
              <w:br/>
            </w:r>
            <w:r>
              <w:rPr>
                <w:b/>
                <w:color w:val="5B677A"/>
                <w:sz w:val="17"/>
              </w:rPr>
              <w:t>median speedup</w:t>
            </w:r>
            <w:r>
              <w:br/>
            </w:r>
            <w:r>
              <w:rPr>
                <w:color w:val="5B677A"/>
                <w:sz w:val="16"/>
              </w:rPr>
              <w:t>0.914s Ollama / 0.240s MLX</w:t>
            </w:r>
          </w:p>
        </w:tc>
        <w:tc>
          <w:tcPr>
            <w:tcW w:type="dxa" w:w="3293"/>
            <w:shd w:fill="FFF4DD"/>
          </w:tcPr>
          <w:p>
            <w:pPr>
              <w:spacing w:after="0"/>
              <w:jc w:val="center"/>
            </w:pPr>
            <w:r>
              <w:rPr>
                <w:b/>
                <w:color w:val="17233A"/>
                <w:sz w:val="36"/>
              </w:rPr>
              <w:t>5.6x</w:t>
            </w:r>
            <w:r>
              <w:br/>
            </w:r>
            <w:r>
              <w:rPr>
                <w:b/>
                <w:color w:val="5B677A"/>
                <w:sz w:val="17"/>
              </w:rPr>
              <w:t>p90 speedup</w:t>
            </w:r>
            <w:r>
              <w:br/>
            </w:r>
            <w:r>
              <w:rPr>
                <w:color w:val="5B677A"/>
                <w:sz w:val="16"/>
              </w:rPr>
              <w:t>1.485s Ollama / 0.264s MLX</w:t>
            </w:r>
          </w:p>
        </w:tc>
      </w:tr>
    </w:tbl>
    <w:p>
      <w:pPr>
        <w:pStyle w:val="Heading1"/>
      </w:pPr>
      <w:r>
        <w:t>Executive Summary</w:t>
      </w:r>
    </w:p>
    <w:p>
      <w:pPr>
        <w:spacing w:after="120"/>
      </w:pPr>
      <w:r>
        <w:rPr>
          <w:rFonts w:ascii="Calibri" w:hAnsi="Calibri"/>
          <w:b w:val="0"/>
          <w:color w:val="17233A"/>
          <w:sz w:val="21"/>
        </w:rPr>
        <w:t>The benchmark supports making MLX cleanup the focus of the next Local Flow hardening phase. With Qwen2.5 1.5B Instruct 4-bit loaded through MLX, the cleanup hop dropped from a 0.914 second Ollama median to 0.240 seconds, while keeping the dictation path local and avoiding cloud inference.</w:t>
      </w:r>
    </w:p>
    <w:p>
      <w:pPr>
        <w:spacing w:after="120"/>
      </w:pPr>
      <w:r>
        <w:rPr>
          <w:rFonts w:ascii="Calibri" w:hAnsi="Calibri"/>
          <w:b/>
          <w:color w:val="17233A"/>
          <w:sz w:val="21"/>
        </w:rPr>
        <w:t>This is not yet a production swap. The MLX path needs a deterministic sanitizer, an added-word guard, and an acceptance suite before it replaces Ollama.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399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ncy-summa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39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Research Method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</w:tblPr>
      <w:tblGrid>
        <w:gridCol w:w="4939"/>
        <w:gridCol w:w="4939"/>
      </w:tblGrid>
      <w:tr>
        <w:tc>
          <w:tcPr>
            <w:tcW w:type="dxa" w:w="4939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233A"/>
                <w:sz w:val="18"/>
              </w:rPr>
              <w:t>Method item</w:t>
            </w:r>
          </w:p>
        </w:tc>
        <w:tc>
          <w:tcPr>
            <w:tcW w:type="dxa" w:w="4939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233A"/>
                <w:sz w:val="18"/>
              </w:rPr>
              <w:t>Value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233A"/>
                <w:sz w:val="17"/>
              </w:rPr>
              <w:t>Input set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7"/>
              </w:rPr>
              <w:t>24 verbatim references from bench/samples/manifest.json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233A"/>
                <w:sz w:val="17"/>
              </w:rPr>
              <w:t>Baseline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7"/>
              </w:rPr>
              <w:t>Existing Ollama gemma3:4b cleanup report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233A"/>
                <w:sz w:val="17"/>
              </w:rPr>
              <w:t>Candidate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7"/>
              </w:rPr>
              <w:t>mlx-community/Qwen2.5-1.5B-Instruct-4bit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233A"/>
                <w:sz w:val="17"/>
              </w:rPr>
              <w:t>Sampling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7"/>
              </w:rPr>
              <w:t>Temperature 0.0 for the strict rerun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233A"/>
                <w:sz w:val="17"/>
              </w:rPr>
              <w:t>Runtime condition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7"/>
              </w:rPr>
              <w:t>Qwen3-Coder 30B was unloaded before the final rerun to reduce memory pressure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233A"/>
                <w:sz w:val="17"/>
              </w:rPr>
              <w:t>Decision standard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7"/>
              </w:rPr>
              <w:t>Lower latency is useful only if meaning preservation remains enforceable</w:t>
            </w:r>
          </w:p>
        </w:tc>
      </w:tr>
    </w:tbl>
    <w:p>
      <w:pPr>
        <w:pStyle w:val="Heading1"/>
      </w:pPr>
      <w:r>
        <w:t>Measured Results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</w:tblPr>
      <w:tblGrid>
        <w:gridCol w:w="2469"/>
        <w:gridCol w:w="2469"/>
        <w:gridCol w:w="2469"/>
        <w:gridCol w:w="2469"/>
      </w:tblGrid>
      <w:tr>
        <w:tc>
          <w:tcPr>
            <w:tcW w:type="dxa" w:w="2469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233A"/>
                <w:sz w:val="17"/>
              </w:rPr>
              <w:t>Dimension</w:t>
            </w:r>
          </w:p>
        </w:tc>
        <w:tc>
          <w:tcPr>
            <w:tcW w:type="dxa" w:w="2469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233A"/>
                <w:sz w:val="17"/>
              </w:rPr>
              <w:t>Ollama gemma3:4b</w:t>
            </w:r>
          </w:p>
        </w:tc>
        <w:tc>
          <w:tcPr>
            <w:tcW w:type="dxa" w:w="2469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233A"/>
                <w:sz w:val="17"/>
              </w:rPr>
              <w:t>MLX Qwen2.5 1.5B</w:t>
            </w:r>
          </w:p>
        </w:tc>
        <w:tc>
          <w:tcPr>
            <w:tcW w:type="dxa" w:w="2469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233A"/>
                <w:sz w:val="17"/>
              </w:rPr>
              <w:t>Interpretation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7"/>
              </w:rPr>
              <w:t>Median warm cleanup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7"/>
              </w:rPr>
              <w:t>0.914s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7"/>
              </w:rPr>
              <w:t>0.240s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7"/>
              </w:rPr>
              <w:t>MLX is 3.8x faster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7"/>
              </w:rPr>
              <w:t>p90 warm cleanup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7"/>
              </w:rPr>
              <w:t>1.485s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7"/>
              </w:rPr>
              <w:t>0.264s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7"/>
              </w:rPr>
              <w:t>MLX is 5.6x faster at the tail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7"/>
              </w:rPr>
              <w:t>First-call / load effect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7"/>
              </w:rPr>
              <w:t>12.070s first call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7"/>
              </w:rPr>
              <w:t>0.669s load + warmup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7"/>
              </w:rPr>
              <w:t>MLX has lower observed residency penalty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7"/>
              </w:rPr>
              <w:t>Model footprint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7"/>
              </w:rPr>
              <w:t>3.3 GB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7"/>
              </w:rPr>
              <w:t>0.88 GB cached files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7"/>
              </w:rPr>
              <w:t>MLX candidate is materially lighter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7"/>
              </w:rPr>
              <w:t>Runtime posture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7"/>
              </w:rPr>
              <w:t>Localhost daemon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7"/>
              </w:rPr>
              <w:t>Native MLX target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7"/>
              </w:rPr>
              <w:t>Both stay local; MLX better matches Mac-native goal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0449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-sample-latenc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4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515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-footpri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51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Architecture Implication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20762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peline-comparis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76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hAnsi="Calibri"/>
          <w:b w:val="0"/>
          <w:color w:val="17233A"/>
          <w:sz w:val="21"/>
        </w:rPr>
        <w:t>The product goal is not simply local cleanup; it is fast local cleanup. The MLX path removes the Ollama daemon hop, uses a smaller model, and aligns the cleanup engine with Apple Silicon.</w:t>
      </w:r>
    </w:p>
    <w:p>
      <w:pPr>
        <w:pStyle w:val="Heading1"/>
      </w:pPr>
      <w:r>
        <w:t>Quality Findings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</w:tblPr>
      <w:tblGrid>
        <w:gridCol w:w="2469"/>
        <w:gridCol w:w="2469"/>
        <w:gridCol w:w="2469"/>
        <w:gridCol w:w="2469"/>
      </w:tblGrid>
      <w:tr>
        <w:tc>
          <w:tcPr>
            <w:tcW w:type="dxa" w:w="2469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233A"/>
                <w:sz w:val="17"/>
              </w:rPr>
              <w:t>Dimension</w:t>
            </w:r>
          </w:p>
        </w:tc>
        <w:tc>
          <w:tcPr>
            <w:tcW w:type="dxa" w:w="2469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233A"/>
                <w:sz w:val="17"/>
              </w:rPr>
              <w:t>Ollama gemma3:4b</w:t>
            </w:r>
          </w:p>
        </w:tc>
        <w:tc>
          <w:tcPr>
            <w:tcW w:type="dxa" w:w="2469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233A"/>
                <w:sz w:val="17"/>
              </w:rPr>
              <w:t>MLX Qwen2.5 1.5B</w:t>
            </w:r>
          </w:p>
        </w:tc>
        <w:tc>
          <w:tcPr>
            <w:tcW w:type="dxa" w:w="2469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233A"/>
                <w:sz w:val="17"/>
              </w:rPr>
              <w:t>Interpretation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7"/>
              </w:rPr>
              <w:t>Meaning preservation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7"/>
              </w:rPr>
              <w:t>No obvious answer-style hallucinations in the strict MLX rerun.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7"/>
              </w:rPr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7"/>
              </w:rPr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7"/>
              </w:rPr>
              <w:t>Known artifacts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7"/>
              </w:rPr>
              <w:t>One Markdown artifact around GROUP BY; one added article in 'the Standup'; a few filler words retained.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7"/>
              </w:rPr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7"/>
              </w:rPr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7"/>
              </w:rPr>
              <w:t>Production guard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7"/>
              </w:rPr>
              <w:t>Strip Markdown/code formatting, reject added content, preserve protected markers, and fall back to raw.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7"/>
              </w:rPr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7"/>
              </w:rPr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7"/>
              </w:rPr>
              <w:t>Acceptance gate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7"/>
              </w:rPr>
              <w:t>Run the 24-reference set plus the production plausibility guard before making MLX default.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7"/>
              </w:rPr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7"/>
              </w:rPr>
            </w:r>
          </w:p>
        </w:tc>
      </w:tr>
    </w:tbl>
    <w:p>
      <w:pPr>
        <w:pStyle w:val="Heading1"/>
      </w:pPr>
      <w:r>
        <w:t>Recommendation</w:t>
      </w:r>
    </w:p>
    <w:p>
      <w:pPr>
        <w:spacing w:after="120"/>
      </w:pPr>
      <w:r>
        <w:rPr>
          <w:rFonts w:ascii="Calibri" w:hAnsi="Calibri"/>
          <w:b w:val="0"/>
          <w:color w:val="17233A"/>
          <w:sz w:val="21"/>
        </w:rPr>
        <w:t>Phase 3 Continuation should be scoped as MLX Performance and Reliability Hardening. The first task is not a blind replacement of Ollama; it is an optional MLX cleanup provider with deterministic output controls, benchmark reporting, and rollback to raw or Ollama when safety checks fail.</w:t>
      </w:r>
    </w:p>
    <w:p>
      <w:pPr>
        <w:spacing w:after="120"/>
      </w:pPr>
      <w:r>
        <w:rPr>
          <w:rFonts w:ascii="Calibri" w:hAnsi="Calibri"/>
          <w:b/>
          <w:color w:val="0F8B8D"/>
          <w:sz w:val="21"/>
        </w:rPr>
        <w:t>Recommended acceptance: MLX median cleanup below 0.350 seconds, p90 below 0.500 seconds, zero meaning changes on the acceptance set, no Markdown artifacts, and no non-local network dependency in the dictation path.</w:t>
      </w:r>
    </w:p>
    <w:p>
      <w:pPr>
        <w:pStyle w:val="Heading1"/>
      </w:pPr>
      <w:r>
        <w:t>Sources And Reproducibility</w:t>
      </w:r>
    </w:p>
    <w:p>
      <w:pPr>
        <w:spacing w:after="60"/>
      </w:pPr>
      <w:r>
        <w:rPr>
          <w:rFonts w:ascii="Calibri" w:hAnsi="Calibri"/>
          <w:b w:val="0"/>
          <w:color w:val="5B677A"/>
          <w:sz w:val="17"/>
        </w:rPr>
        <w:t>bench/samples/manifest.json - 24 reference transcripts used as benchmark inputs</w:t>
      </w:r>
    </w:p>
    <w:p>
      <w:pPr>
        <w:spacing w:after="60"/>
      </w:pPr>
      <w:r>
        <w:rPr>
          <w:rFonts w:ascii="Calibri" w:hAnsi="Calibri"/>
          <w:b w:val="0"/>
          <w:color w:val="5B677A"/>
          <w:sz w:val="17"/>
        </w:rPr>
        <w:t>raw-ollama-cleanup.md - Ollama gemma3:4b baseline report</w:t>
      </w:r>
    </w:p>
    <w:p>
      <w:pPr>
        <w:spacing w:after="60"/>
      </w:pPr>
      <w:r>
        <w:rPr>
          <w:rFonts w:ascii="Calibri" w:hAnsi="Calibri"/>
          <w:b w:val="0"/>
          <w:color w:val="5B677A"/>
          <w:sz w:val="17"/>
        </w:rPr>
        <w:t>raw-mlx-cleanup.md - final MLX rerun report</w:t>
      </w:r>
    </w:p>
    <w:p>
      <w:pPr>
        <w:spacing w:after="60"/>
      </w:pPr>
      <w:r>
        <w:rPr>
          <w:rFonts w:ascii="Calibri" w:hAnsi="Calibri"/>
          <w:b w:val="0"/>
          <w:color w:val="5B677A"/>
          <w:sz w:val="17"/>
        </w:rPr>
        <w:t>app/Sources/LocalFlow/Cleaner.swift - production cleanup prompt and plausibility-guard context</w:t>
      </w:r>
    </w:p>
    <w:p>
      <w:pPr>
        <w:spacing w:after="60"/>
      </w:pPr>
      <w:r>
        <w:rPr>
          <w:rFonts w:ascii="Calibri" w:hAnsi="Calibri"/>
          <w:b w:val="0"/>
          <w:color w:val="5B677A"/>
          <w:sz w:val="17"/>
        </w:rPr>
        <w:t>https://huggingface.co/mlx-community/Qwen2.5-1.5B-Instruct-4bit - approved MLX model package</w:t>
      </w:r>
    </w:p>
    <w:p>
      <w:pPr>
        <w:spacing w:after="60"/>
      </w:pPr>
      <w:r>
        <w:rPr>
          <w:rFonts w:ascii="Calibri" w:hAnsi="Calibri"/>
          <w:b w:val="0"/>
          <w:color w:val="5B677A"/>
          <w:sz w:val="17"/>
        </w:rPr>
        <w:t>https://huggingface.co/Qwen/Qwen2.5-1.5B-Instruct - upstream model card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77A"/>
        <w:sz w:val="16"/>
      </w:rPr>
      <w:t>Research brief - generated from local benchmark artifacts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B677A"/>
        <w:sz w:val="18"/>
      </w:rPr>
      <w:t>Local Flow MLX Cleanup Benchmark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2364A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364A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