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AUFTRAGSVERARBEITUNGSVERTRAG</w:t>
      </w:r>
    </w:p>
    <w:p>
      <w:pPr>
        <w:spacing w:after="100"/>
        <w:jc w:val="center"/>
      </w:pPr>
      <w:r>
        <w:rPr>
          <w:sz w:val="24"/>
          <w:szCs w:val="24"/>
        </w:rPr>
        <w:t xml:space="preserve">gemaess Art. 28 DSGVO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(Datenschutz-Grundverordnung)</w:t>
      </w:r>
    </w:p>
    <w:p>
      <w:pPr>
        <w:pStyle w:val="Heading1"/>
      </w:pPr>
      <w:r>
        <w:t xml:space="preserve">Paragraph 1 - Vertragsparteien</w:t>
      </w:r>
    </w:p>
    <w:p>
      <w:pPr>
        <w:spacing w:after="200"/>
      </w:pPr>
      <w:r>
        <w:rPr>
          <w:b/>
          <w:bCs/>
        </w:rPr>
        <w:t xml:space="preserve">Zwischen</w:t>
      </w:r>
    </w:p>
    <w:p>
      <w:pPr>
        <w:spacing w:after="100"/>
      </w:pPr>
      <w:r>
        <w:t xml:space="preserve">dem Auftraggeber (Verantwortlicher im Sinne der DSGVO):</w:t>
      </w:r>
    </w:p>
    <w:p>
      <w:pPr>
        <w:spacing w:after="100"/>
      </w:pPr>
      <w:r>
        <w:t xml:space="preserve">Name/Firma: _________________________________________________</w:t>
      </w:r>
    </w:p>
    <w:p>
      <w:pPr>
        <w:spacing w:after="100"/>
      </w:pPr>
      <w:r>
        <w:t xml:space="preserve">Anschrift: _________________________________________________</w:t>
      </w:r>
    </w:p>
    <w:p>
      <w:pPr>
        <w:spacing w:after="100"/>
      </w:pPr>
      <w:r>
        <w:t xml:space="preserve">Vertreten durch: _________________________________________________</w:t>
      </w:r>
    </w:p>
    <w:p>
      <w:pPr>
        <w:spacing w:after="200"/>
      </w:pPr>
      <w:r>
        <w:t xml:space="preserve">- nachfolgend 'Auftraggeber' genannt -</w:t>
      </w:r>
    </w:p>
    <w:p>
      <w:pPr>
        <w:spacing w:after="200"/>
      </w:pPr>
      <w:r>
        <w:rPr>
          <w:b/>
          <w:bCs/>
        </w:rPr>
        <w:t xml:space="preserve">und</w:t>
      </w:r>
    </w:p>
    <w:p>
      <w:pPr>
        <w:spacing w:after="100"/>
      </w:pPr>
      <w:r>
        <w:t xml:space="preserve">dem Auftragnehmer (Auftragsverarbeiter im Sinne der DSGVO):</w:t>
      </w:r>
    </w:p>
    <w:p>
      <w:pPr>
        <w:spacing w:after="100"/>
      </w:pPr>
      <w:r>
        <w:rPr>
          <w:b/>
          <w:bCs/>
        </w:rPr>
        <w:t xml:space="preserve">Dieter Horst</w:t>
      </w:r>
    </w:p>
    <w:p>
      <w:pPr>
        <w:spacing w:after="100"/>
      </w:pPr>
      <w:r>
        <w:t xml:space="preserve">Einzelunternehmer, handelnd unter SYSTEMHAUS HORST</w:t>
      </w:r>
    </w:p>
    <w:p>
      <w:pPr>
        <w:spacing w:after="100"/>
      </w:pPr>
      <w:r>
        <w:t xml:space="preserve">Kleibrink 42, 59229 Ahlen</w:t>
      </w:r>
    </w:p>
    <w:p>
      <w:pPr>
        <w:spacing w:after="100"/>
      </w:pPr>
      <w:r>
        <w:t xml:space="preserve">E-Mail: [E-MAIL EINFUEGEN]</w:t>
      </w:r>
    </w:p>
    <w:p>
      <w:pPr>
        <w:spacing w:after="300"/>
      </w:pPr>
      <w:r>
        <w:t xml:space="preserve">- nachfolgend 'Auftragnehmer' genannt -</w:t>
      </w:r>
    </w:p>
    <w:p>
      <w:pPr>
        <w:pStyle w:val="Heading1"/>
      </w:pPr>
      <w:r>
        <w:t xml:space="preserve">Paragraph 2 - Gegenstand und Dauer der Verarbeitung</w:t>
      </w:r>
    </w:p>
    <w:p>
      <w:pPr>
        <w:spacing w:after="150"/>
      </w:pPr>
      <w:r>
        <w:t xml:space="preserve">(1) Der Auftragnehmer verarbeitet personenbezogene Daten im Auftrag des Auftraggebers im Rahmen der Bereitstellung der Software 'EVY' / 'MIRA' (KI-Assistenzsystem mit Brain-Funktion).</w:t>
      </w:r>
    </w:p>
    <w:p>
      <w:pPr>
        <w:spacing w:after="150"/>
      </w:pPr>
      <w:r>
        <w:t xml:space="preserve">(2) Die Verarbeitung umfasst folgende Taetigkeiten:</w:t>
      </w:r>
    </w:p>
    <w:p>
      <w:pPr>
        <w:spacing w:after="80"/>
        <w:ind w:left="720"/>
      </w:pPr>
      <w:r>
        <w:t xml:space="preserve">- Speicherung von Benutzerdaten (Zugangsdaten, Profildaten)</w:t>
      </w:r>
    </w:p>
    <w:p>
      <w:pPr>
        <w:spacing w:after="80"/>
        <w:ind w:left="720"/>
      </w:pPr>
      <w:r>
        <w:t xml:space="preserve">- Speicherung von Brain-Inhalten (vom Nutzer eingegebenes Wissen)</w:t>
      </w:r>
    </w:p>
    <w:p>
      <w:pPr>
        <w:spacing w:after="80"/>
        <w:ind w:left="720"/>
      </w:pPr>
      <w:r>
        <w:t xml:space="preserve">- Speicherung von Chat-Verlaeufen</w:t>
      </w:r>
    </w:p>
    <w:p>
      <w:pPr>
        <w:spacing w:after="80"/>
        <w:ind w:left="720"/>
      </w:pPr>
      <w:r>
        <w:t xml:space="preserve">- Verarbeitung von Dokumenten (sofern hochgeladen)</w:t>
      </w:r>
    </w:p>
    <w:p>
      <w:pPr>
        <w:spacing w:after="150"/>
        <w:ind w:left="720"/>
      </w:pPr>
      <w:r>
        <w:t xml:space="preserve">- Technischer Betrieb und Datensicherung</w:t>
      </w:r>
    </w:p>
    <w:p>
      <w:pPr>
        <w:spacing w:after="300"/>
      </w:pPr>
      <w:r>
        <w:t xml:space="preserve">(3) Die Dauer der Verarbeitung entspricht der Laufzeit des Hauptvertrages (Nutzungsvertrag). Nach Vertragsende werden die Daten gemaess Paragraph 10 dieses AVV geloescht.</w:t>
      </w:r>
    </w:p>
    <w:p>
      <w:pPr>
        <w:pStyle w:val="Heading1"/>
      </w:pPr>
      <w:r>
        <w:t xml:space="preserve">Paragraph 3 - Art der personenbezogenen Daten</w:t>
      </w:r>
    </w:p>
    <w:p>
      <w:pPr>
        <w:spacing w:after="150"/>
      </w:pPr>
      <w:r>
        <w:t xml:space="preserve">Folgende Datenkategorien werden verarbeitet: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Kategorie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Beispiele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Stammdaten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Name, E-Mail, Benutzername, Firma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Nutzungsdaten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Login-Zeiten, IP-Adressen, Geraeteinformationen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Inhaltsdaten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Brain-Eintraege, Chat-Nachrichten, hochgeladene Dokumente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Ggf. besondere Kategorien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Falls vom Nutzer selbst eingegeben (z.B. Gesundheitsdaten im Brain)</w:t>
            </w:r>
          </w:p>
        </w:tc>
      </w:tr>
    </w:tbl>
    <w:p>
      <w:pPr>
        <w:spacing w:before="200" w:after="300"/>
      </w:pPr>
      <w:r>
        <w:rPr>
          <w:i/>
          <w:iCs/>
        </w:rPr>
        <w:t xml:space="preserve">Hinweis: Der Auftraggeber ist dafuer verantwortlich, welche Daten seine Nutzer in das System eingeben. Der Auftragnehmer hat hierauf keinen Einfluss.</w:t>
      </w:r>
    </w:p>
    <w:p>
      <w:pPr>
        <w:pStyle w:val="Heading1"/>
      </w:pPr>
      <w:r>
        <w:t xml:space="preserve">Paragraph 4 - Kreis der Betroffenen</w:t>
      </w:r>
    </w:p>
    <w:p>
      <w:pPr>
        <w:spacing w:after="150"/>
      </w:pPr>
      <w:r>
        <w:t xml:space="preserve">Die Verarbeitung betrifft folgende Personengruppen:</w:t>
      </w:r>
    </w:p>
    <w:p>
      <w:pPr>
        <w:spacing w:after="80"/>
        <w:ind w:left="720"/>
      </w:pPr>
      <w:r>
        <w:t xml:space="preserve">- Mitarbeiter/Nutzer des Auftraggebers</w:t>
      </w:r>
    </w:p>
    <w:p>
      <w:pPr>
        <w:spacing w:after="80"/>
        <w:ind w:left="720"/>
      </w:pPr>
      <w:r>
        <w:t xml:space="preserve">- Kunden des Auftraggebers (falls deren Daten im System gespeichert werden)</w:t>
      </w:r>
    </w:p>
    <w:p>
      <w:pPr>
        <w:spacing w:after="80"/>
        <w:ind w:left="720"/>
      </w:pPr>
      <w:r>
        <w:t xml:space="preserve">- Geschaeftspartner (falls deren Daten im System gespeichert werden)</w:t>
      </w:r>
    </w:p>
    <w:p>
      <w:pPr>
        <w:spacing w:after="300"/>
        <w:ind w:left="720"/>
      </w:pPr>
      <w:r>
        <w:t xml:space="preserve">- Sonstige Personen, deren Daten der Auftraggeber in das System eingibt</w:t>
      </w:r>
    </w:p>
    <w:p>
      <w:pPr>
        <w:pStyle w:val="Heading1"/>
      </w:pPr>
      <w:r>
        <w:t xml:space="preserve">Paragraph 5 - Pflichten des Auftragnehmers</w:t>
      </w:r>
    </w:p>
    <w:p>
      <w:pPr>
        <w:spacing w:after="150"/>
      </w:pPr>
      <w:r>
        <w:t xml:space="preserve">(1) Der Auftragnehmer verarbeitet personenbezogene Daten ausschliesslich auf dokumentierte Weisung des Auftraggebers, es sei denn, er ist nach EU- oder nationalem Recht zur Verarbeitung verpflichtet.</w:t>
      </w:r>
    </w:p>
    <w:p>
      <w:pPr>
        <w:spacing w:after="150"/>
      </w:pPr>
      <w:r>
        <w:t xml:space="preserve">(2) Der Auftragnehmer gewaehrleistet, dass sich die zur Verarbeitung befugten Personen zur Vertraulichkeit verpflichtet haben.</w:t>
      </w:r>
    </w:p>
    <w:p>
      <w:pPr>
        <w:spacing w:after="150"/>
      </w:pPr>
      <w:r>
        <w:t xml:space="preserve">(3) Der Auftragnehmer ergreift alle erforderlichen technischen und organisatorischen Massnahmen gemaess Art. 32 DSGVO (siehe Paragraph 7).</w:t>
      </w:r>
    </w:p>
    <w:p>
      <w:pPr>
        <w:spacing w:after="150"/>
      </w:pPr>
      <w:r>
        <w:t xml:space="preserve">(4) Der Auftragnehmer beachtet die Bedingungen fuer die Inanspruchnahme von Unterauftragnehmern (siehe Paragraph 6).</w:t>
      </w:r>
    </w:p>
    <w:p>
      <w:pPr>
        <w:spacing w:after="150"/>
      </w:pPr>
      <w:r>
        <w:t xml:space="preserve">(5) Der Auftragnehmer unterstuetzt den Auftraggeber bei der Erfuellung von Betroffenenrechten (Auskunft, Loeschung, Berichtigung etc.).</w:t>
      </w:r>
    </w:p>
    <w:p>
      <w:pPr>
        <w:spacing w:after="150"/>
      </w:pPr>
      <w:r>
        <w:t xml:space="preserve">(6) Der Auftragnehmer unterstuetzt den Auftraggeber bei Datenschutz-Folgenabschaetzungen, sofern erforderlich.</w:t>
      </w:r>
    </w:p>
    <w:p>
      <w:pPr>
        <w:spacing w:after="150"/>
      </w:pPr>
      <w:r>
        <w:t xml:space="preserve">(7) Der Auftragnehmer loescht oder gibt nach Beendigung der Verarbeitung alle Daten zurueck (siehe Paragraph 10).</w:t>
      </w:r>
    </w:p>
    <w:p>
      <w:pPr>
        <w:spacing w:after="300"/>
      </w:pPr>
      <w:r>
        <w:t xml:space="preserve">(8) Der Auftragnehmer stellt dem Auftraggeber alle erforderlichen Informationen zum Nachweis der Einhaltung zur Verfuegung und ermoeglicht Ueberpruefungen.</w:t>
      </w:r>
    </w:p>
    <w:p>
      <w:pPr>
        <w:pStyle w:val="Heading1"/>
      </w:pPr>
      <w:r>
        <w:t xml:space="preserve">Paragraph 6 - Unterauftragnehmer</w:t>
      </w:r>
    </w:p>
    <w:p>
      <w:pPr>
        <w:spacing w:after="150"/>
      </w:pPr>
      <w:r>
        <w:t xml:space="preserve">(1) Der Auftraggeber erteilt hiermit eine allgemeine Genehmigung zur Beauftragung von Unterauftragnehmern.</w:t>
      </w:r>
    </w:p>
    <w:p>
      <w:pPr>
        <w:spacing w:after="150"/>
      </w:pPr>
      <w:r>
        <w:t xml:space="preserve">(2) Derzeit werden folgende Unterauftragnehmer eingesetzt: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Unterauftragnehmer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Sitz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Leistung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Anthropic PBC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USA (San Francisco)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KI-API (Claude)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[Hoster, falls extern]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[Land]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Server-Hosting</w:t>
            </w:r>
          </w:p>
        </w:tc>
      </w:tr>
    </w:tbl>
    <w:p>
      <w:pPr>
        <w:spacing w:before="200" w:after="150"/>
      </w:pPr>
      <w:r>
        <w:t xml:space="preserve">(3) Bei Wechsel oder Hinzunahme von Unterauftragnehmern informiert der Auftragnehmer den Auftraggeber vorab. Der Auftraggeber kann innerhalb von 14 Tagen Einspruch erheben.</w:t>
      </w:r>
    </w:p>
    <w:p>
      <w:pPr>
        <w:spacing w:after="150"/>
      </w:pPr>
      <w:r>
        <w:rPr>
          <w:b/>
          <w:bCs/>
        </w:rPr>
        <w:t xml:space="preserve">(4) Hinweis zur KI-Verarbeitung: Bei Nutzung der KI-Chat-Funktion werden die Eingaben an den KI-Anbieter (z.B. Anthropic) uebermittelt. Dies ist technisch notwendig. Der Auftraggeber stimmt dem mit Abschluss dieses Vertrages zu.</w:t>
      </w:r>
    </w:p>
    <w:p>
      <w:pPr>
        <w:spacing w:after="300"/>
      </w:pPr>
      <w:r>
        <w:t xml:space="preserve">(5) Der Auftragnehmer stellt sicher, dass Unterauftragnehmer vertraglich zu gleichwertigen Datenschutzpflichten verpflichtet werden.</w:t>
      </w:r>
    </w:p>
    <w:p>
      <w:pPr>
        <w:pStyle w:val="Heading1"/>
      </w:pPr>
      <w:r>
        <w:t xml:space="preserve">Paragraph 7 - Technische und organisatorische Massnahmen (TOM)</w:t>
      </w:r>
    </w:p>
    <w:p>
      <w:pPr>
        <w:spacing w:after="150"/>
      </w:pPr>
      <w:r>
        <w:t xml:space="preserve">Der Auftragnehmer hat folgende Massnahmen nach Art. 32 DSGVO getroffen:</w:t>
      </w:r>
    </w:p>
    <w:p>
      <w:pPr>
        <w:pStyle w:val="Heading2"/>
      </w:pPr>
      <w:r>
        <w:t xml:space="preserve">7.1 Vertraulichkeit</w:t>
      </w:r>
    </w:p>
    <w:p>
      <w:pPr>
        <w:spacing w:after="80"/>
        <w:ind w:left="720"/>
      </w:pPr>
      <w:r>
        <w:t xml:space="preserve">- Zutrittskontrolle: Server in gesicherten Raeumen/Rechenzentren</w:t>
      </w:r>
    </w:p>
    <w:p>
      <w:pPr>
        <w:spacing w:after="80"/>
        <w:ind w:left="720"/>
      </w:pPr>
      <w:r>
        <w:t xml:space="preserve">- Zugangskontrolle: Passwortschutz, SSH-Keys fuer Serveradministration</w:t>
      </w:r>
    </w:p>
    <w:p>
      <w:pPr>
        <w:spacing w:after="80"/>
        <w:ind w:left="720"/>
      </w:pPr>
      <w:r>
        <w:t xml:space="preserve">- Zugriffskontrolle: Berechtigungskonzept, rollenbasierter Zugriff</w:t>
      </w:r>
    </w:p>
    <w:p>
      <w:pPr>
        <w:spacing w:after="150"/>
        <w:ind w:left="720"/>
      </w:pPr>
      <w:r>
        <w:t xml:space="preserve">- Trennungskontrolle: Mandantentrennung in der Software (Multi-Tenant)</w:t>
      </w:r>
    </w:p>
    <w:p>
      <w:pPr>
        <w:pStyle w:val="Heading2"/>
      </w:pPr>
      <w:r>
        <w:t xml:space="preserve">7.2 Integritaet</w:t>
      </w:r>
    </w:p>
    <w:p>
      <w:pPr>
        <w:spacing w:after="80"/>
        <w:ind w:left="720"/>
      </w:pPr>
      <w:r>
        <w:t xml:space="preserve">- Weitergabekontrolle: Verschluesselte Uebertragung (HTTPS/TLS)</w:t>
      </w:r>
    </w:p>
    <w:p>
      <w:pPr>
        <w:spacing w:after="150"/>
        <w:ind w:left="720"/>
      </w:pPr>
      <w:r>
        <w:t xml:space="preserve">- Eingabekontrolle: Protokollierung von Aenderungen</w:t>
      </w:r>
    </w:p>
    <w:p>
      <w:pPr>
        <w:pStyle w:val="Heading2"/>
      </w:pPr>
      <w:r>
        <w:t xml:space="preserve">7.3 Verfuegbarkeit und Belastbarkeit</w:t>
      </w:r>
    </w:p>
    <w:p>
      <w:pPr>
        <w:spacing w:after="80"/>
        <w:ind w:left="720"/>
      </w:pPr>
      <w:r>
        <w:t xml:space="preserve">- Verfuegbarkeitskontrolle: Regelmaessige Backups</w:t>
      </w:r>
    </w:p>
    <w:p>
      <w:pPr>
        <w:spacing w:after="80"/>
        <w:ind w:left="720"/>
      </w:pPr>
      <w:r>
        <w:t xml:space="preserve">- Rasche Wiederherstellbarkeit: Dokumentierte Wiederherstellungsprozesse</w:t>
      </w:r>
    </w:p>
    <w:p>
      <w:pPr>
        <w:spacing w:after="150"/>
        <w:ind w:left="720"/>
      </w:pPr>
      <w:r>
        <w:t xml:space="preserve">- Belastbarkeit: Ueberwachung der Systemressourcen</w:t>
      </w:r>
    </w:p>
    <w:p>
      <w:pPr>
        <w:pStyle w:val="Heading2"/>
      </w:pPr>
      <w:r>
        <w:t xml:space="preserve">7.4 Verfahren zur regelmaessigen Ueberpruefung</w:t>
      </w:r>
    </w:p>
    <w:p>
      <w:pPr>
        <w:spacing w:after="80"/>
        <w:ind w:left="720"/>
      </w:pPr>
      <w:r>
        <w:t xml:space="preserve">- Regelmaessige Sicherheitsupdates</w:t>
      </w:r>
    </w:p>
    <w:p>
      <w:pPr>
        <w:spacing w:after="80"/>
        <w:ind w:left="720"/>
      </w:pPr>
      <w:r>
        <w:t xml:space="preserve">- Ueberpruefung der Zugriffsrechte</w:t>
      </w:r>
    </w:p>
    <w:p>
      <w:pPr>
        <w:spacing w:after="300"/>
        <w:ind w:left="720"/>
      </w:pPr>
      <w:r>
        <w:t xml:space="preserve">- Dokumentation von Sicherheitsvorfaellen</w:t>
      </w:r>
    </w:p>
    <w:p>
      <w:pPr>
        <w:pStyle w:val="Heading1"/>
      </w:pPr>
      <w:r>
        <w:t xml:space="preserve">Paragraph 8 - Meldepflichten bei Datenschutzverletzungen</w:t>
      </w:r>
    </w:p>
    <w:p>
      <w:pPr>
        <w:spacing w:after="150"/>
      </w:pPr>
      <w:r>
        <w:t xml:space="preserve">(1) Der Auftragnehmer informiert den Auftraggeber unverzueglich (innerhalb von 24 Stunden) ueber jede Verletzung des Schutzes personenbezogener Daten.</w:t>
      </w:r>
    </w:p>
    <w:p>
      <w:pPr>
        <w:spacing w:after="150"/>
      </w:pPr>
      <w:r>
        <w:t xml:space="preserve">(2) Die Meldung enthaelt mindestens:</w:t>
      </w:r>
    </w:p>
    <w:p>
      <w:pPr>
        <w:spacing w:after="80"/>
        <w:ind w:left="720"/>
      </w:pPr>
      <w:r>
        <w:t xml:space="preserve">- Art der Verletzung</w:t>
      </w:r>
    </w:p>
    <w:p>
      <w:pPr>
        <w:spacing w:after="80"/>
        <w:ind w:left="720"/>
      </w:pPr>
      <w:r>
        <w:t xml:space="preserve">- Betroffene Datenkategorien und Personengruppen</w:t>
      </w:r>
    </w:p>
    <w:p>
      <w:pPr>
        <w:spacing w:after="80"/>
        <w:ind w:left="720"/>
      </w:pPr>
      <w:r>
        <w:t xml:space="preserve">- Wahrscheinliche Folgen</w:t>
      </w:r>
    </w:p>
    <w:p>
      <w:pPr>
        <w:spacing w:after="150"/>
        <w:ind w:left="720"/>
      </w:pPr>
      <w:r>
        <w:t xml:space="preserve">- Ergriffene Abhilfemassnahmen</w:t>
      </w:r>
    </w:p>
    <w:p>
      <w:pPr>
        <w:spacing w:after="300"/>
      </w:pPr>
      <w:r>
        <w:t xml:space="preserve">(3) Der Auftragnehmer unterstuetzt den Auftraggeber bei der Erfuellung seiner Meldepflichten gegenueber Aufsichtsbehoerden und Betroffenen.</w:t>
      </w:r>
    </w:p>
    <w:p>
      <w:pPr>
        <w:pStyle w:val="Heading1"/>
      </w:pPr>
      <w:r>
        <w:t xml:space="preserve">Paragraph 9 - Kontrollrechte des Auftraggebers</w:t>
      </w:r>
    </w:p>
    <w:p>
      <w:pPr>
        <w:spacing w:after="150"/>
      </w:pPr>
      <w:r>
        <w:t xml:space="preserve">(1) Der Auftraggeber hat das Recht, die Einhaltung der datenschutzrechtlichen Anforderungen zu ueberpruefen.</w:t>
      </w:r>
    </w:p>
    <w:p>
      <w:pPr>
        <w:spacing w:after="150"/>
      </w:pPr>
      <w:r>
        <w:t xml:space="preserve">(2) Kontrollen koennen erfolgen durch:</w:t>
      </w:r>
    </w:p>
    <w:p>
      <w:pPr>
        <w:spacing w:after="80"/>
        <w:ind w:left="720"/>
      </w:pPr>
      <w:r>
        <w:t xml:space="preserve">- Einholung von Auskuenften</w:t>
      </w:r>
    </w:p>
    <w:p>
      <w:pPr>
        <w:spacing w:after="80"/>
        <w:ind w:left="720"/>
      </w:pPr>
      <w:r>
        <w:t xml:space="preserve">- Einsichtnahme in Dokumentation und Nachweise</w:t>
      </w:r>
    </w:p>
    <w:p>
      <w:pPr>
        <w:spacing w:after="150"/>
        <w:ind w:left="720"/>
      </w:pPr>
      <w:r>
        <w:t xml:space="preserve">- Vor-Ort-Pruefungen (nach vorheriger Anmeldung)</w:t>
      </w:r>
    </w:p>
    <w:p>
      <w:pPr>
        <w:spacing w:after="300"/>
      </w:pPr>
      <w:r>
        <w:t xml:space="preserve">(3) Der Auftragnehmer stellt alle erforderlichen Informationen zur Verfuegung.</w:t>
      </w:r>
    </w:p>
    <w:p>
      <w:pPr>
        <w:pStyle w:val="Heading1"/>
      </w:pPr>
      <w:r>
        <w:t xml:space="preserve">Paragraph 10 - Loeschung und Rueckgabe von Daten</w:t>
      </w:r>
    </w:p>
    <w:p>
      <w:pPr>
        <w:spacing w:after="150"/>
      </w:pPr>
      <w:r>
        <w:t xml:space="preserve">(1) Nach Beendigung des Hauptvertrages loescht der Auftragnehmer alle personenbezogenen Daten, sofern keine gesetzliche Aufbewahrungspflicht besteht.</w:t>
      </w:r>
    </w:p>
    <w:p>
      <w:pPr>
        <w:spacing w:after="150"/>
      </w:pPr>
      <w:r>
        <w:t xml:space="preserve">(2) Auf Wunsch des Auftraggebers erfolgt vorher eine Rueckgabe der Daten in einem gaengigen Format (z.B. JSON, CSV).</w:t>
      </w:r>
    </w:p>
    <w:p>
      <w:pPr>
        <w:spacing w:after="150"/>
      </w:pPr>
      <w:r>
        <w:t xml:space="preserve">(3) Die Loeschung erfolgt innerhalb von 30 Tagen nach Vertragsende, sofern der Auftraggeber keinen Export anfordert.</w:t>
      </w:r>
    </w:p>
    <w:p>
      <w:pPr>
        <w:spacing w:after="300"/>
      </w:pPr>
      <w:r>
        <w:t xml:space="preserve">(4) Der Auftragnehmer bestaetigt die vollstaendige Loeschung schriftlich auf Anfrage.</w:t>
      </w:r>
    </w:p>
    <w:p>
      <w:pPr>
        <w:pStyle w:val="Heading1"/>
      </w:pPr>
      <w:r>
        <w:t xml:space="preserve">Paragraph 11 - Weisungsrecht</w:t>
      </w:r>
    </w:p>
    <w:p>
      <w:pPr>
        <w:spacing w:after="150"/>
      </w:pPr>
      <w:r>
        <w:t xml:space="preserve">(1) Der Auftraggeber kann Weisungen zur Datenverarbeitung erteilen. Weisungen sind in Textform zu erteilen (E-Mail genuegt).</w:t>
      </w:r>
    </w:p>
    <w:p>
      <w:pPr>
        <w:spacing w:after="150"/>
      </w:pPr>
      <w:r>
        <w:t xml:space="preserve">(2) Weisungsberechtigte Person beim Auftraggeber: _______________________</w:t>
      </w:r>
    </w:p>
    <w:p>
      <w:pPr>
        <w:spacing w:after="150"/>
      </w:pPr>
      <w:r>
        <w:t xml:space="preserve">(3) Weisungsempfaenger beim Auftragnehmer: Dieter Horst (oder benannte Vertretung)</w:t>
      </w:r>
    </w:p>
    <w:p>
      <w:pPr>
        <w:spacing w:after="300"/>
      </w:pPr>
      <w:r>
        <w:t xml:space="preserve">(4) Der Auftragnehmer informiert den Auftraggeber unverzueglich, wenn er der Meinung ist, dass eine Weisung gegen Datenschutzrecht verstoesst.</w:t>
      </w:r>
    </w:p>
    <w:p>
      <w:pPr>
        <w:pStyle w:val="Heading1"/>
      </w:pPr>
      <w:r>
        <w:t xml:space="preserve">Paragraph 12 - Haftung</w:t>
      </w:r>
    </w:p>
    <w:p>
      <w:pPr>
        <w:spacing w:after="150"/>
      </w:pPr>
      <w:r>
        <w:t xml:space="preserve">(1) Die Parteien haften gegenueber Betroffenen gemaess Art. 82 DSGVO.</w:t>
      </w:r>
    </w:p>
    <w:p>
      <w:pPr>
        <w:spacing w:after="150"/>
      </w:pPr>
      <w:r>
        <w:t xml:space="preserve">(2) Im Innenverhaeltnis haftet jede Partei fuer Schaeden, die durch von ihr zu vertretende Verstoesse verursacht wurden.</w:t>
      </w:r>
    </w:p>
    <w:p>
      <w:pPr>
        <w:spacing w:after="300"/>
      </w:pPr>
      <w:r>
        <w:t xml:space="preserve">(3) Die Haftung richtet sich im Uebrigen nach den Regelungen des Hauptvertrages.</w:t>
      </w:r>
    </w:p>
    <w:p>
      <w:pPr>
        <w:pStyle w:val="Heading1"/>
      </w:pPr>
      <w:r>
        <w:t xml:space="preserve">Paragraph 13 - Laufzeit</w:t>
      </w:r>
    </w:p>
    <w:p>
      <w:pPr>
        <w:spacing w:after="150"/>
      </w:pPr>
      <w:r>
        <w:t xml:space="preserve">(1) Dieser AVV ist Bestandteil des Hauptvertrages (Nutzungsvertrag/Lizenzvertrag) und tritt mit dessen Unterzeichnung in Kraft.</w:t>
      </w:r>
    </w:p>
    <w:p>
      <w:pPr>
        <w:spacing w:after="150"/>
      </w:pPr>
      <w:r>
        <w:t xml:space="preserve">(2) Die Laufzeit entspricht der Laufzeit des Hauptvertrages.</w:t>
      </w:r>
    </w:p>
    <w:p>
      <w:pPr>
        <w:spacing w:after="300"/>
      </w:pPr>
      <w:r>
        <w:t xml:space="preserve">(3) Nachwirkende Pflichten (insbesondere Vertraulichkeit, Loeschung) bleiben auch nach Vertragsende bestehen.</w:t>
      </w:r>
    </w:p>
    <w:p>
      <w:pPr>
        <w:pStyle w:val="Heading1"/>
      </w:pPr>
      <w:r>
        <w:t xml:space="preserve">Paragraph 14 - Schlussbestimmungen</w:t>
      </w:r>
    </w:p>
    <w:p>
      <w:pPr>
        <w:spacing w:after="150"/>
      </w:pPr>
      <w:r>
        <w:t xml:space="preserve">(1) Aenderungen dieses Vertrages beduerfen der Textform.</w:t>
      </w:r>
    </w:p>
    <w:p>
      <w:pPr>
        <w:spacing w:after="150"/>
      </w:pPr>
      <w:r>
        <w:t xml:space="preserve">(2) Es gilt deutsches Recht. Gerichtsstand ist Ahlen.</w:t>
      </w:r>
    </w:p>
    <w:p>
      <w:pPr>
        <w:spacing w:after="150"/>
      </w:pPr>
      <w:r>
        <w:t xml:space="preserve">(3) Sollten einzelne Bestimmungen unwirksam sein, bleibt der Vertrag im Uebrigen wirksam.</w:t>
      </w:r>
    </w:p>
    <w:p>
      <w:pPr>
        <w:spacing w:after="400"/>
      </w:pPr>
      <w:r>
        <w:t xml:space="preserve">(4) Dieser AVV ersetzt alle vorherigen Vereinbarungen zur Auftragsverarbeitung zwischen den Parteien.</w:t>
      </w:r>
    </w:p>
    <w:p>
      <w:pPr>
        <w:spacing w:before="200" w:after="400"/>
      </w:pPr>
      <w:r>
        <w:rPr>
          <w:b/>
          <w:bCs/>
          <w:sz w:val="24"/>
          <w:szCs w:val="24"/>
        </w:rPr>
        <w:t xml:space="preserve">UNTERSCHRIFTEN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Auftraggeber</w:t>
            </w:r>
          </w:p>
          <w:p>
            <w:r>
              <w:t xml:space="preserve">(Verantwortlicher)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Dieter Horst</w:t>
            </w:r>
          </w:p>
          <w:p>
            <w:r>
              <w:t xml:space="preserve">SYSTEMHAUS HORST (Auftragsverarbeiter)</w:t>
            </w:r>
          </w:p>
        </w:tc>
      </w:tr>
    </w:tbl>
    <w:p>
      <w:pPr>
        <w:spacing w:before="400"/>
      </w:pPr>
      <w:r>
        <w:rPr>
          <w:i/>
          <w:iCs/>
          <w:color w:val="CC0000"/>
          <w:sz w:val="20"/>
          <w:szCs w:val="20"/>
        </w:rPr>
        <w:t xml:space="preserve">HINWEIS: Dieser AVV ist ein Muster und sollte vor Verwendung rechtlich geprueft werden. Die TOM (Paragraph 7) sind ggf. an die tatsaechlichen Gegebenheiten anzupassen.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AVV nach Art. 28 DSGVO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2025-11-30T13:25:52.307Z</dcterms:created>
  <dcterms:modified xsi:type="dcterms:W3CDTF">2025-11-30T13:25:52.308Z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