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A9" w:rsidRDefault="00111D20">
      <w:pPr>
        <w:rPr>
          <w:color w:val="000000" w:themeColor="text1"/>
          <w:sz w:val="28"/>
        </w:rPr>
      </w:pPr>
      <w:r w:rsidRPr="00143123">
        <w:rPr>
          <w:color w:val="000000" w:themeColor="text1"/>
          <w:sz w:val="28"/>
        </w:rPr>
        <w:t>Variables</w:t>
      </w:r>
    </w:p>
    <w:p w:rsidR="00341B3C" w:rsidRPr="00143123" w:rsidRDefault="00341B3C">
      <w:pPr>
        <w:rPr>
          <w:color w:val="000000" w:themeColor="text1"/>
          <w:sz w:val="28"/>
        </w:rPr>
      </w:pPr>
      <w:r>
        <w:rPr>
          <w:color w:val="000000" w:themeColor="text1"/>
          <w:sz w:val="20"/>
        </w:rPr>
        <w:t xml:space="preserve">All data is for the AMON group: </w:t>
      </w:r>
      <w:r w:rsidRPr="00341B3C">
        <w:rPr>
          <w:color w:val="000000" w:themeColor="text1"/>
          <w:sz w:val="20"/>
        </w:rPr>
        <w:t>Monthly Mean Atmospheric Fields and Some Surface Fields</w:t>
      </w:r>
    </w:p>
    <w:tbl>
      <w:tblPr>
        <w:tblStyle w:val="TableGrid"/>
        <w:tblW w:w="991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94"/>
        <w:gridCol w:w="6174"/>
        <w:gridCol w:w="1350"/>
      </w:tblGrid>
      <w:tr w:rsidR="007E4663" w:rsidRPr="007E4663" w:rsidTr="00341B3C">
        <w:tc>
          <w:tcPr>
            <w:tcW w:w="2394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143123" w:rsidRDefault="00111D20" w:rsidP="00277A7B">
            <w:pPr>
              <w:rPr>
                <w:rFonts w:asciiTheme="majorHAnsi" w:hAnsiTheme="majorHAnsi"/>
                <w:color w:val="000000" w:themeColor="text1"/>
              </w:rPr>
            </w:pPr>
            <w:r w:rsidRPr="00143123">
              <w:rPr>
                <w:rFonts w:asciiTheme="majorHAnsi" w:hAnsiTheme="majorHAnsi"/>
                <w:color w:val="000000" w:themeColor="text1"/>
              </w:rPr>
              <w:t>Variable</w:t>
            </w:r>
          </w:p>
        </w:tc>
        <w:tc>
          <w:tcPr>
            <w:tcW w:w="6174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143123" w:rsidRDefault="00111D20" w:rsidP="00277A7B">
            <w:pPr>
              <w:rPr>
                <w:rFonts w:asciiTheme="majorHAnsi" w:hAnsiTheme="majorHAnsi"/>
                <w:color w:val="000000" w:themeColor="text1"/>
              </w:rPr>
            </w:pPr>
            <w:r w:rsidRPr="00143123">
              <w:rPr>
                <w:rFonts w:asciiTheme="majorHAnsi" w:hAnsiTheme="majorHAnsi"/>
                <w:color w:val="000000" w:themeColor="text1"/>
              </w:rPr>
              <w:t>Description</w:t>
            </w:r>
          </w:p>
        </w:tc>
        <w:tc>
          <w:tcPr>
            <w:tcW w:w="1350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143123" w:rsidRDefault="00111D20" w:rsidP="00277A7B">
            <w:pPr>
              <w:rPr>
                <w:rFonts w:asciiTheme="majorHAnsi" w:hAnsiTheme="majorHAnsi"/>
                <w:color w:val="000000" w:themeColor="text1"/>
              </w:rPr>
            </w:pPr>
            <w:r w:rsidRPr="00143123">
              <w:rPr>
                <w:rFonts w:asciiTheme="majorHAnsi" w:hAnsiTheme="majorHAnsi"/>
                <w:color w:val="000000" w:themeColor="text1"/>
              </w:rPr>
              <w:t>Units</w:t>
            </w:r>
          </w:p>
        </w:tc>
      </w:tr>
      <w:tr w:rsidR="007E4663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143123" w:rsidRDefault="00216998" w:rsidP="00277A7B">
            <w:pPr>
              <w:rPr>
                <w:color w:val="404040" w:themeColor="text1" w:themeTint="BF"/>
                <w:sz w:val="20"/>
              </w:rPr>
            </w:pPr>
            <w:proofErr w:type="spellStart"/>
            <w:r w:rsidRPr="00143123">
              <w:rPr>
                <w:color w:val="404040" w:themeColor="text1" w:themeTint="BF"/>
                <w:sz w:val="20"/>
              </w:rPr>
              <w:t>pr</w:t>
            </w:r>
            <w:proofErr w:type="spellEnd"/>
          </w:p>
        </w:tc>
        <w:tc>
          <w:tcPr>
            <w:tcW w:w="61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341B3C" w:rsidRDefault="00341B3C" w:rsidP="00277A7B">
            <w:pPr>
              <w:rPr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A</w:t>
            </w:r>
            <w:r w:rsidR="008777D2" w:rsidRPr="00341B3C">
              <w:rPr>
                <w:rFonts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t surface; includes both liquid and solid phases from all types of clouds (both large-scale and convective)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341B3C" w:rsidRDefault="00341B3C" w:rsidP="00277A7B">
            <w:pPr>
              <w:rPr>
                <w:color w:val="404040" w:themeColor="text1" w:themeTint="BF"/>
              </w:rPr>
            </w:pPr>
            <w:r w:rsidRPr="00341B3C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kg m</w:t>
            </w:r>
            <w:r w:rsidRPr="00341B3C">
              <w:rPr>
                <w:rFonts w:cs="Arial"/>
                <w:color w:val="222222"/>
                <w:sz w:val="20"/>
                <w:szCs w:val="20"/>
                <w:shd w:val="clear" w:color="auto" w:fill="FFFFFF"/>
                <w:vertAlign w:val="superscript"/>
              </w:rPr>
              <w:t>-2</w:t>
            </w:r>
            <w:r w:rsidRPr="00341B3C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341B3C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341B3C">
              <w:rPr>
                <w:rFonts w:cs="Arial"/>
                <w:color w:val="222222"/>
                <w:sz w:val="20"/>
                <w:szCs w:val="20"/>
                <w:shd w:val="clear" w:color="auto" w:fill="FFFFFF"/>
                <w:vertAlign w:val="superscript"/>
              </w:rPr>
              <w:t>-1</w:t>
            </w:r>
          </w:p>
        </w:tc>
      </w:tr>
      <w:tr w:rsidR="007E4663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143123" w:rsidRDefault="00216998" w:rsidP="00277A7B">
            <w:pPr>
              <w:rPr>
                <w:color w:val="404040" w:themeColor="text1" w:themeTint="BF"/>
                <w:sz w:val="20"/>
              </w:rPr>
            </w:pPr>
            <w:proofErr w:type="spellStart"/>
            <w:r w:rsidRPr="00143123">
              <w:rPr>
                <w:color w:val="404040" w:themeColor="text1" w:themeTint="BF"/>
                <w:sz w:val="20"/>
              </w:rPr>
              <w:t>tas</w:t>
            </w:r>
            <w:proofErr w:type="spellEnd"/>
          </w:p>
        </w:tc>
        <w:tc>
          <w:tcPr>
            <w:tcW w:w="61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341B3C" w:rsidRDefault="00341B3C" w:rsidP="00277A7B">
            <w:pPr>
              <w:rPr>
                <w:color w:val="404040" w:themeColor="text1" w:themeTint="BF"/>
              </w:rPr>
            </w:pPr>
            <w:r w:rsidRPr="00341B3C">
              <w:rPr>
                <w:color w:val="404040" w:themeColor="text1" w:themeTint="BF"/>
              </w:rPr>
              <w:t>Air temperature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7E4663" w:rsidRDefault="00341B3C" w:rsidP="00277A7B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</w:t>
            </w:r>
          </w:p>
        </w:tc>
      </w:tr>
      <w:tr w:rsidR="007E4663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143123" w:rsidRDefault="00216998" w:rsidP="00277A7B">
            <w:pPr>
              <w:rPr>
                <w:color w:val="404040" w:themeColor="text1" w:themeTint="BF"/>
                <w:sz w:val="20"/>
              </w:rPr>
            </w:pPr>
            <w:proofErr w:type="spellStart"/>
            <w:r w:rsidRPr="00143123">
              <w:rPr>
                <w:color w:val="404040" w:themeColor="text1" w:themeTint="BF"/>
                <w:sz w:val="20"/>
              </w:rPr>
              <w:t>tasmin</w:t>
            </w:r>
            <w:proofErr w:type="spellEnd"/>
          </w:p>
        </w:tc>
        <w:tc>
          <w:tcPr>
            <w:tcW w:w="61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341B3C" w:rsidRDefault="00341B3C" w:rsidP="00277A7B">
            <w:pPr>
              <w:rPr>
                <w:color w:val="404040" w:themeColor="text1" w:themeTint="BF"/>
                <w:sz w:val="20"/>
              </w:rPr>
            </w:pPr>
            <w:r w:rsidRPr="00341B3C">
              <w:rPr>
                <w:color w:val="404040" w:themeColor="text1" w:themeTint="BF"/>
                <w:sz w:val="20"/>
              </w:rPr>
              <w:t>M</w:t>
            </w:r>
            <w:r w:rsidRPr="00341B3C">
              <w:rPr>
                <w:color w:val="404040" w:themeColor="text1" w:themeTint="BF"/>
                <w:sz w:val="20"/>
              </w:rPr>
              <w:t>onthly mean of the daily-minim</w:t>
            </w:r>
            <w:r w:rsidRPr="00341B3C">
              <w:rPr>
                <w:color w:val="404040" w:themeColor="text1" w:themeTint="BF"/>
                <w:sz w:val="20"/>
              </w:rPr>
              <w:t>um near-surface air temperature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7E4663" w:rsidRDefault="00341B3C" w:rsidP="00277A7B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</w:t>
            </w:r>
          </w:p>
        </w:tc>
      </w:tr>
      <w:tr w:rsidR="007E4663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143123" w:rsidRDefault="00216998" w:rsidP="00277A7B">
            <w:pPr>
              <w:rPr>
                <w:color w:val="404040" w:themeColor="text1" w:themeTint="BF"/>
                <w:sz w:val="20"/>
              </w:rPr>
            </w:pPr>
            <w:proofErr w:type="spellStart"/>
            <w:r w:rsidRPr="00143123">
              <w:rPr>
                <w:color w:val="404040" w:themeColor="text1" w:themeTint="BF"/>
                <w:sz w:val="20"/>
              </w:rPr>
              <w:t>tasmax</w:t>
            </w:r>
            <w:proofErr w:type="spellEnd"/>
          </w:p>
        </w:tc>
        <w:tc>
          <w:tcPr>
            <w:tcW w:w="61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341B3C" w:rsidRDefault="00341B3C" w:rsidP="00277A7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M</w:t>
            </w:r>
            <w:r w:rsidRPr="00341B3C">
              <w:rPr>
                <w:color w:val="404040" w:themeColor="text1" w:themeTint="BF"/>
                <w:sz w:val="20"/>
              </w:rPr>
              <w:t>onthly mean of the daily-</w:t>
            </w:r>
            <w:r>
              <w:rPr>
                <w:color w:val="404040" w:themeColor="text1" w:themeTint="BF"/>
                <w:sz w:val="20"/>
              </w:rPr>
              <w:t>maximum near-surface air temperature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11D20" w:rsidRPr="007E4663" w:rsidRDefault="00341B3C" w:rsidP="00277A7B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</w:t>
            </w:r>
          </w:p>
        </w:tc>
      </w:tr>
    </w:tbl>
    <w:p w:rsidR="00111D20" w:rsidRPr="007E4663" w:rsidRDefault="00111D20">
      <w:pPr>
        <w:rPr>
          <w:color w:val="404040" w:themeColor="text1" w:themeTint="BF"/>
        </w:rPr>
      </w:pPr>
    </w:p>
    <w:p w:rsidR="00AB7F46" w:rsidRPr="00E272B4" w:rsidRDefault="00111D20">
      <w:pPr>
        <w:rPr>
          <w:color w:val="000000" w:themeColor="text1"/>
          <w:sz w:val="28"/>
        </w:rPr>
      </w:pPr>
      <w:r w:rsidRPr="00E272B4">
        <w:rPr>
          <w:color w:val="000000" w:themeColor="text1"/>
          <w:sz w:val="28"/>
        </w:rPr>
        <w:t>Time Periods</w:t>
      </w:r>
    </w:p>
    <w:tbl>
      <w:tblPr>
        <w:tblStyle w:val="TableGrid"/>
        <w:tblW w:w="239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94"/>
      </w:tblGrid>
      <w:tr w:rsidR="007E4663" w:rsidRPr="007E4663" w:rsidTr="00341B3C">
        <w:tc>
          <w:tcPr>
            <w:tcW w:w="2394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7F46" w:rsidRPr="007E4663" w:rsidRDefault="00AB7F46" w:rsidP="00277A7B">
            <w:pPr>
              <w:rPr>
                <w:color w:val="404040" w:themeColor="text1" w:themeTint="BF"/>
              </w:rPr>
            </w:pPr>
            <w:r w:rsidRPr="00E272B4">
              <w:rPr>
                <w:color w:val="000000" w:themeColor="text1"/>
              </w:rPr>
              <w:t>Time Period</w:t>
            </w:r>
          </w:p>
        </w:tc>
      </w:tr>
      <w:tr w:rsidR="007E4663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7F46" w:rsidRPr="00E272B4" w:rsidRDefault="00E272B4" w:rsidP="00E272B4">
            <w:pPr>
              <w:rPr>
                <w:color w:val="404040" w:themeColor="text1" w:themeTint="BF"/>
                <w:sz w:val="20"/>
              </w:rPr>
            </w:pPr>
            <w:r w:rsidRPr="00E272B4">
              <w:rPr>
                <w:color w:val="404040" w:themeColor="text1" w:themeTint="BF"/>
                <w:sz w:val="20"/>
              </w:rPr>
              <w:t>2020 – 2039</w:t>
            </w:r>
          </w:p>
        </w:tc>
      </w:tr>
      <w:tr w:rsidR="007E4663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7F46" w:rsidRPr="00E272B4" w:rsidRDefault="00E272B4" w:rsidP="00E272B4">
            <w:pPr>
              <w:rPr>
                <w:color w:val="404040" w:themeColor="text1" w:themeTint="BF"/>
                <w:sz w:val="20"/>
              </w:rPr>
            </w:pPr>
            <w:r w:rsidRPr="00E272B4">
              <w:rPr>
                <w:color w:val="404040" w:themeColor="text1" w:themeTint="BF"/>
                <w:sz w:val="20"/>
              </w:rPr>
              <w:t>2040 – 2059</w:t>
            </w:r>
          </w:p>
        </w:tc>
      </w:tr>
      <w:tr w:rsidR="007E4663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7F46" w:rsidRPr="00E272B4" w:rsidRDefault="00E272B4" w:rsidP="00E272B4">
            <w:pPr>
              <w:rPr>
                <w:color w:val="404040" w:themeColor="text1" w:themeTint="BF"/>
                <w:sz w:val="20"/>
              </w:rPr>
            </w:pPr>
            <w:r w:rsidRPr="00E272B4">
              <w:rPr>
                <w:color w:val="404040" w:themeColor="text1" w:themeTint="BF"/>
                <w:sz w:val="20"/>
              </w:rPr>
              <w:t>2060 – 2079</w:t>
            </w:r>
          </w:p>
        </w:tc>
      </w:tr>
      <w:tr w:rsidR="007E4663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7F46" w:rsidRPr="00E272B4" w:rsidRDefault="00E272B4" w:rsidP="00277A7B">
            <w:pPr>
              <w:rPr>
                <w:color w:val="404040" w:themeColor="text1" w:themeTint="BF"/>
                <w:sz w:val="20"/>
              </w:rPr>
            </w:pPr>
            <w:r w:rsidRPr="00E272B4">
              <w:rPr>
                <w:color w:val="404040" w:themeColor="text1" w:themeTint="BF"/>
                <w:sz w:val="20"/>
              </w:rPr>
              <w:t>2080 – 2099</w:t>
            </w:r>
          </w:p>
        </w:tc>
      </w:tr>
    </w:tbl>
    <w:p w:rsidR="00111D20" w:rsidRPr="007E4663" w:rsidRDefault="00111D20">
      <w:pPr>
        <w:rPr>
          <w:color w:val="404040" w:themeColor="text1" w:themeTint="BF"/>
        </w:rPr>
      </w:pPr>
    </w:p>
    <w:p w:rsidR="00E272B4" w:rsidRPr="00EC6674" w:rsidRDefault="00111D20">
      <w:pPr>
        <w:rPr>
          <w:color w:val="000000" w:themeColor="text1"/>
          <w:sz w:val="28"/>
        </w:rPr>
      </w:pPr>
      <w:r w:rsidRPr="00E272B4">
        <w:rPr>
          <w:color w:val="000000" w:themeColor="text1"/>
          <w:sz w:val="28"/>
        </w:rPr>
        <w:t>Models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663" w:rsidRPr="007E4663" w:rsidTr="00341B3C">
        <w:tc>
          <w:tcPr>
            <w:tcW w:w="2394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11D20" w:rsidRPr="00E272B4" w:rsidRDefault="00111D20">
            <w:pPr>
              <w:rPr>
                <w:rFonts w:asciiTheme="majorHAnsi" w:hAnsiTheme="majorHAnsi"/>
                <w:color w:val="000000" w:themeColor="text1"/>
              </w:rPr>
            </w:pPr>
            <w:r w:rsidRPr="00E272B4">
              <w:rPr>
                <w:rFonts w:asciiTheme="majorHAnsi" w:hAnsiTheme="majorHAnsi"/>
                <w:color w:val="000000" w:themeColor="text1"/>
              </w:rPr>
              <w:t>PR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11D20" w:rsidRPr="00E272B4" w:rsidRDefault="00111D20">
            <w:pPr>
              <w:rPr>
                <w:rFonts w:asciiTheme="majorHAnsi" w:hAnsiTheme="majorHAnsi"/>
                <w:color w:val="000000" w:themeColor="text1"/>
              </w:rPr>
            </w:pPr>
            <w:r w:rsidRPr="00E272B4">
              <w:rPr>
                <w:rFonts w:asciiTheme="majorHAnsi" w:hAnsiTheme="majorHAnsi"/>
                <w:color w:val="000000" w:themeColor="text1"/>
              </w:rPr>
              <w:t>TAS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11D20" w:rsidRPr="00E272B4" w:rsidRDefault="00111D20">
            <w:pPr>
              <w:rPr>
                <w:rFonts w:asciiTheme="majorHAnsi" w:hAnsiTheme="majorHAnsi"/>
                <w:color w:val="000000" w:themeColor="text1"/>
              </w:rPr>
            </w:pPr>
            <w:r w:rsidRPr="00E272B4">
              <w:rPr>
                <w:rFonts w:asciiTheme="majorHAnsi" w:hAnsiTheme="majorHAnsi"/>
                <w:color w:val="000000" w:themeColor="text1"/>
              </w:rPr>
              <w:t>TASMAX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11D20" w:rsidRPr="00E272B4" w:rsidRDefault="00111D20">
            <w:pPr>
              <w:rPr>
                <w:rFonts w:asciiTheme="majorHAnsi" w:hAnsiTheme="majorHAnsi"/>
                <w:color w:val="000000" w:themeColor="text1"/>
              </w:rPr>
            </w:pPr>
            <w:r w:rsidRPr="00E272B4">
              <w:rPr>
                <w:rFonts w:asciiTheme="majorHAnsi" w:hAnsiTheme="majorHAnsi"/>
                <w:color w:val="000000" w:themeColor="text1"/>
              </w:rPr>
              <w:t>TASMIN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bcc-csm1-1-m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access1-3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access1-3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access1-3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bcc-csm1-1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bcc-csm1-1-m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bcc-csm1-1-m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bcc-csm1-1-m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bnu-esm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bcc-csm1-1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bcc-csm1-1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bcc-csm1-1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canesm2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bnu-esm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bnu-esm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bnu-esm</w:t>
            </w:r>
            <w:proofErr w:type="spellEnd"/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cnrm-cm5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canesm2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canesm2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canesm2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csiro-mk3-6-0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cnrm-cm5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ccsm4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ccsm4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ipsl-cm5a-lr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csiro-mk3-6-0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cesm1-bgc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cesm1-bgc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ipsl-cm5a-mr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ipsl-cm5a-lr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cesm1-cam5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cesm1-cam5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ipsl-cm5b-lr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ipsl-cm5a-mr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cnrm-cm5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cnrm-cm5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miroc-esm-chem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ipsl-cm5b-lr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csiro-mk3-6-0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csiro-mk3-6-0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miroc-esm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miroc-esm-chem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ipsl-cm5a-lr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fio-esm</w:t>
            </w:r>
            <w:proofErr w:type="spellEnd"/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miroc5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miroc-esm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ipsl-cm5a-mr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ipsl-cm5a-lr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mri-cgcm3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31D96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miroc5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ipsl-cm5b-lr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ipsl-cm5a-mr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mri-esm1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7A15B8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mpi-esm-lr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miroc-esm-chem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ipsl-cm5b-lr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7A15B8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mpi-esm-mr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miroc-esm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mpi-esm-lr</w:t>
            </w:r>
            <w:proofErr w:type="spellEnd"/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7A15B8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mri-cgcm3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miroc5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mpi-esm-mr</w:t>
            </w:r>
            <w:proofErr w:type="spellEnd"/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7A15B8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mpi-esm-lr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mri-cgcm3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7A15B8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proofErr w:type="spellStart"/>
            <w:r w:rsidRPr="00E272B4">
              <w:rPr>
                <w:sz w:val="20"/>
                <w:szCs w:val="20"/>
              </w:rPr>
              <w:t>mpi-esm-mr</w:t>
            </w:r>
            <w:proofErr w:type="spellEnd"/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EB0B4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noresm1-m</w:t>
            </w: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DC1E51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7A15B8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 w:rsidP="00B97584">
            <w:pPr>
              <w:rPr>
                <w:sz w:val="20"/>
                <w:szCs w:val="20"/>
              </w:rPr>
            </w:pPr>
            <w:r w:rsidRPr="00E272B4">
              <w:rPr>
                <w:sz w:val="20"/>
                <w:szCs w:val="20"/>
              </w:rPr>
              <w:t>mri-cgcm3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E272B4" w:rsidRDefault="00E272B4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</w:tr>
      <w:tr w:rsidR="00E272B4" w:rsidRPr="007E4663" w:rsidTr="00341B3C"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8F08DA" w:rsidRDefault="00E272B4" w:rsidP="00DC1E51"/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Default="00E272B4" w:rsidP="007A15B8"/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490793" w:rsidRDefault="00E272B4" w:rsidP="00B97584">
            <w:r w:rsidRPr="00E272B4">
              <w:rPr>
                <w:sz w:val="20"/>
              </w:rPr>
              <w:t>noresm1-m</w:t>
            </w:r>
          </w:p>
        </w:tc>
        <w:tc>
          <w:tcPr>
            <w:tcW w:w="239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272B4" w:rsidRPr="007E4663" w:rsidRDefault="00E272B4">
            <w:pPr>
              <w:rPr>
                <w:color w:val="404040" w:themeColor="text1" w:themeTint="BF"/>
              </w:rPr>
            </w:pPr>
          </w:p>
        </w:tc>
      </w:tr>
    </w:tbl>
    <w:p w:rsidR="00111D20" w:rsidRPr="007E4663" w:rsidRDefault="00111D20">
      <w:pPr>
        <w:rPr>
          <w:color w:val="404040" w:themeColor="text1" w:themeTint="BF"/>
        </w:rPr>
      </w:pPr>
    </w:p>
    <w:p w:rsidR="008777D2" w:rsidRDefault="008777D2">
      <w:pPr>
        <w:rPr>
          <w:rFonts w:asciiTheme="majorHAnsi" w:hAnsiTheme="majorHAnsi"/>
          <w:color w:val="404040" w:themeColor="text1" w:themeTint="BF"/>
          <w:sz w:val="28"/>
        </w:rPr>
      </w:pPr>
      <w:r>
        <w:rPr>
          <w:rFonts w:asciiTheme="majorHAnsi" w:hAnsiTheme="majorHAnsi"/>
          <w:color w:val="404040" w:themeColor="text1" w:themeTint="BF"/>
          <w:sz w:val="28"/>
        </w:rPr>
        <w:t>Representative Concentration Pathways (RCPs)</w:t>
      </w:r>
    </w:p>
    <w:tbl>
      <w:tblPr>
        <w:tblStyle w:val="TableGrid"/>
        <w:tblW w:w="133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32"/>
      </w:tblGrid>
      <w:tr w:rsidR="008777D2" w:rsidRPr="007E4663" w:rsidTr="00EC6674">
        <w:tc>
          <w:tcPr>
            <w:tcW w:w="1332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7E4663" w:rsidRDefault="008777D2" w:rsidP="00277A7B">
            <w:pPr>
              <w:rPr>
                <w:color w:val="404040" w:themeColor="text1" w:themeTint="BF"/>
              </w:rPr>
            </w:pPr>
            <w:r>
              <w:rPr>
                <w:color w:val="000000" w:themeColor="text1"/>
              </w:rPr>
              <w:t>RCP</w:t>
            </w:r>
          </w:p>
        </w:tc>
      </w:tr>
      <w:tr w:rsidR="008777D2" w:rsidRPr="007E4663" w:rsidTr="00EC6674">
        <w:tc>
          <w:tcPr>
            <w:tcW w:w="1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E272B4" w:rsidRDefault="008777D2" w:rsidP="00277A7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2.6 W/m</w:t>
            </w:r>
            <w:r w:rsidRPr="008777D2">
              <w:rPr>
                <w:color w:val="404040" w:themeColor="text1" w:themeTint="BF"/>
                <w:sz w:val="20"/>
                <w:vertAlign w:val="superscript"/>
              </w:rPr>
              <w:t>2</w:t>
            </w:r>
          </w:p>
        </w:tc>
      </w:tr>
      <w:tr w:rsidR="008777D2" w:rsidRPr="007E4663" w:rsidTr="00EC6674">
        <w:tc>
          <w:tcPr>
            <w:tcW w:w="1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E272B4" w:rsidRDefault="008777D2" w:rsidP="00277A7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4.5 </w:t>
            </w:r>
            <w:r>
              <w:rPr>
                <w:color w:val="404040" w:themeColor="text1" w:themeTint="BF"/>
                <w:sz w:val="20"/>
              </w:rPr>
              <w:t>W/m</w:t>
            </w:r>
            <w:r w:rsidRPr="008777D2">
              <w:rPr>
                <w:color w:val="404040" w:themeColor="text1" w:themeTint="BF"/>
                <w:sz w:val="20"/>
                <w:vertAlign w:val="superscript"/>
              </w:rPr>
              <w:t>2</w:t>
            </w:r>
          </w:p>
        </w:tc>
      </w:tr>
      <w:tr w:rsidR="008777D2" w:rsidRPr="007E4663" w:rsidTr="00EC6674">
        <w:tc>
          <w:tcPr>
            <w:tcW w:w="1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E272B4" w:rsidRDefault="008777D2" w:rsidP="00277A7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6.0 </w:t>
            </w:r>
            <w:r>
              <w:rPr>
                <w:color w:val="404040" w:themeColor="text1" w:themeTint="BF"/>
                <w:sz w:val="20"/>
              </w:rPr>
              <w:t>W/m</w:t>
            </w:r>
            <w:r w:rsidRPr="008777D2">
              <w:rPr>
                <w:color w:val="404040" w:themeColor="text1" w:themeTint="BF"/>
                <w:sz w:val="20"/>
                <w:vertAlign w:val="superscript"/>
              </w:rPr>
              <w:t>2</w:t>
            </w:r>
          </w:p>
        </w:tc>
      </w:tr>
      <w:tr w:rsidR="008777D2" w:rsidRPr="007E4663" w:rsidTr="00EC6674">
        <w:tc>
          <w:tcPr>
            <w:tcW w:w="1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E272B4" w:rsidRDefault="008777D2" w:rsidP="00277A7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8.5 </w:t>
            </w:r>
            <w:r>
              <w:rPr>
                <w:color w:val="404040" w:themeColor="text1" w:themeTint="BF"/>
                <w:sz w:val="20"/>
              </w:rPr>
              <w:t>W/m</w:t>
            </w:r>
            <w:r w:rsidRPr="008777D2">
              <w:rPr>
                <w:color w:val="404040" w:themeColor="text1" w:themeTint="BF"/>
                <w:sz w:val="20"/>
                <w:vertAlign w:val="superscript"/>
              </w:rPr>
              <w:t>2</w:t>
            </w:r>
          </w:p>
        </w:tc>
      </w:tr>
    </w:tbl>
    <w:p w:rsidR="008777D2" w:rsidRDefault="008777D2">
      <w:pPr>
        <w:rPr>
          <w:rFonts w:asciiTheme="majorHAnsi" w:hAnsiTheme="majorHAnsi"/>
          <w:color w:val="404040" w:themeColor="text1" w:themeTint="BF"/>
          <w:sz w:val="28"/>
        </w:rPr>
      </w:pPr>
    </w:p>
    <w:p w:rsidR="00AB7F46" w:rsidRDefault="00AB7F46">
      <w:pPr>
        <w:rPr>
          <w:rFonts w:asciiTheme="majorHAnsi" w:hAnsiTheme="majorHAnsi"/>
          <w:color w:val="404040" w:themeColor="text1" w:themeTint="BF"/>
          <w:sz w:val="28"/>
        </w:rPr>
      </w:pPr>
      <w:r w:rsidRPr="007E4663">
        <w:rPr>
          <w:rFonts w:asciiTheme="majorHAnsi" w:hAnsiTheme="majorHAnsi"/>
          <w:color w:val="404040" w:themeColor="text1" w:themeTint="BF"/>
          <w:sz w:val="28"/>
        </w:rPr>
        <w:t>Ensembles</w:t>
      </w:r>
    </w:p>
    <w:p w:rsidR="00E272B4" w:rsidRDefault="008777D2">
      <w:pPr>
        <w:rPr>
          <w:rFonts w:asciiTheme="majorHAnsi" w:hAnsiTheme="majorHAnsi"/>
          <w:color w:val="404040" w:themeColor="text1" w:themeTint="BF"/>
          <w:sz w:val="20"/>
        </w:rPr>
      </w:pPr>
      <w:r>
        <w:rPr>
          <w:rFonts w:asciiTheme="majorHAnsi" w:hAnsiTheme="majorHAnsi"/>
          <w:color w:val="404040" w:themeColor="text1" w:themeTint="BF"/>
          <w:sz w:val="20"/>
        </w:rPr>
        <w:t>Ensembles were made in 10</w:t>
      </w:r>
      <w:r w:rsidRPr="008777D2">
        <w:rPr>
          <w:rFonts w:asciiTheme="majorHAnsi" w:hAnsiTheme="majorHAnsi"/>
          <w:color w:val="404040" w:themeColor="text1" w:themeTint="BF"/>
          <w:sz w:val="20"/>
          <w:vertAlign w:val="superscript"/>
        </w:rPr>
        <w:t>th</w:t>
      </w:r>
      <w:r>
        <w:rPr>
          <w:rFonts w:asciiTheme="majorHAnsi" w:hAnsiTheme="majorHAnsi"/>
          <w:color w:val="404040" w:themeColor="text1" w:themeTint="BF"/>
          <w:sz w:val="20"/>
        </w:rPr>
        <w:t>, 50</w:t>
      </w:r>
      <w:r w:rsidRPr="008777D2">
        <w:rPr>
          <w:rFonts w:asciiTheme="majorHAnsi" w:hAnsiTheme="majorHAnsi"/>
          <w:color w:val="404040" w:themeColor="text1" w:themeTint="BF"/>
          <w:sz w:val="20"/>
          <w:vertAlign w:val="superscript"/>
        </w:rPr>
        <w:t>th</w:t>
      </w:r>
      <w:r>
        <w:rPr>
          <w:rFonts w:asciiTheme="majorHAnsi" w:hAnsiTheme="majorHAnsi"/>
          <w:color w:val="404040" w:themeColor="text1" w:themeTint="BF"/>
          <w:sz w:val="20"/>
        </w:rPr>
        <w:t>, 90</w:t>
      </w:r>
      <w:r w:rsidRPr="008777D2">
        <w:rPr>
          <w:rFonts w:asciiTheme="majorHAnsi" w:hAnsiTheme="majorHAnsi"/>
          <w:color w:val="404040" w:themeColor="text1" w:themeTint="BF"/>
          <w:sz w:val="20"/>
          <w:vertAlign w:val="superscript"/>
        </w:rPr>
        <w:t>th</w:t>
      </w:r>
      <w:r>
        <w:rPr>
          <w:rFonts w:asciiTheme="majorHAnsi" w:hAnsiTheme="majorHAnsi"/>
          <w:color w:val="404040" w:themeColor="text1" w:themeTint="BF"/>
          <w:sz w:val="20"/>
        </w:rPr>
        <w:t xml:space="preserve"> percentiles for each of the RCPs</w:t>
      </w:r>
    </w:p>
    <w:tbl>
      <w:tblPr>
        <w:tblStyle w:val="TableGrid"/>
        <w:tblW w:w="133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32"/>
      </w:tblGrid>
      <w:tr w:rsidR="008777D2" w:rsidRPr="007E4663" w:rsidTr="00341B3C">
        <w:tc>
          <w:tcPr>
            <w:tcW w:w="1332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7E4663" w:rsidRDefault="008777D2" w:rsidP="00277A7B">
            <w:pPr>
              <w:rPr>
                <w:color w:val="404040" w:themeColor="text1" w:themeTint="BF"/>
              </w:rPr>
            </w:pPr>
            <w:r>
              <w:rPr>
                <w:color w:val="000000" w:themeColor="text1"/>
              </w:rPr>
              <w:t>Percentile</w:t>
            </w:r>
          </w:p>
        </w:tc>
      </w:tr>
      <w:tr w:rsidR="008777D2" w:rsidRPr="007E4663" w:rsidTr="00341B3C">
        <w:tc>
          <w:tcPr>
            <w:tcW w:w="1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E272B4" w:rsidRDefault="008777D2" w:rsidP="00277A7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10</w:t>
            </w:r>
            <w:r w:rsidRPr="008777D2">
              <w:rPr>
                <w:color w:val="404040" w:themeColor="text1" w:themeTint="BF"/>
                <w:sz w:val="20"/>
                <w:vertAlign w:val="superscript"/>
              </w:rPr>
              <w:t>th</w:t>
            </w:r>
          </w:p>
        </w:tc>
      </w:tr>
      <w:tr w:rsidR="008777D2" w:rsidRPr="007E4663" w:rsidTr="00341B3C">
        <w:tc>
          <w:tcPr>
            <w:tcW w:w="1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E272B4" w:rsidRDefault="008777D2" w:rsidP="00277A7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50</w:t>
            </w:r>
            <w:r w:rsidRPr="008777D2">
              <w:rPr>
                <w:color w:val="404040" w:themeColor="text1" w:themeTint="BF"/>
                <w:sz w:val="20"/>
                <w:vertAlign w:val="superscript"/>
              </w:rPr>
              <w:t>th</w:t>
            </w:r>
          </w:p>
        </w:tc>
      </w:tr>
      <w:tr w:rsidR="008777D2" w:rsidRPr="007E4663" w:rsidTr="00341B3C">
        <w:tc>
          <w:tcPr>
            <w:tcW w:w="1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777D2" w:rsidRPr="00E272B4" w:rsidRDefault="008777D2" w:rsidP="00277A7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90</w:t>
            </w:r>
            <w:r w:rsidRPr="008777D2">
              <w:rPr>
                <w:color w:val="404040" w:themeColor="text1" w:themeTint="BF"/>
                <w:sz w:val="20"/>
                <w:vertAlign w:val="superscript"/>
              </w:rPr>
              <w:t>th</w:t>
            </w:r>
          </w:p>
        </w:tc>
      </w:tr>
    </w:tbl>
    <w:p w:rsidR="008777D2" w:rsidRDefault="008777D2">
      <w:pPr>
        <w:rPr>
          <w:rFonts w:asciiTheme="majorHAnsi" w:hAnsiTheme="majorHAnsi"/>
          <w:color w:val="404040" w:themeColor="text1" w:themeTint="BF"/>
          <w:sz w:val="28"/>
        </w:rPr>
      </w:pPr>
    </w:p>
    <w:p w:rsidR="00AB7F46" w:rsidRPr="007E4663" w:rsidRDefault="007E4663">
      <w:pPr>
        <w:rPr>
          <w:rFonts w:asciiTheme="majorHAnsi" w:hAnsiTheme="majorHAnsi"/>
          <w:color w:val="404040" w:themeColor="text1" w:themeTint="BF"/>
          <w:sz w:val="28"/>
        </w:rPr>
      </w:pPr>
      <w:r w:rsidRPr="007E4663">
        <w:rPr>
          <w:rFonts w:asciiTheme="majorHAnsi" w:hAnsiTheme="majorHAnsi"/>
          <w:color w:val="404040" w:themeColor="text1" w:themeTint="BF"/>
          <w:sz w:val="28"/>
        </w:rPr>
        <w:t>Resolution</w:t>
      </w:r>
    </w:p>
    <w:p w:rsidR="007E4663" w:rsidRPr="007E4663" w:rsidRDefault="007E4663">
      <w:pPr>
        <w:rPr>
          <w:rFonts w:asciiTheme="majorHAnsi" w:hAnsiTheme="majorHAnsi"/>
          <w:color w:val="404040" w:themeColor="text1" w:themeTint="BF"/>
        </w:rPr>
      </w:pPr>
      <w:r w:rsidRPr="00143123">
        <w:rPr>
          <w:rFonts w:asciiTheme="majorHAnsi" w:hAnsiTheme="majorHAnsi"/>
          <w:color w:val="404040" w:themeColor="text1" w:themeTint="BF"/>
          <w:sz w:val="20"/>
        </w:rPr>
        <w:t xml:space="preserve">Models were </w:t>
      </w:r>
      <w:r w:rsidR="008777D2">
        <w:rPr>
          <w:rFonts w:asciiTheme="majorHAnsi" w:hAnsiTheme="majorHAnsi"/>
          <w:color w:val="404040" w:themeColor="text1" w:themeTint="BF"/>
          <w:sz w:val="20"/>
        </w:rPr>
        <w:t xml:space="preserve">reset to </w:t>
      </w:r>
      <w:proofErr w:type="spellStart"/>
      <w:r w:rsidR="008777D2">
        <w:rPr>
          <w:rFonts w:asciiTheme="majorHAnsi" w:hAnsiTheme="majorHAnsi"/>
          <w:color w:val="404040" w:themeColor="text1" w:themeTint="BF"/>
          <w:sz w:val="20"/>
        </w:rPr>
        <w:t>rasters</w:t>
      </w:r>
      <w:proofErr w:type="spellEnd"/>
      <w:r w:rsidR="008777D2">
        <w:rPr>
          <w:rFonts w:asciiTheme="majorHAnsi" w:hAnsiTheme="majorHAnsi"/>
          <w:color w:val="404040" w:themeColor="text1" w:themeTint="BF"/>
          <w:sz w:val="20"/>
        </w:rPr>
        <w:t xml:space="preserve"> with cell dimensions of: 0.5 x 0.5</w:t>
      </w:r>
      <w:r w:rsidRPr="00143123">
        <w:rPr>
          <w:rFonts w:asciiTheme="majorHAnsi" w:hAnsiTheme="majorHAnsi"/>
          <w:color w:val="404040" w:themeColor="text1" w:themeTint="BF"/>
          <w:sz w:val="20"/>
        </w:rPr>
        <w:t xml:space="preserve"> degrees. This is either higher or lower than the resolution of the original models. The disaggregation </w:t>
      </w:r>
      <w:r w:rsidR="008777D2">
        <w:rPr>
          <w:rFonts w:asciiTheme="majorHAnsi" w:hAnsiTheme="majorHAnsi"/>
          <w:color w:val="404040" w:themeColor="text1" w:themeTint="BF"/>
          <w:sz w:val="20"/>
        </w:rPr>
        <w:t xml:space="preserve">process </w:t>
      </w:r>
      <w:r w:rsidRPr="00143123">
        <w:rPr>
          <w:rFonts w:asciiTheme="majorHAnsi" w:hAnsiTheme="majorHAnsi"/>
          <w:color w:val="404040" w:themeColor="text1" w:themeTint="BF"/>
          <w:sz w:val="20"/>
        </w:rPr>
        <w:t xml:space="preserve">did NOT </w:t>
      </w:r>
      <w:r w:rsidR="008777D2">
        <w:rPr>
          <w:rFonts w:asciiTheme="majorHAnsi" w:hAnsiTheme="majorHAnsi"/>
          <w:color w:val="404040" w:themeColor="text1" w:themeTint="BF"/>
          <w:sz w:val="20"/>
        </w:rPr>
        <w:t>involve a resampling routine on the data.</w:t>
      </w:r>
    </w:p>
    <w:p w:rsidR="007E4663" w:rsidRPr="007E4663" w:rsidRDefault="007E4663">
      <w:pPr>
        <w:rPr>
          <w:color w:val="404040" w:themeColor="text1" w:themeTint="BF"/>
        </w:rPr>
      </w:pPr>
    </w:p>
    <w:p w:rsidR="00AB7F46" w:rsidRDefault="00AB7F46">
      <w:pPr>
        <w:rPr>
          <w:color w:val="404040" w:themeColor="text1" w:themeTint="BF"/>
          <w:sz w:val="28"/>
        </w:rPr>
      </w:pPr>
      <w:r w:rsidRPr="007E4663">
        <w:rPr>
          <w:color w:val="404040" w:themeColor="text1" w:themeTint="BF"/>
          <w:sz w:val="28"/>
        </w:rPr>
        <w:t>Clipped Data</w:t>
      </w:r>
    </w:p>
    <w:p w:rsidR="00341B3C" w:rsidRPr="00EC6674" w:rsidRDefault="00EC6674">
      <w:pPr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Data is available in three variations. The </w:t>
      </w:r>
      <w:r w:rsidRPr="00EC6674">
        <w:rPr>
          <w:rFonts w:ascii="Courier New" w:hAnsi="Courier New" w:cs="Courier New"/>
          <w:i/>
          <w:color w:val="404040" w:themeColor="text1" w:themeTint="BF"/>
          <w:sz w:val="20"/>
        </w:rPr>
        <w:t>n</w:t>
      </w:r>
      <w:r>
        <w:rPr>
          <w:rFonts w:ascii="Courier New" w:hAnsi="Courier New" w:cs="Courier New"/>
          <w:i/>
          <w:color w:val="404040" w:themeColor="text1" w:themeTint="BF"/>
          <w:sz w:val="20"/>
        </w:rPr>
        <w:t xml:space="preserve"> </w:t>
      </w:r>
      <w:r>
        <w:rPr>
          <w:rFonts w:cs="Courier New"/>
          <w:color w:val="404040" w:themeColor="text1" w:themeTint="BF"/>
          <w:sz w:val="20"/>
        </w:rPr>
        <w:t>on folder represents the start year of the decade. So outgeotiff_20 contains all the data for the 2020-2039 timeframe</w:t>
      </w:r>
      <w:bookmarkStart w:id="0" w:name="_GoBack"/>
      <w:bookmarkEnd w:id="0"/>
    </w:p>
    <w:tbl>
      <w:tblPr>
        <w:tblStyle w:val="TableGrid"/>
        <w:tblW w:w="916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35"/>
        <w:gridCol w:w="5027"/>
      </w:tblGrid>
      <w:tr w:rsidR="00EC6674" w:rsidRPr="007E4663" w:rsidTr="00EC6674">
        <w:tc>
          <w:tcPr>
            <w:tcW w:w="4135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C6674" w:rsidRPr="00E272B4" w:rsidRDefault="00EC6674" w:rsidP="00277A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Folder Name</w:t>
            </w:r>
          </w:p>
        </w:tc>
        <w:tc>
          <w:tcPr>
            <w:tcW w:w="5027" w:type="dxa"/>
            <w:shd w:val="clear" w:color="auto" w:fill="F2F2F2" w:themeFill="background1" w:themeFillShade="F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C6674" w:rsidRPr="00E272B4" w:rsidRDefault="00EC6674" w:rsidP="00277A7B">
            <w:pPr>
              <w:rPr>
                <w:color w:val="000000" w:themeColor="text1"/>
              </w:rPr>
            </w:pPr>
            <w:r w:rsidRPr="00E272B4">
              <w:rPr>
                <w:color w:val="000000" w:themeColor="text1"/>
              </w:rPr>
              <w:t>Description</w:t>
            </w:r>
          </w:p>
        </w:tc>
      </w:tr>
      <w:tr w:rsidR="00EC6674" w:rsidRPr="007E4663" w:rsidTr="00EC6674">
        <w:tc>
          <w:tcPr>
            <w:tcW w:w="41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C6674" w:rsidRPr="00F26F72" w:rsidRDefault="00EC6674" w:rsidP="00EC6674">
            <w:pPr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F26F72">
              <w:rPr>
                <w:sz w:val="20"/>
                <w:szCs w:val="20"/>
              </w:rPr>
              <w:t>outgeotiff_</w:t>
            </w:r>
            <w:r w:rsidRPr="00F26F72">
              <w:rPr>
                <w:rFonts w:ascii="Courier New" w:hAnsi="Courier New" w:cs="Courier New"/>
                <w:i/>
                <w:sz w:val="20"/>
                <w:szCs w:val="20"/>
              </w:rPr>
              <w:t>n</w:t>
            </w:r>
            <w:proofErr w:type="spellEnd"/>
          </w:p>
        </w:tc>
        <w:tc>
          <w:tcPr>
            <w:tcW w:w="502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C6674" w:rsidRPr="00F26F72" w:rsidRDefault="00EC6674" w:rsidP="00277A7B">
            <w:pPr>
              <w:rPr>
                <w:color w:val="404040" w:themeColor="text1" w:themeTint="BF"/>
                <w:sz w:val="20"/>
                <w:szCs w:val="20"/>
              </w:rPr>
            </w:pPr>
            <w:r w:rsidRPr="00F26F72">
              <w:rPr>
                <w:color w:val="404040" w:themeColor="text1" w:themeTint="BF"/>
                <w:sz w:val="20"/>
                <w:szCs w:val="20"/>
              </w:rPr>
              <w:t>Full time series. Each raster file contains 240 layers: one for each month in the 20 year span. The data points are clipped internally to the boundaries of Bangladesh</w:t>
            </w:r>
          </w:p>
        </w:tc>
      </w:tr>
      <w:tr w:rsidR="00EC6674" w:rsidRPr="007E4663" w:rsidTr="00EC6674">
        <w:tc>
          <w:tcPr>
            <w:tcW w:w="41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C6674" w:rsidRPr="00F26F72" w:rsidRDefault="00EC6674" w:rsidP="00EC6674">
            <w:pPr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F26F72">
              <w:rPr>
                <w:sz w:val="20"/>
                <w:szCs w:val="20"/>
              </w:rPr>
              <w:lastRenderedPageBreak/>
              <w:t>outgeotiff_cblend</w:t>
            </w:r>
            <w:r w:rsidRPr="00F26F72">
              <w:rPr>
                <w:rFonts w:ascii="Courier New" w:hAnsi="Courier New" w:cs="Courier New"/>
                <w:i/>
                <w:sz w:val="20"/>
                <w:szCs w:val="20"/>
              </w:rPr>
              <w:t>n</w:t>
            </w:r>
            <w:proofErr w:type="spellEnd"/>
          </w:p>
        </w:tc>
        <w:tc>
          <w:tcPr>
            <w:tcW w:w="502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C6674" w:rsidRPr="00F26F72" w:rsidRDefault="00EC6674" w:rsidP="00EC6674">
            <w:pPr>
              <w:rPr>
                <w:color w:val="404040" w:themeColor="text1" w:themeTint="BF"/>
                <w:sz w:val="20"/>
                <w:szCs w:val="20"/>
              </w:rPr>
            </w:pPr>
            <w:r w:rsidRPr="00F26F72">
              <w:rPr>
                <w:color w:val="404040" w:themeColor="text1" w:themeTint="BF"/>
                <w:sz w:val="20"/>
                <w:szCs w:val="20"/>
              </w:rPr>
              <w:t xml:space="preserve">Full time series. Each raster file contains 240 layers: one for each month in the 20 year span. The data points are clipped </w:t>
            </w:r>
            <w:r w:rsidRPr="00F26F72">
              <w:rPr>
                <w:color w:val="404040" w:themeColor="text1" w:themeTint="BF"/>
                <w:sz w:val="20"/>
                <w:szCs w:val="20"/>
              </w:rPr>
              <w:t>such that the data points blend by about 2 degrees over the border of Bangladesh</w:t>
            </w:r>
          </w:p>
        </w:tc>
      </w:tr>
      <w:tr w:rsidR="00EC6674" w:rsidRPr="007E4663" w:rsidTr="00EC6674">
        <w:tc>
          <w:tcPr>
            <w:tcW w:w="41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C6674" w:rsidRPr="00F26F72" w:rsidRDefault="00EC6674" w:rsidP="00EC6674">
            <w:pPr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F26F72">
              <w:rPr>
                <w:sz w:val="20"/>
                <w:szCs w:val="20"/>
              </w:rPr>
              <w:t>outgeotiff_monthtrendstacked_cblend_</w:t>
            </w:r>
            <w:r w:rsidRPr="00F26F72">
              <w:rPr>
                <w:rFonts w:ascii="Courier New" w:hAnsi="Courier New" w:cs="Courier New"/>
                <w:i/>
                <w:sz w:val="20"/>
                <w:szCs w:val="20"/>
              </w:rPr>
              <w:t>n</w:t>
            </w:r>
            <w:proofErr w:type="spellEnd"/>
          </w:p>
        </w:tc>
        <w:tc>
          <w:tcPr>
            <w:tcW w:w="502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C6674" w:rsidRPr="00F26F72" w:rsidRDefault="00EC6674" w:rsidP="00EC6674">
            <w:pPr>
              <w:rPr>
                <w:color w:val="404040" w:themeColor="text1" w:themeTint="BF"/>
                <w:sz w:val="20"/>
                <w:szCs w:val="20"/>
              </w:rPr>
            </w:pPr>
            <w:r w:rsidRPr="00F26F72">
              <w:rPr>
                <w:color w:val="404040" w:themeColor="text1" w:themeTint="BF"/>
                <w:sz w:val="20"/>
                <w:szCs w:val="20"/>
              </w:rPr>
              <w:t>Annual monthly trends. Each raster contains 12 layers, one for each month of the year. Each layer represents the monthly average of the from the full time-series data</w:t>
            </w:r>
          </w:p>
        </w:tc>
      </w:tr>
    </w:tbl>
    <w:p w:rsidR="00EC6674" w:rsidRDefault="00EC6674">
      <w:pPr>
        <w:rPr>
          <w:color w:val="404040" w:themeColor="text1" w:themeTint="BF"/>
          <w:sz w:val="20"/>
        </w:rPr>
      </w:pPr>
    </w:p>
    <w:p w:rsidR="00EC6674" w:rsidRDefault="00EC6674">
      <w:pPr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Below is an image example of the blended data points, in which the raster covers about 2 degrees beyond the boundary edge of Bangladesh</w:t>
      </w:r>
    </w:p>
    <w:p w:rsidR="00EC6674" w:rsidRDefault="00EC6674">
      <w:pPr>
        <w:rPr>
          <w:color w:val="404040" w:themeColor="text1" w:themeTint="BF"/>
          <w:sz w:val="20"/>
        </w:rPr>
      </w:pPr>
      <w:r>
        <w:rPr>
          <w:noProof/>
        </w:rPr>
        <w:drawing>
          <wp:inline distT="0" distB="0" distL="0" distR="0">
            <wp:extent cx="2101188" cy="2608206"/>
            <wp:effectExtent l="0" t="0" r="0" b="1905"/>
            <wp:docPr id="1" name="Picture 1" descr="https://github.com/deriggi/AR5-World-Bank/blob/3ef9178fca2ffde6a03fe7e7092b89a462faf71c/images/bangladesh_coverage_mm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deriggi/AR5-World-Bank/blob/3ef9178fca2ffde6a03fe7e7092b89a462faf71c/images/bangladesh_coverage_mm.png?raw=tru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66" t="4073" r="23483"/>
                    <a:stretch/>
                  </pic:blipFill>
                  <pic:spPr bwMode="auto">
                    <a:xfrm>
                      <a:off x="0" y="0"/>
                      <a:ext cx="2102635" cy="261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 w:val="20"/>
        </w:rPr>
        <w:t xml:space="preserve"> </w:t>
      </w:r>
    </w:p>
    <w:p w:rsidR="00341B3C" w:rsidRPr="00341B3C" w:rsidRDefault="00341B3C">
      <w:pPr>
        <w:rPr>
          <w:color w:val="404040" w:themeColor="text1" w:themeTint="BF"/>
          <w:sz w:val="20"/>
        </w:rPr>
      </w:pPr>
    </w:p>
    <w:sectPr w:rsidR="00341B3C" w:rsidRPr="00341B3C" w:rsidSect="00216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20"/>
    <w:rsid w:val="00111D20"/>
    <w:rsid w:val="00143123"/>
    <w:rsid w:val="00216998"/>
    <w:rsid w:val="00341B3C"/>
    <w:rsid w:val="007E4663"/>
    <w:rsid w:val="008777D2"/>
    <w:rsid w:val="008A774E"/>
    <w:rsid w:val="009623A9"/>
    <w:rsid w:val="00AB7F46"/>
    <w:rsid w:val="00E272B4"/>
    <w:rsid w:val="00EC6674"/>
    <w:rsid w:val="00F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41B3C"/>
  </w:style>
  <w:style w:type="paragraph" w:styleId="BalloonText">
    <w:name w:val="Balloon Text"/>
    <w:basedOn w:val="Normal"/>
    <w:link w:val="BalloonTextChar"/>
    <w:uiPriority w:val="99"/>
    <w:semiHidden/>
    <w:unhideWhenUsed/>
    <w:rsid w:val="00EC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41B3C"/>
  </w:style>
  <w:style w:type="paragraph" w:styleId="BalloonText">
    <w:name w:val="Balloon Text"/>
    <w:basedOn w:val="Normal"/>
    <w:link w:val="BalloonTextChar"/>
    <w:uiPriority w:val="99"/>
    <w:semiHidden/>
    <w:unhideWhenUsed/>
    <w:rsid w:val="00EC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2</cp:revision>
  <dcterms:created xsi:type="dcterms:W3CDTF">2014-05-18T21:09:00Z</dcterms:created>
  <dcterms:modified xsi:type="dcterms:W3CDTF">2014-05-19T04:17:00Z</dcterms:modified>
</cp:coreProperties>
</file>