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 : VS2019, .Net core 3.1 MVC, SQL Server, Entity Framework code first approach.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Since I had time over the weekend have implemented both ways of fetching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XML (shows 4 locations)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567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SQL Server DB (added another Manchester location)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5495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have used a repository pattern. Single web api, calls required injected repo. One interface has two implementations as below:-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874501" cy="13858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501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from 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305175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05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from XML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Only change should be done in StartUp file where below line needs to be commented/uncommented according to requirement. (ie either XML or DB implementation should be enabled)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Here particular repository is injected upon dependency. In this way, code is lighty coupled, maintainable and portable.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add db call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below to your sql server 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Uncomment below lines to create and seed db using entity framework migration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Below is the db table created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704975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4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