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C00000"/>
          <w:sz w:val="28"/>
          <w:szCs w:val="28"/>
        </w:rPr>
        <w:t xml:space="preserve">DRAFT — NOT FOR PATIENT USE</w:t>
      </w:r>
    </w:p>
    <w:p>
      <w:pPr>
        <w:spacing w:after="240" w:before="0"/>
        <w:jc w:val="center"/>
      </w:pPr>
      <w:r>
        <w:rPr>
          <w:rFonts w:ascii="Arial" w:cs="Arial" w:eastAsia="Arial" w:hAnsi="Arial"/>
          <w:i/>
          <w:iCs/>
          <w:color w:val="444444"/>
          <w:sz w:val="18"/>
          <w:szCs w:val="18"/>
        </w:rPr>
        <w:t xml:space="preserve">Generated 2026-04-20 for attorney review. Do not present to patients until reviewed and approved by qualified healthcare counsel.</w:t>
      </w:r>
    </w:p>
    <w:p>
      <w:pPr>
        <w:spacing w:after="80" w:before="0"/>
        <w:jc w:val="center"/>
      </w:pPr>
      <w:r>
        <w:rPr>
          <w:rFonts w:ascii="Arial" w:cs="Arial" w:eastAsia="Arial" w:hAnsi="Arial"/>
          <w:b/>
          <w:bCs/>
          <w:sz w:val="32"/>
          <w:szCs w:val="32"/>
        </w:rPr>
        <w:t xml:space="preserve">HORMONE THERAPY (HRT/MHT) INFORMED CONSENT</w:t>
      </w:r>
    </w:p>
    <w:p>
      <w:pPr>
        <w:spacing w:after="80" w:before="0"/>
        <w:jc w:val="center"/>
      </w:pPr>
      <w:r>
        <w:rPr>
          <w:rFonts w:ascii="Arial" w:cs="Arial" w:eastAsia="Arial" w:hAnsi="Arial"/>
          <w:b/>
          <w:bCs/>
          <w:color w:val="0070C0"/>
          <w:sz w:val="22"/>
          <w:szCs w:val="22"/>
        </w:rPr>
        <w:t xml:space="preserve">[PC_LEGAL_NAME]</w:t>
      </w:r>
      <w:r>
        <w:rPr>
          <w:rFonts w:ascii="Arial" w:cs="Arial" w:eastAsia="Arial" w:hAnsi="Arial"/>
          <w:sz w:val="22"/>
          <w:szCs w:val="22"/>
        </w:rPr>
        <w:t xml:space="preserve"> (the "Practice")</w:t>
      </w:r>
    </w:p>
    <w:p>
      <w:pPr>
        <w:spacing w:after="240" w:before="0"/>
        <w:jc w:val="center"/>
      </w:pPr>
      <w:r>
        <w:rPr>
          <w:rFonts w:ascii="Arial" w:cs="Arial" w:eastAsia="Arial" w:hAnsi="Arial"/>
          <w:color w:val="444444"/>
          <w:sz w:val="20"/>
          <w:szCs w:val="20"/>
        </w:rPr>
        <w:t xml:space="preserve">State: Utah  |  Effective Date: </w:t>
      </w:r>
      <w:r>
        <w:rPr>
          <w:rFonts w:ascii="Arial" w:cs="Arial" w:eastAsia="Arial" w:hAnsi="Arial"/>
          <w:b/>
          <w:bCs/>
          <w:color w:val="0070C0"/>
          <w:sz w:val="22"/>
          <w:szCs w:val="22"/>
        </w:rPr>
        <w:t xml:space="preserve">[EFFECTIVE_DATE]</w:t>
      </w:r>
      <w:r>
        <w:rPr>
          <w:rFonts w:ascii="Arial" w:cs="Arial" w:eastAsia="Arial" w:hAnsi="Arial"/>
          <w:color w:val="444444"/>
          <w:sz w:val="20"/>
          <w:szCs w:val="20"/>
        </w:rPr>
        <w:t xml:space="preserve">  |  Version: </w:t>
      </w:r>
      <w:r>
        <w:rPr>
          <w:rFonts w:ascii="Arial" w:cs="Arial" w:eastAsia="Arial" w:hAnsi="Arial"/>
          <w:b/>
          <w:bCs/>
          <w:color w:val="0070C0"/>
          <w:sz w:val="22"/>
          <w:szCs w:val="22"/>
        </w:rPr>
        <w:t xml:space="preserve">[VERSION]</w:t>
      </w:r>
    </w:p>
    <w:p>
      <w:pPr>
        <w:pStyle w:val="Heading1"/>
        <w:spacing w:after="120" w:before="240"/>
      </w:pPr>
      <w:r>
        <w:rPr>
          <w:rFonts w:ascii="Arial" w:cs="Arial" w:eastAsia="Arial" w:hAnsi="Arial"/>
          <w:b/>
          <w:bCs/>
          <w:sz w:val="26"/>
          <w:szCs w:val="26"/>
        </w:rPr>
        <w:t xml:space="preserve">1. Introduction</w:t>
      </w:r>
    </w:p>
    <w:p>
      <w:pPr>
        <w:spacing w:after="120" w:before="0"/>
      </w:pPr>
      <w:r>
        <w:rPr>
          <w:rFonts w:ascii="Arial" w:cs="Arial" w:eastAsia="Arial" w:hAnsi="Arial"/>
          <w:sz w:val="22"/>
          <w:szCs w:val="22"/>
        </w:rPr>
        <w:t xml:space="preserve">This form explains the risks, benefits, and alternatives to hormone therapy (HRT/MHT) for perimenopause and menopause. Read it carefully. Signing this form means you have been informed and are choosing to begin hormone therapy under your clinician's care. This is not a one-time decision — you and your clinician will revisit it at your follow-up visits.</w:t>
      </w:r>
    </w:p>
    <w:p>
      <w:pPr>
        <w:pStyle w:val="Heading1"/>
        <w:spacing w:after="120" w:before="240"/>
      </w:pPr>
      <w:r>
        <w:rPr>
          <w:rFonts w:ascii="Arial" w:cs="Arial" w:eastAsia="Arial" w:hAnsi="Arial"/>
          <w:b/>
          <w:bCs/>
          <w:sz w:val="26"/>
          <w:szCs w:val="26"/>
        </w:rPr>
        <w:t xml:space="preserve">2. What Hormone Therapy Is</w:t>
      </w:r>
    </w:p>
    <w:p>
      <w:pPr>
        <w:spacing w:after="120" w:before="0"/>
      </w:pPr>
      <w:r>
        <w:rPr>
          <w:rFonts w:ascii="Arial" w:cs="Arial" w:eastAsia="Arial" w:hAnsi="Arial"/>
          <w:sz w:val="22"/>
          <w:szCs w:val="22"/>
        </w:rPr>
        <w:t xml:space="preserve">Hormone therapy uses medications containing estrogen, progesterone (or progestin), and sometimes testosterone to treat symptoms related to perimenopause and menopause. Common forms include:</w:t>
      </w:r>
    </w:p>
    <w:p>
      <w:pPr>
        <w:pStyle w:val="ListParagraph"/>
        <w:numPr>
          <w:ilvl w:val="0"/>
          <w:numId w:val="2"/>
        </w:numPr>
        <w:spacing w:after="80" w:before="0"/>
      </w:pPr>
      <w:r>
        <w:rPr>
          <w:rFonts w:ascii="Arial" w:cs="Arial" w:eastAsia="Arial" w:hAnsi="Arial"/>
          <w:sz w:val="22"/>
          <w:szCs w:val="22"/>
        </w:rPr>
        <w:t xml:space="preserve">Oral pills or capsules</w:t>
      </w:r>
    </w:p>
    <w:p>
      <w:pPr>
        <w:pStyle w:val="ListParagraph"/>
        <w:numPr>
          <w:ilvl w:val="0"/>
          <w:numId w:val="2"/>
        </w:numPr>
        <w:spacing w:after="80" w:before="0"/>
      </w:pPr>
      <w:r>
        <w:rPr>
          <w:rFonts w:ascii="Arial" w:cs="Arial" w:eastAsia="Arial" w:hAnsi="Arial"/>
          <w:sz w:val="22"/>
          <w:szCs w:val="22"/>
        </w:rPr>
        <w:t xml:space="preserve">Transdermal patches, gels, or sprays applied to the skin</w:t>
      </w:r>
    </w:p>
    <w:p>
      <w:pPr>
        <w:pStyle w:val="ListParagraph"/>
        <w:numPr>
          <w:ilvl w:val="0"/>
          <w:numId w:val="2"/>
        </w:numPr>
        <w:spacing w:after="80" w:before="0"/>
      </w:pPr>
      <w:r>
        <w:rPr>
          <w:rFonts w:ascii="Arial" w:cs="Arial" w:eastAsia="Arial" w:hAnsi="Arial"/>
          <w:sz w:val="22"/>
          <w:szCs w:val="22"/>
        </w:rPr>
        <w:t xml:space="preserve">Vaginal creams, rings, or tablets (primarily for local symptoms)</w:t>
      </w:r>
    </w:p>
    <w:p>
      <w:pPr>
        <w:pStyle w:val="ListParagraph"/>
        <w:numPr>
          <w:ilvl w:val="0"/>
          <w:numId w:val="2"/>
        </w:numPr>
        <w:spacing w:after="80" w:before="0"/>
      </w:pPr>
      <w:r>
        <w:rPr>
          <w:rFonts w:ascii="Arial" w:cs="Arial" w:eastAsia="Arial" w:hAnsi="Arial"/>
          <w:sz w:val="22"/>
          <w:szCs w:val="22"/>
        </w:rPr>
        <w:t xml:space="preserve">Injections or pellets (less common; your clinician will discuss if applicable)</w:t>
      </w:r>
    </w:p>
    <w:p>
      <w:pPr>
        <w:spacing w:after="120" w:before="0"/>
      </w:pPr>
      <w:r>
        <w:rPr>
          <w:rFonts w:ascii="Arial" w:cs="Arial" w:eastAsia="Arial" w:hAnsi="Arial"/>
          <w:sz w:val="22"/>
          <w:szCs w:val="22"/>
        </w:rPr>
        <w:t xml:space="preserve">Your clinician will recommend the form and dose best suited to your symptoms, health history, and goals. Specific products are not committed to in this consent — those decisions are made at your visit.</w:t>
      </w:r>
    </w:p>
    <w:p>
      <w:pPr>
        <w:pStyle w:val="Heading1"/>
        <w:spacing w:after="120" w:before="240"/>
      </w:pPr>
      <w:r>
        <w:rPr>
          <w:rFonts w:ascii="Arial" w:cs="Arial" w:eastAsia="Arial" w:hAnsi="Arial"/>
          <w:b/>
          <w:bCs/>
          <w:sz w:val="26"/>
          <w:szCs w:val="26"/>
        </w:rPr>
        <w:t xml:space="preserve">3. Symptoms Hormone Therapy May Help</w:t>
      </w:r>
    </w:p>
    <w:p>
      <w:pPr>
        <w:pStyle w:val="ListParagraph"/>
        <w:numPr>
          <w:ilvl w:val="0"/>
          <w:numId w:val="2"/>
        </w:numPr>
        <w:spacing w:after="80" w:before="0"/>
      </w:pPr>
      <w:r>
        <w:rPr>
          <w:rFonts w:ascii="Arial" w:cs="Arial" w:eastAsia="Arial" w:hAnsi="Arial"/>
          <w:sz w:val="22"/>
          <w:szCs w:val="22"/>
        </w:rPr>
        <w:t xml:space="preserve">Hot flashes and night sweats (vasomotor symptoms)</w:t>
      </w:r>
    </w:p>
    <w:p>
      <w:pPr>
        <w:pStyle w:val="ListParagraph"/>
        <w:numPr>
          <w:ilvl w:val="0"/>
          <w:numId w:val="2"/>
        </w:numPr>
        <w:spacing w:after="80" w:before="0"/>
      </w:pPr>
      <w:r>
        <w:rPr>
          <w:rFonts w:ascii="Arial" w:cs="Arial" w:eastAsia="Arial" w:hAnsi="Arial"/>
          <w:sz w:val="22"/>
          <w:szCs w:val="22"/>
        </w:rPr>
        <w:t xml:space="preserve">Sleep disruption related to vasomotor symptoms</w:t>
      </w:r>
    </w:p>
    <w:p>
      <w:pPr>
        <w:pStyle w:val="ListParagraph"/>
        <w:numPr>
          <w:ilvl w:val="0"/>
          <w:numId w:val="2"/>
        </w:numPr>
        <w:spacing w:after="80" w:before="0"/>
      </w:pPr>
      <w:r>
        <w:rPr>
          <w:rFonts w:ascii="Arial" w:cs="Arial" w:eastAsia="Arial" w:hAnsi="Arial"/>
          <w:sz w:val="22"/>
          <w:szCs w:val="22"/>
        </w:rPr>
        <w:t xml:space="preserve">Vaginal dryness, painful intercourse, or recurrent urinary tract infections (genitourinary syndrome of menopause)</w:t>
      </w:r>
    </w:p>
    <w:p>
      <w:pPr>
        <w:pStyle w:val="ListParagraph"/>
        <w:numPr>
          <w:ilvl w:val="0"/>
          <w:numId w:val="2"/>
        </w:numPr>
        <w:spacing w:after="80" w:before="0"/>
      </w:pPr>
      <w:r>
        <w:rPr>
          <w:rFonts w:ascii="Arial" w:cs="Arial" w:eastAsia="Arial" w:hAnsi="Arial"/>
          <w:sz w:val="22"/>
          <w:szCs w:val="22"/>
        </w:rPr>
        <w:t xml:space="preserve">Mood changes in some perimenopausal patients</w:t>
      </w:r>
    </w:p>
    <w:p>
      <w:pPr>
        <w:pStyle w:val="ListParagraph"/>
        <w:numPr>
          <w:ilvl w:val="0"/>
          <w:numId w:val="2"/>
        </w:numPr>
        <w:spacing w:after="80" w:before="0"/>
      </w:pPr>
      <w:r>
        <w:rPr>
          <w:rFonts w:ascii="Arial" w:cs="Arial" w:eastAsia="Arial" w:hAnsi="Arial"/>
          <w:sz w:val="22"/>
          <w:szCs w:val="22"/>
        </w:rPr>
        <w:t xml:space="preserve">Bone density preservation in appropriate candidates</w:t>
      </w:r>
    </w:p>
    <w:p>
      <w:pPr>
        <w:pStyle w:val="Heading1"/>
        <w:spacing w:after="120" w:before="240"/>
      </w:pPr>
      <w:r>
        <w:rPr>
          <w:rFonts w:ascii="Arial" w:cs="Arial" w:eastAsia="Arial" w:hAnsi="Arial"/>
          <w:b/>
          <w:bCs/>
          <w:sz w:val="26"/>
          <w:szCs w:val="26"/>
        </w:rPr>
        <w:t xml:space="preserve">4. Benefits</w:t>
      </w:r>
    </w:p>
    <w:p>
      <w:pPr>
        <w:spacing w:after="120" w:before="0"/>
      </w:pPr>
      <w:r>
        <w:rPr>
          <w:rFonts w:ascii="Arial" w:cs="Arial" w:eastAsia="Arial" w:hAnsi="Arial"/>
          <w:sz w:val="22"/>
          <w:szCs w:val="22"/>
        </w:rPr>
        <w:t xml:space="preserve">For the right patients, hormone therapy is one of the most effective treatments for the symptoms listed above. It can meaningfully improve quality of life. Bone-protective benefits are well-documented. Your clinician will explain how these benefits apply to your individual situation.</w:t>
      </w:r>
    </w:p>
    <w:p>
      <w:pPr>
        <w:pStyle w:val="Heading1"/>
        <w:spacing w:after="120" w:before="240"/>
      </w:pPr>
      <w:r>
        <w:rPr>
          <w:rFonts w:ascii="Arial" w:cs="Arial" w:eastAsia="Arial" w:hAnsi="Arial"/>
          <w:b/>
          <w:bCs/>
          <w:sz w:val="26"/>
          <w:szCs w:val="26"/>
        </w:rPr>
        <w:t xml:space="preserve">5. Risks — Important Information</w:t>
      </w:r>
    </w:p>
    <w:p>
      <w:pPr>
        <w:shd w:fill="FFF2CC" w:val="clear"/>
        <w:spacing w:after="120" w:before="0"/>
      </w:pPr>
      <w:r>
        <w:rPr>
          <w:rFonts w:ascii="Arial" w:cs="Arial" w:eastAsia="Arial" w:hAnsi="Arial"/>
          <w:i/>
          <w:iCs/>
          <w:color w:val="7F6000"/>
          <w:sz w:val="20"/>
          <w:szCs w:val="20"/>
        </w:rPr>
        <w:t xml:space="preserve">Note: Hormone therapy research has evolved significantly since the original Women's Health Initiative (WHI) publications. Risk framing below reflects current clinical understanding but must be confirmed by a clinician for your individual situation. Each risk item is flagged for clinical review.</w:t>
      </w:r>
    </w:p>
    <w:p>
      <w:pPr>
        <w:pStyle w:val="ListParagraph"/>
        <w:numPr>
          <w:ilvl w:val="0"/>
          <w:numId w:val="2"/>
        </w:numPr>
        <w:spacing w:after="80" w:before="0"/>
      </w:pPr>
      <w:r>
        <w:rPr>
          <w:rFonts w:ascii="Arial" w:cs="Arial" w:eastAsia="Arial" w:hAnsi="Arial"/>
          <w:b/>
          <w:bCs/>
          <w:sz w:val="22"/>
          <w:szCs w:val="22"/>
        </w:rPr>
        <w:t xml:space="preserve">Breast cancer: </w:t>
      </w:r>
      <w:r>
        <w:rPr>
          <w:rFonts w:ascii="Arial" w:cs="Arial" w:eastAsia="Arial" w:hAnsi="Arial"/>
          <w:sz w:val="22"/>
          <w:szCs w:val="22"/>
        </w:rPr>
        <w:t xml:space="preserve">A small absolute increase in risk is associated with combined estrogen-progestin therapy after several years of use. Estrogen-alone therapy (for women without a uterus) has a different risk profile. The magnitude and clinical significance of this risk depends on the specific therapy, duration, route of administration, and individual patient factors.</w:t>
      </w:r>
      <w:r>
        <w:rPr>
          <w:rFonts w:ascii="Arial" w:cs="Arial" w:eastAsia="Arial" w:hAnsi="Arial"/>
          <w:b/>
          <w:bCs/>
          <w:color w:val="C00000"/>
          <w:sz w:val="18"/>
          <w:szCs w:val="18"/>
        </w:rPr>
        <w:t xml:space="preserve"> [CLINICIAN/COUNSEL TO CONFIRM CURRENT RISK FRAMING]</w:t>
      </w:r>
    </w:p>
    <w:p>
      <w:pPr>
        <w:pStyle w:val="ListParagraph"/>
        <w:numPr>
          <w:ilvl w:val="0"/>
          <w:numId w:val="2"/>
        </w:numPr>
        <w:spacing w:after="80" w:before="0"/>
      </w:pPr>
      <w:r>
        <w:rPr>
          <w:rFonts w:ascii="Arial" w:cs="Arial" w:eastAsia="Arial" w:hAnsi="Arial"/>
          <w:b/>
          <w:bCs/>
          <w:sz w:val="22"/>
          <w:szCs w:val="22"/>
        </w:rPr>
        <w:t xml:space="preserve">Blood clots (VTE — venous thromboembolism): </w:t>
      </w:r>
      <w:r>
        <w:rPr>
          <w:rFonts w:ascii="Arial" w:cs="Arial" w:eastAsia="Arial" w:hAnsi="Arial"/>
          <w:sz w:val="22"/>
          <w:szCs w:val="22"/>
        </w:rPr>
        <w:t xml:space="preserve">Oral estrogen is associated with a higher risk of blood clots than transdermal (skin) estrogen. Your personal risk factors (weight, smoking, prior clots, genetic clotting disorders) will affect your individual risk.</w:t>
      </w:r>
      <w:r>
        <w:rPr>
          <w:rFonts w:ascii="Arial" w:cs="Arial" w:eastAsia="Arial" w:hAnsi="Arial"/>
          <w:b/>
          <w:bCs/>
          <w:color w:val="C00000"/>
          <w:sz w:val="18"/>
          <w:szCs w:val="18"/>
        </w:rPr>
        <w:t xml:space="preserve"> [CLINICIAN/COUNSEL TO CONFIRM CURRENT RISK FRAMING]</w:t>
      </w:r>
    </w:p>
    <w:p>
      <w:pPr>
        <w:pStyle w:val="ListParagraph"/>
        <w:numPr>
          <w:ilvl w:val="0"/>
          <w:numId w:val="2"/>
        </w:numPr>
        <w:spacing w:after="80" w:before="0"/>
      </w:pPr>
      <w:r>
        <w:rPr>
          <w:rFonts w:ascii="Arial" w:cs="Arial" w:eastAsia="Arial" w:hAnsi="Arial"/>
          <w:b/>
          <w:bCs/>
          <w:sz w:val="22"/>
          <w:szCs w:val="22"/>
        </w:rPr>
        <w:t xml:space="preserve">Stroke: </w:t>
      </w:r>
      <w:r>
        <w:rPr>
          <w:rFonts w:ascii="Arial" w:cs="Arial" w:eastAsia="Arial" w:hAnsi="Arial"/>
          <w:sz w:val="22"/>
          <w:szCs w:val="22"/>
        </w:rPr>
        <w:t xml:space="preserve">A small absolute increase in risk has been observed, particularly with oral estrogen. The risk appears lower with transdermal estrogen.</w:t>
      </w:r>
      <w:r>
        <w:rPr>
          <w:rFonts w:ascii="Arial" w:cs="Arial" w:eastAsia="Arial" w:hAnsi="Arial"/>
          <w:b/>
          <w:bCs/>
          <w:color w:val="C00000"/>
          <w:sz w:val="18"/>
          <w:szCs w:val="18"/>
        </w:rPr>
        <w:t xml:space="preserve"> [CLINICIAN/COUNSEL TO CONFIRM CURRENT RISK FRAMING]</w:t>
      </w:r>
    </w:p>
    <w:p>
      <w:pPr>
        <w:pStyle w:val="ListParagraph"/>
        <w:numPr>
          <w:ilvl w:val="0"/>
          <w:numId w:val="2"/>
        </w:numPr>
        <w:spacing w:after="80" w:before="0"/>
      </w:pPr>
      <w:r>
        <w:rPr>
          <w:rFonts w:ascii="Arial" w:cs="Arial" w:eastAsia="Arial" w:hAnsi="Arial"/>
          <w:b/>
          <w:bCs/>
          <w:sz w:val="22"/>
          <w:szCs w:val="22"/>
        </w:rPr>
        <w:t xml:space="preserve">Cardiovascular disease: </w:t>
      </w:r>
      <w:r>
        <w:rPr>
          <w:rFonts w:ascii="Arial" w:cs="Arial" w:eastAsia="Arial" w:hAnsi="Arial"/>
          <w:sz w:val="22"/>
          <w:szCs w:val="22"/>
        </w:rPr>
        <w:t xml:space="preserve">The 'timing hypothesis' suggests that starting hormone therapy close to the onset of menopause may have different cardiovascular effects than starting later. Your clinician will assess your individual cardiovascular risk factors.</w:t>
      </w:r>
      <w:r>
        <w:rPr>
          <w:rFonts w:ascii="Arial" w:cs="Arial" w:eastAsia="Arial" w:hAnsi="Arial"/>
          <w:b/>
          <w:bCs/>
          <w:color w:val="C00000"/>
          <w:sz w:val="18"/>
          <w:szCs w:val="18"/>
        </w:rPr>
        <w:t xml:space="preserve"> [CLINICIAN/COUNSEL TO CONFIRM CURRENT RISK FRAMING]</w:t>
      </w:r>
    </w:p>
    <w:p>
      <w:pPr>
        <w:pStyle w:val="ListParagraph"/>
        <w:numPr>
          <w:ilvl w:val="0"/>
          <w:numId w:val="2"/>
        </w:numPr>
        <w:spacing w:after="80" w:before="0"/>
      </w:pPr>
      <w:r>
        <w:rPr>
          <w:rFonts w:ascii="Arial" w:cs="Arial" w:eastAsia="Arial" w:hAnsi="Arial"/>
          <w:b/>
          <w:bCs/>
          <w:sz w:val="22"/>
          <w:szCs w:val="22"/>
        </w:rPr>
        <w:t xml:space="preserve">Endometrial cancer: </w:t>
      </w:r>
      <w:r>
        <w:rPr>
          <w:rFonts w:ascii="Arial" w:cs="Arial" w:eastAsia="Arial" w:hAnsi="Arial"/>
          <w:sz w:val="22"/>
          <w:szCs w:val="22"/>
        </w:rPr>
        <w:t xml:space="preserve">Estrogen alone — in a patient with a uterus — increases the risk of uterine cancer. To reduce this risk, estrogen is always paired with progestogen for patients who have not had a hysterectomy.</w:t>
      </w:r>
      <w:r>
        <w:rPr>
          <w:rFonts w:ascii="Arial" w:cs="Arial" w:eastAsia="Arial" w:hAnsi="Arial"/>
          <w:b/>
          <w:bCs/>
          <w:color w:val="C00000"/>
          <w:sz w:val="18"/>
          <w:szCs w:val="18"/>
        </w:rPr>
        <w:t xml:space="preserve"> [CLINICIAN/COUNSEL TO CONFIRM CURRENT RISK FRAMING]</w:t>
      </w:r>
    </w:p>
    <w:p>
      <w:pPr>
        <w:pStyle w:val="ListParagraph"/>
        <w:numPr>
          <w:ilvl w:val="0"/>
          <w:numId w:val="2"/>
        </w:numPr>
        <w:spacing w:after="80" w:before="0"/>
      </w:pPr>
      <w:r>
        <w:rPr>
          <w:rFonts w:ascii="Arial" w:cs="Arial" w:eastAsia="Arial" w:hAnsi="Arial"/>
          <w:b/>
          <w:bCs/>
          <w:sz w:val="22"/>
          <w:szCs w:val="22"/>
        </w:rPr>
        <w:t xml:space="preserve">Gallbladder disease: </w:t>
      </w:r>
      <w:r>
        <w:rPr>
          <w:rFonts w:ascii="Arial" w:cs="Arial" w:eastAsia="Arial" w:hAnsi="Arial"/>
          <w:sz w:val="22"/>
          <w:szCs w:val="22"/>
        </w:rPr>
        <w:t xml:space="preserve">A modest increase in gallbladder disease has been observed, particularly with oral estrogen.</w:t>
      </w:r>
      <w:r>
        <w:rPr>
          <w:rFonts w:ascii="Arial" w:cs="Arial" w:eastAsia="Arial" w:hAnsi="Arial"/>
          <w:b/>
          <w:bCs/>
          <w:color w:val="C00000"/>
          <w:sz w:val="18"/>
          <w:szCs w:val="18"/>
        </w:rPr>
        <w:t xml:space="preserve"> [CLINICIAN/COUNSEL TO CONFIRM CURRENT RISK FRAMING]</w:t>
      </w:r>
    </w:p>
    <w:p>
      <w:pPr>
        <w:pStyle w:val="ListParagraph"/>
        <w:numPr>
          <w:ilvl w:val="0"/>
          <w:numId w:val="2"/>
        </w:numPr>
        <w:spacing w:after="80" w:before="0"/>
      </w:pPr>
      <w:r>
        <w:rPr>
          <w:rFonts w:ascii="Arial" w:cs="Arial" w:eastAsia="Arial" w:hAnsi="Arial"/>
          <w:b/>
          <w:bCs/>
          <w:sz w:val="22"/>
          <w:szCs w:val="22"/>
        </w:rPr>
        <w:t xml:space="preserve">Other side effects: </w:t>
      </w:r>
      <w:r>
        <w:rPr>
          <w:rFonts w:ascii="Arial" w:cs="Arial" w:eastAsia="Arial" w:hAnsi="Arial"/>
          <w:sz w:val="22"/>
          <w:szCs w:val="22"/>
        </w:rPr>
        <w:t xml:space="preserve">Breast tenderness, bloating, mood changes, and irregular bleeding are common in the first few months and often improve with dose adjustment.</w:t>
      </w:r>
      <w:r>
        <w:rPr>
          <w:rFonts w:ascii="Arial" w:cs="Arial" w:eastAsia="Arial" w:hAnsi="Arial"/>
          <w:b/>
          <w:bCs/>
          <w:color w:val="C00000"/>
          <w:sz w:val="18"/>
          <w:szCs w:val="18"/>
        </w:rPr>
        <w:t xml:space="preserve"> [CLINICIAN/COUNSEL TO CONFIRM CURRENT RISK FRAMING]</w:t>
      </w:r>
    </w:p>
    <w:p>
      <w:pPr>
        <w:pStyle w:val="Heading1"/>
        <w:spacing w:after="120" w:before="240"/>
      </w:pPr>
      <w:r>
        <w:rPr>
          <w:rFonts w:ascii="Arial" w:cs="Arial" w:eastAsia="Arial" w:hAnsi="Arial"/>
          <w:b/>
          <w:bCs/>
          <w:sz w:val="26"/>
          <w:szCs w:val="26"/>
        </w:rPr>
        <w:t xml:space="preserve">6. Alternatives to Hormone Therapy</w:t>
      </w:r>
    </w:p>
    <w:p>
      <w:pPr>
        <w:spacing w:after="120" w:before="0"/>
      </w:pPr>
      <w:r>
        <w:rPr>
          <w:rFonts w:ascii="Arial" w:cs="Arial" w:eastAsia="Arial" w:hAnsi="Arial"/>
          <w:sz w:val="22"/>
          <w:szCs w:val="22"/>
        </w:rPr>
        <w:t xml:space="preserve">You do not have to choose hormone therapy. Other options include:</w:t>
      </w:r>
    </w:p>
    <w:p>
      <w:pPr>
        <w:pStyle w:val="ListParagraph"/>
        <w:numPr>
          <w:ilvl w:val="0"/>
          <w:numId w:val="2"/>
        </w:numPr>
        <w:spacing w:after="80" w:before="0"/>
      </w:pPr>
      <w:r>
        <w:rPr>
          <w:rFonts w:ascii="Arial" w:cs="Arial" w:eastAsia="Arial" w:hAnsi="Arial"/>
          <w:sz w:val="22"/>
          <w:szCs w:val="22"/>
        </w:rPr>
        <w:t xml:space="preserve">No treatment / watchful waiting — some symptoms improve on their own over time</w:t>
      </w:r>
    </w:p>
    <w:p>
      <w:pPr>
        <w:pStyle w:val="ListParagraph"/>
        <w:numPr>
          <w:ilvl w:val="0"/>
          <w:numId w:val="2"/>
        </w:numPr>
        <w:spacing w:after="80" w:before="0"/>
      </w:pPr>
      <w:r>
        <w:rPr>
          <w:rFonts w:ascii="Arial" w:cs="Arial" w:eastAsia="Arial" w:hAnsi="Arial"/>
          <w:sz w:val="22"/>
          <w:szCs w:val="22"/>
        </w:rPr>
        <w:t xml:space="preserve">Lifestyle changes — sleep hygiene, regular exercise, dietary modifications, layered clothing, cooling techniques for hot flashes</w:t>
      </w:r>
    </w:p>
    <w:p>
      <w:pPr>
        <w:pStyle w:val="ListParagraph"/>
        <w:numPr>
          <w:ilvl w:val="0"/>
          <w:numId w:val="2"/>
        </w:numPr>
        <w:spacing w:after="80" w:before="0"/>
      </w:pPr>
      <w:r>
        <w:rPr>
          <w:rFonts w:ascii="Arial" w:cs="Arial" w:eastAsia="Arial" w:hAnsi="Arial"/>
          <w:sz w:val="22"/>
          <w:szCs w:val="22"/>
        </w:rPr>
        <w:t xml:space="preserve">Non-hormonal prescription medications — SSRIs/SNRIs (such as venlafaxine or paroxetine), gabapentin, fezolinetant, oxybutynin, or clonidine for vasomotor symptoms</w:t>
      </w:r>
    </w:p>
    <w:p>
      <w:pPr>
        <w:pStyle w:val="ListParagraph"/>
        <w:numPr>
          <w:ilvl w:val="0"/>
          <w:numId w:val="2"/>
        </w:numPr>
        <w:spacing w:after="80" w:before="0"/>
      </w:pPr>
      <w:r>
        <w:rPr>
          <w:rFonts w:ascii="Arial" w:cs="Arial" w:eastAsia="Arial" w:hAnsi="Arial"/>
          <w:sz w:val="22"/>
          <w:szCs w:val="22"/>
        </w:rPr>
        <w:t xml:space="preserve">Vaginal estrogen alone — a low-dose, locally applied option with minimal systemic absorption, primarily for genitourinary symptoms</w:t>
      </w:r>
    </w:p>
    <w:p>
      <w:pPr>
        <w:pStyle w:val="ListParagraph"/>
        <w:numPr>
          <w:ilvl w:val="0"/>
          <w:numId w:val="2"/>
        </w:numPr>
        <w:spacing w:after="80" w:before="0"/>
      </w:pPr>
      <w:r>
        <w:rPr>
          <w:rFonts w:ascii="Arial" w:cs="Arial" w:eastAsia="Arial" w:hAnsi="Arial"/>
          <w:sz w:val="22"/>
          <w:szCs w:val="22"/>
        </w:rPr>
        <w:t xml:space="preserve">Cognitive behavioral therapy (CBT) — shown to reduce perceived severity of hot flashes and improve sleep</w:t>
      </w:r>
    </w:p>
    <w:p>
      <w:pPr>
        <w:pStyle w:val="ListParagraph"/>
        <w:numPr>
          <w:ilvl w:val="0"/>
          <w:numId w:val="2"/>
        </w:numPr>
        <w:spacing w:after="80" w:before="0"/>
      </w:pPr>
      <w:r>
        <w:rPr>
          <w:rFonts w:ascii="Arial" w:cs="Arial" w:eastAsia="Arial" w:hAnsi="Arial"/>
          <w:sz w:val="22"/>
          <w:szCs w:val="22"/>
        </w:rPr>
        <w:t xml:space="preserve">Complementary and integrative approaches — discuss with your clinician; evidence for these varies</w:t>
      </w:r>
    </w:p>
    <w:p>
      <w:pPr>
        <w:spacing w:after="120" w:before="0"/>
      </w:pPr>
      <w:r>
        <w:rPr>
          <w:rFonts w:ascii="Arial" w:cs="Arial" w:eastAsia="Arial" w:hAnsi="Arial"/>
          <w:sz w:val="22"/>
          <w:szCs w:val="22"/>
        </w:rPr>
        <w:t xml:space="preserve">Your clinician will help you understand how these alternatives compare for your specific symptoms.</w:t>
      </w:r>
    </w:p>
    <w:p>
      <w:pPr>
        <w:pStyle w:val="Heading1"/>
        <w:spacing w:after="120" w:before="240"/>
      </w:pPr>
      <w:r>
        <w:rPr>
          <w:rFonts w:ascii="Arial" w:cs="Arial" w:eastAsia="Arial" w:hAnsi="Arial"/>
          <w:b/>
          <w:bCs/>
          <w:sz w:val="26"/>
          <w:szCs w:val="26"/>
        </w:rPr>
        <w:t xml:space="preserve">7. Who Should Not Use Hormone Therapy</w:t>
      </w:r>
    </w:p>
    <w:p>
      <w:pPr>
        <w:spacing w:after="120" w:before="0"/>
      </w:pPr>
      <w:r>
        <w:rPr>
          <w:rFonts w:ascii="Arial" w:cs="Arial" w:eastAsia="Arial" w:hAnsi="Arial"/>
          <w:sz w:val="22"/>
          <w:szCs w:val="22"/>
        </w:rPr>
        <w:t xml:space="preserve">Hormone therapy is not right for everyone. Your clinician will screen for:</w:t>
      </w:r>
    </w:p>
    <w:p>
      <w:pPr>
        <w:pStyle w:val="ListParagraph"/>
        <w:numPr>
          <w:ilvl w:val="0"/>
          <w:numId w:val="2"/>
        </w:numPr>
        <w:spacing w:after="80" w:before="0"/>
      </w:pPr>
      <w:r>
        <w:rPr>
          <w:rFonts w:ascii="Arial" w:cs="Arial" w:eastAsia="Arial" w:hAnsi="Arial"/>
          <w:sz w:val="22"/>
          <w:szCs w:val="22"/>
        </w:rPr>
        <w:t xml:space="preserve">Personal history of breast cancer or other estrogen-sensitive cancers</w:t>
      </w:r>
    </w:p>
    <w:p>
      <w:pPr>
        <w:pStyle w:val="ListParagraph"/>
        <w:numPr>
          <w:ilvl w:val="0"/>
          <w:numId w:val="2"/>
        </w:numPr>
        <w:spacing w:after="80" w:before="0"/>
      </w:pPr>
      <w:r>
        <w:rPr>
          <w:rFonts w:ascii="Arial" w:cs="Arial" w:eastAsia="Arial" w:hAnsi="Arial"/>
          <w:sz w:val="22"/>
          <w:szCs w:val="22"/>
        </w:rPr>
        <w:t xml:space="preserve">History of blood clots (VTE), stroke, or coronary heart disease</w:t>
      </w:r>
    </w:p>
    <w:p>
      <w:pPr>
        <w:pStyle w:val="ListParagraph"/>
        <w:numPr>
          <w:ilvl w:val="0"/>
          <w:numId w:val="2"/>
        </w:numPr>
        <w:spacing w:after="80" w:before="0"/>
      </w:pPr>
      <w:r>
        <w:rPr>
          <w:rFonts w:ascii="Arial" w:cs="Arial" w:eastAsia="Arial" w:hAnsi="Arial"/>
          <w:sz w:val="22"/>
          <w:szCs w:val="22"/>
        </w:rPr>
        <w:t xml:space="preserve">Active liver disease</w:t>
      </w:r>
    </w:p>
    <w:p>
      <w:pPr>
        <w:pStyle w:val="ListParagraph"/>
        <w:numPr>
          <w:ilvl w:val="0"/>
          <w:numId w:val="2"/>
        </w:numPr>
        <w:spacing w:after="80" w:before="0"/>
      </w:pPr>
      <w:r>
        <w:rPr>
          <w:rFonts w:ascii="Arial" w:cs="Arial" w:eastAsia="Arial" w:hAnsi="Arial"/>
          <w:sz w:val="22"/>
          <w:szCs w:val="22"/>
        </w:rPr>
        <w:t xml:space="preserve">Unexplained vaginal bleeding</w:t>
      </w:r>
    </w:p>
    <w:p>
      <w:pPr>
        <w:pStyle w:val="ListParagraph"/>
        <w:numPr>
          <w:ilvl w:val="0"/>
          <w:numId w:val="2"/>
        </w:numPr>
        <w:spacing w:after="80" w:before="0"/>
      </w:pPr>
      <w:r>
        <w:rPr>
          <w:rFonts w:ascii="Arial" w:cs="Arial" w:eastAsia="Arial" w:hAnsi="Arial"/>
          <w:sz w:val="22"/>
          <w:szCs w:val="22"/>
        </w:rPr>
        <w:t xml:space="preserve">Current pregnancy</w:t>
      </w:r>
    </w:p>
    <w:p>
      <w:pPr>
        <w:pStyle w:val="ListParagraph"/>
        <w:numPr>
          <w:ilvl w:val="0"/>
          <w:numId w:val="2"/>
        </w:numPr>
        <w:spacing w:after="80" w:before="0"/>
      </w:pPr>
      <w:r>
        <w:rPr>
          <w:rFonts w:ascii="Arial" w:cs="Arial" w:eastAsia="Arial" w:hAnsi="Arial"/>
          <w:sz w:val="22"/>
          <w:szCs w:val="22"/>
        </w:rPr>
        <w:t xml:space="preserve">Other factors identified in your health history</w:t>
      </w:r>
    </w:p>
    <w:p>
      <w:pPr>
        <w:spacing w:after="120" w:before="0"/>
      </w:pPr>
      <w:r>
        <w:rPr>
          <w:rFonts w:ascii="Arial" w:cs="Arial" w:eastAsia="Arial" w:hAnsi="Arial"/>
          <w:sz w:val="22"/>
          <w:szCs w:val="22"/>
        </w:rPr>
        <w:t xml:space="preserve">You agree to provide your complete and honest health and medication history. Incomplete information may affect the safety of your care.</w:t>
      </w:r>
    </w:p>
    <w:p>
      <w:pPr>
        <w:pStyle w:val="Heading1"/>
        <w:spacing w:after="120" w:before="240"/>
      </w:pPr>
      <w:r>
        <w:rPr>
          <w:rFonts w:ascii="Arial" w:cs="Arial" w:eastAsia="Arial" w:hAnsi="Arial"/>
          <w:b/>
          <w:bCs/>
          <w:sz w:val="26"/>
          <w:szCs w:val="26"/>
        </w:rPr>
        <w:t xml:space="preserve">8. Monitoring and Follow-Up</w:t>
      </w:r>
    </w:p>
    <w:p>
      <w:pPr>
        <w:spacing w:after="120" w:before="0"/>
      </w:pPr>
      <w:r>
        <w:rPr>
          <w:rFonts w:ascii="Arial" w:cs="Arial" w:eastAsia="Arial" w:hAnsi="Arial"/>
          <w:sz w:val="22"/>
          <w:szCs w:val="22"/>
        </w:rPr>
        <w:t xml:space="preserve">Starting hormone therapy is the beginning of an ongoing relationship, not a one-time decision. You agree to:</w:t>
      </w:r>
    </w:p>
    <w:p>
      <w:pPr>
        <w:pStyle w:val="ListParagraph"/>
        <w:numPr>
          <w:ilvl w:val="0"/>
          <w:numId w:val="2"/>
        </w:numPr>
        <w:spacing w:after="80" w:before="0"/>
      </w:pPr>
      <w:r>
        <w:rPr>
          <w:rFonts w:ascii="Arial" w:cs="Arial" w:eastAsia="Arial" w:hAnsi="Arial"/>
          <w:sz w:val="22"/>
          <w:szCs w:val="22"/>
        </w:rPr>
        <w:t xml:space="preserve">Attend recommended follow-up visits (typically at 6–12 weeks after starting, then periodically as directed)</w:t>
      </w:r>
    </w:p>
    <w:p>
      <w:pPr>
        <w:pStyle w:val="ListParagraph"/>
        <w:numPr>
          <w:ilvl w:val="0"/>
          <w:numId w:val="2"/>
        </w:numPr>
        <w:spacing w:after="80" w:before="0"/>
      </w:pPr>
      <w:r>
        <w:rPr>
          <w:rFonts w:ascii="Arial" w:cs="Arial" w:eastAsia="Arial" w:hAnsi="Arial"/>
          <w:sz w:val="22"/>
          <w:szCs w:val="22"/>
        </w:rPr>
        <w:t xml:space="preserve">Complete age-appropriate cancer screening (such as mammography) on the schedule your clinician recommends</w:t>
      </w:r>
    </w:p>
    <w:p>
      <w:pPr>
        <w:pStyle w:val="ListParagraph"/>
        <w:numPr>
          <w:ilvl w:val="0"/>
          <w:numId w:val="2"/>
        </w:numPr>
        <w:spacing w:after="80" w:before="0"/>
      </w:pPr>
      <w:r>
        <w:rPr>
          <w:rFonts w:ascii="Arial" w:cs="Arial" w:eastAsia="Arial" w:hAnsi="Arial"/>
          <w:sz w:val="22"/>
          <w:szCs w:val="22"/>
        </w:rPr>
        <w:t xml:space="preserve">Promptly report new or concerning symptoms — especially leg pain or swelling, chest pain, shortness of breath, severe headache, vision changes, breast lumps, or unusual vaginal bleeding</w:t>
      </w:r>
    </w:p>
    <w:p>
      <w:pPr>
        <w:pStyle w:val="ListParagraph"/>
        <w:numPr>
          <w:ilvl w:val="0"/>
          <w:numId w:val="2"/>
        </w:numPr>
        <w:spacing w:after="80" w:before="0"/>
      </w:pPr>
      <w:r>
        <w:rPr>
          <w:rFonts w:ascii="Arial" w:cs="Arial" w:eastAsia="Arial" w:hAnsi="Arial"/>
          <w:sz w:val="22"/>
          <w:szCs w:val="22"/>
        </w:rPr>
        <w:t xml:space="preserve">Not adjust your dose or stop therapy on your own without talking to your clinician first — except in an emergency, in which case stop the medication and contact the Practice as soon as possible</w:t>
      </w:r>
    </w:p>
    <w:p>
      <w:pPr>
        <w:pStyle w:val="Heading1"/>
        <w:spacing w:after="120" w:before="240"/>
      </w:pPr>
      <w:r>
        <w:rPr>
          <w:rFonts w:ascii="Arial" w:cs="Arial" w:eastAsia="Arial" w:hAnsi="Arial"/>
          <w:b/>
          <w:bCs/>
          <w:sz w:val="26"/>
          <w:szCs w:val="26"/>
        </w:rPr>
        <w:t xml:space="preserve">9. Your Right to Withdraw</w:t>
      </w:r>
    </w:p>
    <w:p>
      <w:pPr>
        <w:spacing w:after="120" w:before="0"/>
      </w:pPr>
      <w:r>
        <w:rPr>
          <w:rFonts w:ascii="Arial" w:cs="Arial" w:eastAsia="Arial" w:hAnsi="Arial"/>
          <w:sz w:val="22"/>
          <w:szCs w:val="22"/>
        </w:rPr>
        <w:t xml:space="preserve">You may stop hormone therapy at any time. If you decide to stop, talk with your clinician first — some patients prefer to taper gradually. Stopping on your own is always your right, but your clinician can help make the transition smoother.</w:t>
      </w:r>
    </w:p>
    <w:p>
      <w:pPr>
        <w:pStyle w:val="Heading1"/>
        <w:spacing w:after="120" w:before="240"/>
      </w:pPr>
      <w:r>
        <w:rPr>
          <w:rFonts w:ascii="Arial" w:cs="Arial" w:eastAsia="Arial" w:hAnsi="Arial"/>
          <w:b/>
          <w:bCs/>
          <w:sz w:val="26"/>
          <w:szCs w:val="26"/>
        </w:rPr>
        <w:t xml:space="preserve">10. Your Acknowledgment</w:t>
      </w:r>
    </w:p>
    <w:p>
      <w:pPr>
        <w:spacing w:after="120" w:before="0"/>
      </w:pPr>
      <w:r>
        <w:rPr>
          <w:rFonts w:ascii="Arial" w:cs="Arial" w:eastAsia="Arial" w:hAnsi="Arial"/>
          <w:sz w:val="22"/>
          <w:szCs w:val="22"/>
        </w:rPr>
        <w:t xml:space="preserve">By signing below, you confirm that you:</w:t>
      </w:r>
    </w:p>
    <w:p>
      <w:pPr>
        <w:pStyle w:val="ListParagraph"/>
        <w:numPr>
          <w:ilvl w:val="0"/>
          <w:numId w:val="2"/>
        </w:numPr>
        <w:spacing w:after="80" w:before="0"/>
      </w:pPr>
      <w:r>
        <w:rPr>
          <w:rFonts w:ascii="Arial" w:cs="Arial" w:eastAsia="Arial" w:hAnsi="Arial"/>
          <w:sz w:val="22"/>
          <w:szCs w:val="22"/>
        </w:rPr>
        <w:t xml:space="preserve">Have read and understood this form, including the risks, benefits, and alternatives</w:t>
      </w:r>
    </w:p>
    <w:p>
      <w:pPr>
        <w:pStyle w:val="ListParagraph"/>
        <w:numPr>
          <w:ilvl w:val="0"/>
          <w:numId w:val="2"/>
        </w:numPr>
        <w:spacing w:after="80" w:before="0"/>
      </w:pPr>
      <w:r>
        <w:rPr>
          <w:rFonts w:ascii="Arial" w:cs="Arial" w:eastAsia="Arial" w:hAnsi="Arial"/>
          <w:sz w:val="22"/>
          <w:szCs w:val="22"/>
        </w:rPr>
        <w:t xml:space="preserve">Have had the opportunity to ask questions and any questions were answered to your satisfaction</w:t>
      </w:r>
    </w:p>
    <w:p>
      <w:pPr>
        <w:pStyle w:val="ListParagraph"/>
        <w:numPr>
          <w:ilvl w:val="0"/>
          <w:numId w:val="2"/>
        </w:numPr>
        <w:spacing w:after="80" w:before="0"/>
      </w:pPr>
      <w:r>
        <w:rPr>
          <w:rFonts w:ascii="Arial" w:cs="Arial" w:eastAsia="Arial" w:hAnsi="Arial"/>
          <w:sz w:val="22"/>
          <w:szCs w:val="22"/>
        </w:rPr>
        <w:t xml:space="preserve">Have discussed your personal health history and risk factors with your clinician</w:t>
      </w:r>
    </w:p>
    <w:p>
      <w:pPr>
        <w:pStyle w:val="ListParagraph"/>
        <w:numPr>
          <w:ilvl w:val="0"/>
          <w:numId w:val="2"/>
        </w:numPr>
        <w:spacing w:after="80" w:before="0"/>
      </w:pPr>
      <w:r>
        <w:rPr>
          <w:rFonts w:ascii="Arial" w:cs="Arial" w:eastAsia="Arial" w:hAnsi="Arial"/>
          <w:sz w:val="22"/>
          <w:szCs w:val="22"/>
        </w:rPr>
        <w:t xml:space="preserve">Voluntarily consent to begin hormone therapy under the Practice's care</w:t>
      </w:r>
    </w:p>
    <w:p>
      <w:pPr>
        <w:pStyle w:val="ListParagraph"/>
        <w:numPr>
          <w:ilvl w:val="0"/>
          <w:numId w:val="2"/>
        </w:numPr>
        <w:spacing w:after="80" w:before="0"/>
      </w:pPr>
      <w:r>
        <w:rPr>
          <w:rFonts w:ascii="Arial" w:cs="Arial" w:eastAsia="Arial" w:hAnsi="Arial"/>
          <w:sz w:val="22"/>
          <w:szCs w:val="22"/>
        </w:rPr>
        <w:t xml:space="preserve">Are at least 18 years of age, or are the legal representative of the patient named below</w:t>
      </w:r>
    </w:p>
    <w:p>
      <w:pPr>
        <w:pBdr>
          <w:bottom w:val="single" w:color="AAAAAA" w:sz="4"/>
        </w:pBdr>
        <w:spacing w:after="240" w:before="240"/>
      </w:pPr>
    </w:p>
    <w:p>
      <w:pPr>
        <w:pStyle w:val="Heading1"/>
        <w:spacing w:after="120" w:before="240"/>
      </w:pPr>
      <w:r>
        <w:rPr>
          <w:rFonts w:ascii="Arial" w:cs="Arial" w:eastAsia="Arial" w:hAnsi="Arial"/>
          <w:b/>
          <w:bCs/>
          <w:sz w:val="26"/>
          <w:szCs w:val="26"/>
        </w:rPr>
        <w:t xml:space="preserve">11. Signature</w:t>
      </w:r>
    </w:p>
    <w:p>
      <w:pPr>
        <w:spacing w:after="80" w:before="120"/>
      </w:pPr>
      <w:r>
        <w:rPr>
          <w:rFonts w:ascii="Arial" w:cs="Arial" w:eastAsia="Arial" w:hAnsi="Arial"/>
          <w:b/>
          <w:bCs/>
          <w:sz w:val="22"/>
          <w:szCs w:val="22"/>
        </w:rPr>
        <w:t xml:space="preserve">Patient</w:t>
      </w:r>
    </w:p>
    <w:p>
      <w:pPr>
        <w:spacing w:after="120" w:before="120"/>
      </w:pPr>
      <w:r>
        <w:rPr>
          <w:rFonts w:ascii="Arial" w:cs="Arial" w:eastAsia="Arial" w:hAnsi="Arial"/>
          <w:b/>
          <w:bCs/>
          <w:sz w:val="22"/>
          <w:szCs w:val="22"/>
        </w:rPr>
        <w:t xml:space="preserve">Printed name: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Signature / E-signature: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w:t>
      </w:r>
    </w:p>
    <w:p>
      <w:pPr>
        <w:spacing w:after="80" w:before="240"/>
      </w:pPr>
      <w:r>
        <w:rPr>
          <w:rFonts w:ascii="Arial" w:cs="Arial" w:eastAsia="Arial" w:hAnsi="Arial"/>
          <w:b/>
          <w:bCs/>
          <w:sz w:val="22"/>
          <w:szCs w:val="22"/>
        </w:rPr>
        <w:t xml:space="preserve">Legal Representative (if applicable)</w:t>
      </w:r>
    </w:p>
    <w:p>
      <w:pPr>
        <w:spacing w:after="120" w:before="120"/>
      </w:pPr>
      <w:r>
        <w:rPr>
          <w:rFonts w:ascii="Arial" w:cs="Arial" w:eastAsia="Arial" w:hAnsi="Arial"/>
          <w:b/>
          <w:bCs/>
          <w:sz w:val="22"/>
          <w:szCs w:val="22"/>
        </w:rPr>
        <w:t xml:space="preserve">Printed name: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Relationship to patient: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Signature: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w:t>
      </w:r>
    </w:p>
    <w:p>
      <w:pPr>
        <w:pBdr>
          <w:bottom w:val="single" w:color="AAAAAA" w:sz="4"/>
        </w:pBdr>
        <w:spacing w:after="240" w:before="240"/>
      </w:pPr>
    </w:p>
    <w:p>
      <w:pPr>
        <w:pBdr>
          <w:top w:val="single" w:color="C00000" w:sz="6"/>
        </w:pBdr>
        <w:spacing w:after="120" w:before="360"/>
      </w:pPr>
      <w:r>
        <w:rPr>
          <w:rFonts w:ascii="Arial" w:cs="Arial" w:eastAsia="Arial" w:hAnsi="Arial"/>
          <w:b/>
          <w:bCs/>
          <w:color w:val="C00000"/>
          <w:sz w:val="24"/>
          <w:szCs w:val="24"/>
        </w:rPr>
        <w:t xml:space="preserve">[ATTORNEY REVIEW REQUIRED]</w:t>
      </w:r>
    </w:p>
    <w:p>
      <w:pPr>
        <w:spacing w:after="120" w:before="120"/>
      </w:pPr>
      <w:r>
        <w:rPr>
          <w:rFonts w:ascii="Arial" w:cs="Arial" w:eastAsia="Arial" w:hAnsi="Arial"/>
          <w:sz w:val="20"/>
          <w:szCs w:val="20"/>
        </w:rPr>
        <w:t xml:space="preserve">The following items must be confirmed by qualified healthcare counsel and treating clinicians before this document is used with patients:</w:t>
      </w:r>
    </w:p>
    <w:p>
      <w:pPr>
        <w:pStyle w:val="ListParagraph"/>
        <w:numPr>
          <w:ilvl w:val="0"/>
          <w:numId w:val="3"/>
        </w:numPr>
        <w:spacing w:after="80" w:before="0"/>
      </w:pPr>
      <w:r>
        <w:rPr>
          <w:rFonts w:ascii="Arial" w:cs="Arial" w:eastAsia="Arial" w:hAnsi="Arial"/>
          <w:sz w:val="20"/>
          <w:szCs w:val="20"/>
        </w:rPr>
        <w:t xml:space="preserve">Current standard-of-care risk framing (HIGHEST PRIORITY): Every risk bullet in Section 5 is flagged for clinician confirmation. Risk framing for breast cancer, VTE, stroke, and cardiovascular disease has evolved since the original WHI. A clinician must confirm the language reflects current evidence-based guidance (e.g., current NAMS, ACOG, or Menopause Society position statements).</w:t>
      </w:r>
    </w:p>
    <w:p>
      <w:pPr>
        <w:pStyle w:val="ListParagraph"/>
        <w:numPr>
          <w:ilvl w:val="0"/>
          <w:numId w:val="3"/>
        </w:numPr>
        <w:spacing w:after="80" w:before="0"/>
      </w:pPr>
      <w:r>
        <w:rPr>
          <w:rFonts w:ascii="Arial" w:cs="Arial" w:eastAsia="Arial" w:hAnsi="Arial"/>
          <w:sz w:val="20"/>
          <w:szCs w:val="20"/>
        </w:rPr>
        <w:t xml:space="preserve">Entity naming: Confirm [PC_LEGAL_NAME] is the correct legal name of the professional corporation.</w:t>
      </w:r>
    </w:p>
    <w:p>
      <w:pPr>
        <w:pStyle w:val="ListParagraph"/>
        <w:numPr>
          <w:ilvl w:val="0"/>
          <w:numId w:val="3"/>
        </w:numPr>
        <w:spacing w:after="80" w:before="0"/>
      </w:pPr>
      <w:r>
        <w:rPr>
          <w:rFonts w:ascii="Arial" w:cs="Arial" w:eastAsia="Arial" w:hAnsi="Arial"/>
          <w:sz w:val="20"/>
          <w:szCs w:val="20"/>
        </w:rPr>
        <w:t xml:space="preserve">Testosterone: If the Practice prescribes off-label testosterone for women, confirm whether a separate testosterone-specific consent is required.</w:t>
      </w:r>
    </w:p>
    <w:p>
      <w:pPr>
        <w:pStyle w:val="ListParagraph"/>
        <w:numPr>
          <w:ilvl w:val="0"/>
          <w:numId w:val="3"/>
        </w:numPr>
        <w:spacing w:after="80" w:before="0"/>
      </w:pPr>
      <w:r>
        <w:rPr>
          <w:rFonts w:ascii="Arial" w:cs="Arial" w:eastAsia="Arial" w:hAnsi="Arial"/>
          <w:sz w:val="20"/>
          <w:szCs w:val="20"/>
        </w:rPr>
        <w:t xml:space="preserve">Compounded bioidentical hormones: If the Practice prescribes compounded hormones, FDA non-approval disclosure is required and must be added.</w:t>
      </w:r>
    </w:p>
    <w:p>
      <w:pPr>
        <w:pStyle w:val="ListParagraph"/>
        <w:numPr>
          <w:ilvl w:val="0"/>
          <w:numId w:val="3"/>
        </w:numPr>
        <w:spacing w:after="80" w:before="0"/>
      </w:pPr>
      <w:r>
        <w:rPr>
          <w:rFonts w:ascii="Arial" w:cs="Arial" w:eastAsia="Arial" w:hAnsi="Arial"/>
          <w:sz w:val="20"/>
          <w:szCs w:val="20"/>
        </w:rPr>
        <w:t xml:space="preserve">Black box warnings: Confirm any required FDA black box warning language for commonly prescribed products is included (currently required for certain combined HRT products regarding cardiovascular risk and breast cancer).</w:t>
      </w:r>
    </w:p>
    <w:p>
      <w:pPr>
        <w:pStyle w:val="ListParagraph"/>
        <w:numPr>
          <w:ilvl w:val="0"/>
          <w:numId w:val="3"/>
        </w:numPr>
        <w:spacing w:after="80" w:before="0"/>
      </w:pPr>
      <w:r>
        <w:rPr>
          <w:rFonts w:ascii="Arial" w:cs="Arial" w:eastAsia="Arial" w:hAnsi="Arial"/>
          <w:sz w:val="20"/>
          <w:szCs w:val="20"/>
        </w:rPr>
        <w:t xml:space="preserve">Utah-specific informed consent for hormone therapy: Confirm whether Utah has state-specific requirements for hormone therapy consent beyond standard informed consent principles.</w:t>
      </w:r>
    </w:p>
    <w:p>
      <w:pPr>
        <w:pStyle w:val="ListParagraph"/>
        <w:numPr>
          <w:ilvl w:val="0"/>
          <w:numId w:val="3"/>
        </w:numPr>
        <w:spacing w:after="80" w:before="0"/>
      </w:pPr>
      <w:r>
        <w:rPr>
          <w:rFonts w:ascii="Arial" w:cs="Arial" w:eastAsia="Arial" w:hAnsi="Arial"/>
          <w:sz w:val="20"/>
          <w:szCs w:val="20"/>
        </w:rPr>
        <w:t xml:space="preserve">Re-consent cadence: Given evolving evidence, confirm whether the Practice will re-obtain consent annually or at another interval.</w:t>
      </w:r>
    </w:p>
    <w:p>
      <w:pPr>
        <w:pStyle w:val="ListParagraph"/>
        <w:numPr>
          <w:ilvl w:val="0"/>
          <w:numId w:val="3"/>
        </w:numPr>
        <w:spacing w:after="80" w:before="0"/>
      </w:pPr>
      <w:r>
        <w:rPr>
          <w:rFonts w:ascii="Arial" w:cs="Arial" w:eastAsia="Arial" w:hAnsi="Arial"/>
          <w:sz w:val="20"/>
          <w:szCs w:val="20"/>
        </w:rPr>
        <w:t xml:space="preserve">Documentation of shared decision-making: Confirm the Womenkind platform's visit workflow captures shared decision-making in the medical record, which is separately important from this signed consent.</w:t>
      </w:r>
    </w:p>
    <w:p>
      <w:pPr>
        <w:pStyle w:val="ListParagraph"/>
        <w:numPr>
          <w:ilvl w:val="0"/>
          <w:numId w:val="3"/>
        </w:numPr>
        <w:spacing w:after="80" w:before="0"/>
      </w:pPr>
      <w:r>
        <w:rPr>
          <w:rFonts w:ascii="Arial" w:cs="Arial" w:eastAsia="Arial" w:hAnsi="Arial"/>
          <w:sz w:val="20"/>
          <w:szCs w:val="20"/>
        </w:rPr>
        <w:t xml:space="preserve">E-signature compliance: Confirm the Womenkind platform's e-signature method meets ESIGN/UETA.</w:t>
      </w:r>
    </w:p>
    <w:p>
      <w:pPr>
        <w:spacing w:after="0" w:before="240"/>
      </w:pPr>
      <w:r>
        <w:rPr>
          <w:rFonts w:ascii="Arial" w:cs="Arial" w:eastAsia="Arial" w:hAnsi="Arial"/>
          <w:i/>
          <w:iCs/>
          <w:color w:val="888888"/>
          <w:sz w:val="16"/>
          <w:szCs w:val="16"/>
        </w:rPr>
        <w:t xml:space="preserve">Generated by the womenkind-consent-generator skill. This is a starting draft only. Final consent documents must be reviewed and approved by qualified healthcare counsel before any use with patients.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center"/>
    </w:pPr>
    <w:r>
      <w:rPr>
        <w:rFonts w:ascii="Arial" w:cs="Arial" w:eastAsia="Arial" w:hAnsi="Arial"/>
        <w:color w:val="888888"/>
        <w:sz w:val="16"/>
        <w:szCs w:val="16"/>
      </w:rPr>
      <w:t xml:space="preserve">DRAFT — NOT FOR PATIENT USE | Womenkind HRT/MHT Informed Consent | Utah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2026-04-21T03:14:54.114Z</dcterms:created>
  <dcterms:modified xsi:type="dcterms:W3CDTF">2026-04-21T03:14:54.115Z</dcterms:modified>
</cp:coreProperties>
</file>

<file path=docProps/custom.xml><?xml version="1.0" encoding="utf-8"?>
<Properties xmlns="http://schemas.openxmlformats.org/officeDocument/2006/custom-properties" xmlns:vt="http://schemas.openxmlformats.org/officeDocument/2006/docPropsVTypes"/>
</file>