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C00000"/>
          <w:sz w:val="28"/>
          <w:szCs w:val="28"/>
        </w:rPr>
        <w:t xml:space="preserve">DRAFT — NOT FOR PATIENT USE</w:t>
      </w:r>
    </w:p>
    <w:p>
      <w:pPr>
        <w:spacing w:after="240" w:before="0"/>
        <w:jc w:val="center"/>
      </w:pPr>
      <w:r>
        <w:rPr>
          <w:rFonts w:ascii="Arial" w:cs="Arial" w:eastAsia="Arial" w:hAnsi="Arial"/>
          <w:i/>
          <w:iCs/>
          <w:color w:val="444444"/>
          <w:sz w:val="18"/>
          <w:szCs w:val="18"/>
        </w:rPr>
        <w:t xml:space="preserve">Generated 2026-04-20 for attorney review. Do not present to patients until reviewed and approved by qualified healthcare counsel.</w:t>
      </w:r>
    </w:p>
    <w:p>
      <w:pPr>
        <w:spacing w:after="80" w:before="0"/>
        <w:jc w:val="center"/>
      </w:pPr>
      <w:r>
        <w:rPr>
          <w:rFonts w:ascii="Arial" w:cs="Arial" w:eastAsia="Arial" w:hAnsi="Arial"/>
          <w:b/>
          <w:bCs/>
          <w:sz w:val="32"/>
          <w:szCs w:val="32"/>
        </w:rPr>
        <w:t xml:space="preserve">FINANCIAL RESPONSIBILITY &amp; PAYMENT AUTHORIZATION</w:t>
      </w:r>
    </w:p>
    <w:p>
      <w:pPr>
        <w:spacing w:after="80" w:before="0"/>
        <w:jc w:val="center"/>
      </w:pPr>
      <w:r>
        <w:rPr>
          <w:rFonts w:ascii="Arial" w:cs="Arial" w:eastAsia="Arial" w:hAnsi="Arial"/>
          <w:b/>
          <w:bCs/>
          <w:color w:val="0070C0"/>
          <w:sz w:val="22"/>
          <w:szCs w:val="22"/>
        </w:rPr>
        <w:t xml:space="preserve">[PC_LEGAL_NAME]</w:t>
      </w:r>
      <w:r>
        <w:rPr>
          <w:rFonts w:ascii="Arial" w:cs="Arial" w:eastAsia="Arial" w:hAnsi="Arial"/>
          <w:sz w:val="22"/>
          <w:szCs w:val="22"/>
        </w:rPr>
        <w:t xml:space="preserve"> (the "Practice")</w:t>
      </w:r>
    </w:p>
    <w:p>
      <w:pPr>
        <w:spacing w:after="240" w:before="0"/>
        <w:jc w:val="center"/>
      </w:pPr>
      <w:r>
        <w:rPr>
          <w:rFonts w:ascii="Arial" w:cs="Arial" w:eastAsia="Arial" w:hAnsi="Arial"/>
          <w:color w:val="444444"/>
          <w:sz w:val="20"/>
          <w:szCs w:val="20"/>
        </w:rPr>
        <w:t xml:space="preserve">State: Utah  |  Effective Date: </w:t>
      </w:r>
      <w:r>
        <w:rPr>
          <w:rFonts w:ascii="Arial" w:cs="Arial" w:eastAsia="Arial" w:hAnsi="Arial"/>
          <w:b/>
          <w:bCs/>
          <w:color w:val="0070C0"/>
          <w:sz w:val="22"/>
          <w:szCs w:val="22"/>
        </w:rPr>
        <w:t xml:space="preserve">[EFFECTIVE_DATE]</w:t>
      </w:r>
      <w:r>
        <w:rPr>
          <w:rFonts w:ascii="Arial" w:cs="Arial" w:eastAsia="Arial" w:hAnsi="Arial"/>
          <w:color w:val="444444"/>
          <w:sz w:val="20"/>
          <w:szCs w:val="20"/>
        </w:rPr>
        <w:t xml:space="preserve">  |  Version: </w:t>
      </w:r>
      <w:r>
        <w:rPr>
          <w:rFonts w:ascii="Arial" w:cs="Arial" w:eastAsia="Arial" w:hAnsi="Arial"/>
          <w:b/>
          <w:bCs/>
          <w:color w:val="0070C0"/>
          <w:sz w:val="22"/>
          <w:szCs w:val="22"/>
        </w:rPr>
        <w:t xml:space="preserve">[VERSION]</w:t>
      </w:r>
    </w:p>
    <w:p>
      <w:pPr>
        <w:shd w:fill="FFF2CC" w:val="clear"/>
        <w:spacing w:after="120" w:before="0"/>
      </w:pPr>
      <w:r>
        <w:rPr>
          <w:rFonts w:ascii="Arial" w:cs="Arial" w:eastAsia="Arial" w:hAnsi="Arial"/>
          <w:i/>
          <w:iCs/>
          <w:color w:val="7F6000"/>
          <w:sz w:val="20"/>
          <w:szCs w:val="20"/>
        </w:rPr>
        <w:t xml:space="preserve">Important: This document is a financial agreement, separate from your clinical consents. Please read it independently and ask any questions before signing.</w:t>
      </w:r>
    </w:p>
    <w:p>
      <w:pPr>
        <w:pStyle w:val="Heading1"/>
        <w:spacing w:after="120" w:before="240"/>
      </w:pPr>
      <w:r>
        <w:rPr>
          <w:rFonts w:ascii="Arial" w:cs="Arial" w:eastAsia="Arial" w:hAnsi="Arial"/>
          <w:b/>
          <w:bCs/>
          <w:sz w:val="26"/>
          <w:szCs w:val="26"/>
        </w:rPr>
        <w:t xml:space="preserve">1. Cash-Pay Practice — No Insurance Billing</w:t>
      </w:r>
    </w:p>
    <w:p>
      <w:pPr>
        <w:spacing w:after="120" w:before="0"/>
      </w:pPr>
      <w:r>
        <w:rPr>
          <w:rFonts w:ascii="Arial" w:cs="Arial" w:eastAsia="Arial" w:hAnsi="Arial"/>
          <w:sz w:val="22"/>
          <w:szCs w:val="22"/>
        </w:rPr>
        <w:t xml:space="preserve">The Practice is a direct-pay practice. We do not bill your health insurance for any services. All fees are your responsibility, payable at or before the time of service.</w:t>
      </w:r>
    </w:p>
    <w:p>
      <w:pPr>
        <w:spacing w:after="120" w:before="0"/>
      </w:pPr>
      <w:r>
        <w:rPr>
          <w:rFonts w:ascii="Arial" w:cs="Arial" w:eastAsia="Arial" w:hAnsi="Arial"/>
          <w:sz w:val="22"/>
          <w:szCs w:val="22"/>
        </w:rPr>
        <w:t xml:space="preserve">You may be able to submit a superbill (a detailed receipt) to your insurance company for potential out-of-network reimbursement. We cannot guarantee what, if anything, your insurance will reimburse. Requesting a superbill is always free.</w:t>
      </w:r>
    </w:p>
    <w:p>
      <w:pPr>
        <w:spacing w:after="120" w:before="80"/>
      </w:pPr>
      <w:r>
        <w:rPr>
          <w:rFonts w:ascii="Arial" w:cs="Arial" w:eastAsia="Arial" w:hAnsi="Arial"/>
          <w:i/>
          <w:iCs/>
          <w:color w:val="555555"/>
          <w:sz w:val="20"/>
          <w:szCs w:val="20"/>
        </w:rPr>
        <w:t xml:space="preserve">Note: Womenkind care may qualify for reimbursement from a Health Savings Account (HSA) or Flexible Spending Account (FSA). Please verify with your HSA/FSA administrator.</w:t>
      </w:r>
    </w:p>
    <w:p>
      <w:pPr>
        <w:pStyle w:val="Heading1"/>
        <w:spacing w:after="120" w:before="240"/>
      </w:pPr>
      <w:r>
        <w:rPr>
          <w:rFonts w:ascii="Arial" w:cs="Arial" w:eastAsia="Arial" w:hAnsi="Arial"/>
          <w:b/>
          <w:bCs/>
          <w:sz w:val="26"/>
          <w:szCs w:val="26"/>
        </w:rPr>
        <w:t xml:space="preserve">2. Fee Schedule</w:t>
      </w:r>
    </w:p>
    <w:p>
      <w:pPr>
        <w:shd w:fill="FFF2CC" w:val="clear"/>
        <w:spacing w:after="120" w:before="0"/>
      </w:pPr>
      <w:r>
        <w:rPr>
          <w:rFonts w:ascii="Arial" w:cs="Arial" w:eastAsia="Arial" w:hAnsi="Arial"/>
          <w:b/>
          <w:bCs/>
          <w:color w:val="7F6000"/>
          <w:sz w:val="20"/>
          <w:szCs w:val="20"/>
        </w:rPr>
        <w:t xml:space="preserve">The fee schedule below uses placeholder amounts. Confirm all fees before this document is used with patients.</w:t>
      </w:r>
    </w:p>
    <w:p>
      <w:pPr>
        <w:pStyle w:val="ListParagraph"/>
        <w:numPr>
          <w:ilvl w:val="0"/>
          <w:numId w:val="2"/>
        </w:numPr>
        <w:spacing w:after="80" w:before="0"/>
      </w:pPr>
      <w:r>
        <w:rPr>
          <w:rFonts w:ascii="Arial" w:cs="Arial" w:eastAsia="Arial" w:hAnsi="Arial"/>
          <w:sz w:val="22"/>
          <w:szCs w:val="22"/>
        </w:rPr>
        <w:t xml:space="preserve">Initial comprehensive visit: [INITIAL_VISIT_FEE]</w:t>
      </w:r>
    </w:p>
    <w:p>
      <w:pPr>
        <w:pStyle w:val="ListParagraph"/>
        <w:numPr>
          <w:ilvl w:val="0"/>
          <w:numId w:val="2"/>
        </w:numPr>
        <w:spacing w:after="80" w:before="0"/>
      </w:pPr>
      <w:r>
        <w:rPr>
          <w:rFonts w:ascii="Arial" w:cs="Arial" w:eastAsia="Arial" w:hAnsi="Arial"/>
          <w:sz w:val="22"/>
          <w:szCs w:val="22"/>
        </w:rPr>
        <w:t xml:space="preserve">Follow-up visit (30 min): [FOLLOWUP_VISIT_FEE]</w:t>
      </w:r>
    </w:p>
    <w:p>
      <w:pPr>
        <w:pStyle w:val="ListParagraph"/>
        <w:numPr>
          <w:ilvl w:val="0"/>
          <w:numId w:val="2"/>
        </w:numPr>
        <w:spacing w:after="80" w:before="0"/>
      </w:pPr>
      <w:r>
        <w:rPr>
          <w:rFonts w:ascii="Arial" w:cs="Arial" w:eastAsia="Arial" w:hAnsi="Arial"/>
          <w:sz w:val="22"/>
          <w:szCs w:val="22"/>
        </w:rPr>
        <w:t xml:space="preserve">Follow-up visit (15 min): [SHORT_FOLLOWUP_FEE]</w:t>
      </w:r>
    </w:p>
    <w:p>
      <w:pPr>
        <w:pStyle w:val="ListParagraph"/>
        <w:numPr>
          <w:ilvl w:val="0"/>
          <w:numId w:val="2"/>
        </w:numPr>
        <w:spacing w:after="80" w:before="0"/>
      </w:pPr>
      <w:r>
        <w:rPr>
          <w:rFonts w:ascii="Arial" w:cs="Arial" w:eastAsia="Arial" w:hAnsi="Arial"/>
          <w:sz w:val="22"/>
          <w:szCs w:val="22"/>
        </w:rPr>
        <w:t xml:space="preserve">Asynchronous messaging / clinical message (if billed separately): [ASYNC_MESSAGE_FEE]</w:t>
      </w:r>
    </w:p>
    <w:p>
      <w:pPr>
        <w:pStyle w:val="ListParagraph"/>
        <w:numPr>
          <w:ilvl w:val="0"/>
          <w:numId w:val="2"/>
        </w:numPr>
        <w:spacing w:after="80" w:before="0"/>
      </w:pPr>
      <w:r>
        <w:rPr>
          <w:rFonts w:ascii="Arial" w:cs="Arial" w:eastAsia="Arial" w:hAnsi="Arial"/>
          <w:sz w:val="22"/>
          <w:szCs w:val="22"/>
        </w:rPr>
        <w:t xml:space="preserve">Membership / subscription (if applicable — monthly): [MEMBERSHIP_FEE_MONTHLY]</w:t>
      </w:r>
    </w:p>
    <w:p>
      <w:pPr>
        <w:pStyle w:val="ListParagraph"/>
        <w:numPr>
          <w:ilvl w:val="0"/>
          <w:numId w:val="2"/>
        </w:numPr>
        <w:spacing w:after="80" w:before="0"/>
      </w:pPr>
      <w:r>
        <w:rPr>
          <w:rFonts w:ascii="Arial" w:cs="Arial" w:eastAsia="Arial" w:hAnsi="Arial"/>
          <w:sz w:val="22"/>
          <w:szCs w:val="22"/>
        </w:rPr>
        <w:t xml:space="preserve">Lab interpretation (results not ordered by Practice): [LAB_REVIEW_FEE]</w:t>
      </w:r>
    </w:p>
    <w:p>
      <w:pPr>
        <w:pStyle w:val="ListParagraph"/>
        <w:numPr>
          <w:ilvl w:val="0"/>
          <w:numId w:val="2"/>
        </w:numPr>
        <w:spacing w:after="80" w:before="0"/>
      </w:pPr>
      <w:r>
        <w:rPr>
          <w:rFonts w:ascii="Arial" w:cs="Arial" w:eastAsia="Arial" w:hAnsi="Arial"/>
          <w:sz w:val="22"/>
          <w:szCs w:val="22"/>
        </w:rPr>
        <w:t xml:space="preserve">Prior authorization letter or medical records completion: [ADMIN_FEE]</w:t>
      </w:r>
    </w:p>
    <w:p>
      <w:pPr>
        <w:spacing w:after="120" w:before="0"/>
      </w:pPr>
      <w:r>
        <w:rPr>
          <w:rFonts w:ascii="Arial" w:cs="Arial" w:eastAsia="Arial" w:hAnsi="Arial"/>
          <w:sz w:val="22"/>
          <w:szCs w:val="22"/>
        </w:rPr>
        <w:t xml:space="preserve">The current fee schedule is always available on the Womenkind platform and at [WEBSITE_URL]. Fees may change with 30 days' notice.</w:t>
      </w:r>
    </w:p>
    <w:p>
      <w:pPr>
        <w:pStyle w:val="Heading1"/>
        <w:spacing w:after="120" w:before="240"/>
      </w:pPr>
      <w:r>
        <w:rPr>
          <w:rFonts w:ascii="Arial" w:cs="Arial" w:eastAsia="Arial" w:hAnsi="Arial"/>
          <w:b/>
          <w:bCs/>
          <w:sz w:val="26"/>
          <w:szCs w:val="26"/>
        </w:rPr>
        <w:t xml:space="preserve">3. Payment Card Authorization</w:t>
      </w:r>
    </w:p>
    <w:p>
      <w:pPr>
        <w:spacing w:after="120" w:before="0"/>
      </w:pPr>
      <w:r>
        <w:rPr>
          <w:rFonts w:ascii="Arial" w:cs="Arial" w:eastAsia="Arial" w:hAnsi="Arial"/>
          <w:sz w:val="22"/>
          <w:szCs w:val="22"/>
        </w:rPr>
        <w:t xml:space="preserve">To streamline your care, you authorize the Practice to keep a payment card on file and charge it for:</w:t>
      </w:r>
    </w:p>
    <w:p>
      <w:pPr>
        <w:pStyle w:val="ListParagraph"/>
        <w:numPr>
          <w:ilvl w:val="0"/>
          <w:numId w:val="2"/>
        </w:numPr>
        <w:spacing w:after="80" w:before="0"/>
      </w:pPr>
      <w:r>
        <w:rPr>
          <w:rFonts w:ascii="Arial" w:cs="Arial" w:eastAsia="Arial" w:hAnsi="Arial"/>
          <w:sz w:val="22"/>
          <w:szCs w:val="22"/>
        </w:rPr>
        <w:t xml:space="preserve">Visit fees at the time of service (or at the time of scheduling, for prepaid visits)</w:t>
      </w:r>
    </w:p>
    <w:p>
      <w:pPr>
        <w:pStyle w:val="ListParagraph"/>
        <w:numPr>
          <w:ilvl w:val="0"/>
          <w:numId w:val="2"/>
        </w:numPr>
        <w:spacing w:after="80" w:before="0"/>
      </w:pPr>
      <w:r>
        <w:rPr>
          <w:rFonts w:ascii="Arial" w:cs="Arial" w:eastAsia="Arial" w:hAnsi="Arial"/>
          <w:sz w:val="22"/>
          <w:szCs w:val="22"/>
        </w:rPr>
        <w:t xml:space="preserve">No-show and late cancellation fees as described in Section 4 below</w:t>
      </w:r>
    </w:p>
    <w:p>
      <w:pPr>
        <w:pStyle w:val="ListParagraph"/>
        <w:numPr>
          <w:ilvl w:val="0"/>
          <w:numId w:val="2"/>
        </w:numPr>
        <w:spacing w:after="80" w:before="0"/>
      </w:pPr>
      <w:r>
        <w:rPr>
          <w:rFonts w:ascii="Arial" w:cs="Arial" w:eastAsia="Arial" w:hAnsi="Arial"/>
          <w:sz w:val="22"/>
          <w:szCs w:val="22"/>
        </w:rPr>
        <w:t xml:space="preserve">Any other fees you have specifically pre-authorized</w:t>
      </w:r>
    </w:p>
    <w:p>
      <w:pPr>
        <w:spacing w:after="120" w:before="0"/>
      </w:pPr>
      <w:r>
        <w:rPr>
          <w:rFonts w:ascii="Arial" w:cs="Arial" w:eastAsia="Arial" w:hAnsi="Arial"/>
          <w:sz w:val="22"/>
          <w:szCs w:val="22"/>
        </w:rPr>
        <w:t xml:space="preserve">Your card information is stored securely by our payment processor in compliance with PCI-DSS standards. The Practice itself does not store your full card number.</w:t>
      </w:r>
    </w:p>
    <w:p>
      <w:pPr>
        <w:spacing w:after="120" w:before="80"/>
      </w:pPr>
      <w:r>
        <w:rPr>
          <w:rFonts w:ascii="Arial" w:cs="Arial" w:eastAsia="Arial" w:hAnsi="Arial"/>
          <w:b/>
          <w:bCs/>
          <w:sz w:val="22"/>
          <w:szCs w:val="22"/>
        </w:rPr>
        <w:t xml:space="preserve">Payment processor: </w:t>
      </w:r>
      <w:r>
        <w:rPr>
          <w:rFonts w:ascii="Arial" w:cs="Arial" w:eastAsia="Arial" w:hAnsi="Arial"/>
          <w:b/>
          <w:bCs/>
          <w:color w:val="0070C0"/>
          <w:sz w:val="22"/>
          <w:szCs w:val="22"/>
        </w:rPr>
        <w:t xml:space="preserve">[PAYMENT_PROCESSOR, e.g., Stripe]</w:t>
      </w:r>
    </w:p>
    <w:p>
      <w:pPr>
        <w:pStyle w:val="Heading1"/>
        <w:spacing w:after="120" w:before="240"/>
      </w:pPr>
      <w:r>
        <w:rPr>
          <w:rFonts w:ascii="Arial" w:cs="Arial" w:eastAsia="Arial" w:hAnsi="Arial"/>
          <w:b/>
          <w:bCs/>
          <w:sz w:val="26"/>
          <w:szCs w:val="26"/>
        </w:rPr>
        <w:t xml:space="preserve">4. No-Show and Late Cancellation Policy</w:t>
      </w:r>
    </w:p>
    <w:p>
      <w:pPr>
        <w:pStyle w:val="ListParagraph"/>
        <w:numPr>
          <w:ilvl w:val="0"/>
          <w:numId w:val="2"/>
        </w:numPr>
        <w:spacing w:after="80" w:before="0"/>
      </w:pPr>
      <w:r>
        <w:rPr>
          <w:rFonts w:ascii="Arial" w:cs="Arial" w:eastAsia="Arial" w:hAnsi="Arial"/>
          <w:sz w:val="22"/>
          <w:szCs w:val="22"/>
        </w:rPr>
        <w:t xml:space="preserve">Cancellations made more than [X] hours before your scheduled visit: No charge.</w:t>
      </w:r>
    </w:p>
    <w:p>
      <w:pPr>
        <w:pStyle w:val="ListParagraph"/>
        <w:numPr>
          <w:ilvl w:val="0"/>
          <w:numId w:val="2"/>
        </w:numPr>
        <w:spacing w:after="80" w:before="0"/>
      </w:pPr>
      <w:r>
        <w:rPr>
          <w:rFonts w:ascii="Arial" w:cs="Arial" w:eastAsia="Arial" w:hAnsi="Arial"/>
          <w:sz w:val="22"/>
          <w:szCs w:val="22"/>
        </w:rPr>
        <w:t xml:space="preserve">Cancellations made less than [X] hours before your scheduled visit: [LATE_CANCEL_FEE] cancellation fee.</w:t>
      </w:r>
    </w:p>
    <w:p>
      <w:pPr>
        <w:pStyle w:val="ListParagraph"/>
        <w:numPr>
          <w:ilvl w:val="0"/>
          <w:numId w:val="2"/>
        </w:numPr>
        <w:spacing w:after="80" w:before="0"/>
      </w:pPr>
      <w:r>
        <w:rPr>
          <w:rFonts w:ascii="Arial" w:cs="Arial" w:eastAsia="Arial" w:hAnsi="Arial"/>
          <w:sz w:val="22"/>
          <w:szCs w:val="22"/>
        </w:rPr>
        <w:t xml:space="preserve">No-show (no cancellation, no appearance): Full visit fee charged.</w:t>
      </w:r>
    </w:p>
    <w:p>
      <w:pPr>
        <w:spacing w:after="120" w:before="0"/>
      </w:pPr>
      <w:r>
        <w:rPr>
          <w:rFonts w:ascii="Arial" w:cs="Arial" w:eastAsia="Arial" w:hAnsi="Arial"/>
          <w:sz w:val="22"/>
          <w:szCs w:val="22"/>
        </w:rPr>
        <w:t xml:space="preserve">We understand that emergencies happen. If you have an urgent situation, please contact us as soon as possible and we will work with you.</w:t>
      </w:r>
    </w:p>
    <w:p>
      <w:pPr>
        <w:pStyle w:val="Heading1"/>
        <w:spacing w:after="120" w:before="240"/>
      </w:pPr>
      <w:r>
        <w:rPr>
          <w:rFonts w:ascii="Arial" w:cs="Arial" w:eastAsia="Arial" w:hAnsi="Arial"/>
          <w:b/>
          <w:bCs/>
          <w:sz w:val="26"/>
          <w:szCs w:val="26"/>
        </w:rPr>
        <w:t xml:space="preserve">5. Refund Policy</w:t>
      </w:r>
    </w:p>
    <w:p>
      <w:pPr>
        <w:pStyle w:val="ListParagraph"/>
        <w:numPr>
          <w:ilvl w:val="0"/>
          <w:numId w:val="2"/>
        </w:numPr>
        <w:spacing w:after="80" w:before="0"/>
      </w:pPr>
      <w:r>
        <w:rPr>
          <w:rFonts w:ascii="Arial" w:cs="Arial" w:eastAsia="Arial" w:hAnsi="Arial"/>
          <w:sz w:val="22"/>
          <w:szCs w:val="22"/>
        </w:rPr>
        <w:t xml:space="preserve">Visit did not occur due to a Practice-side technical issue or clinician unavailability: Full refund.</w:t>
      </w:r>
    </w:p>
    <w:p>
      <w:pPr>
        <w:pStyle w:val="ListParagraph"/>
        <w:numPr>
          <w:ilvl w:val="0"/>
          <w:numId w:val="2"/>
        </w:numPr>
        <w:spacing w:after="80" w:before="0"/>
      </w:pPr>
      <w:r>
        <w:rPr>
          <w:rFonts w:ascii="Arial" w:cs="Arial" w:eastAsia="Arial" w:hAnsi="Arial"/>
          <w:sz w:val="22"/>
          <w:szCs w:val="22"/>
        </w:rPr>
        <w:t xml:space="preserve">Visit did not occur due to patient no-show or late cancellation: No refund; no-show/cancellation fee applies.</w:t>
      </w:r>
    </w:p>
    <w:p>
      <w:pPr>
        <w:pStyle w:val="ListParagraph"/>
        <w:numPr>
          <w:ilvl w:val="0"/>
          <w:numId w:val="2"/>
        </w:numPr>
        <w:spacing w:after="80" w:before="0"/>
      </w:pPr>
      <w:r>
        <w:rPr>
          <w:rFonts w:ascii="Arial" w:cs="Arial" w:eastAsia="Arial" w:hAnsi="Arial"/>
          <w:sz w:val="22"/>
          <w:szCs w:val="22"/>
        </w:rPr>
        <w:t xml:space="preserve">Patient is unsatisfied with care: Contact us. Refund requests are reviewed case by case.</w:t>
      </w:r>
    </w:p>
    <w:p>
      <w:pPr>
        <w:pStyle w:val="ListParagraph"/>
        <w:numPr>
          <w:ilvl w:val="0"/>
          <w:numId w:val="2"/>
        </w:numPr>
        <w:spacing w:after="80" w:before="0"/>
      </w:pPr>
      <w:r>
        <w:rPr>
          <w:rFonts w:ascii="Arial" w:cs="Arial" w:eastAsia="Arial" w:hAnsi="Arial"/>
          <w:sz w:val="22"/>
          <w:szCs w:val="22"/>
        </w:rPr>
        <w:t xml:space="preserve">Subscription / membership cancellation: Prorated refund for unused period, per the subscription terms presented at sign-up.</w:t>
      </w:r>
    </w:p>
    <w:p>
      <w:pPr>
        <w:pStyle w:val="Heading1"/>
        <w:spacing w:after="120" w:before="240"/>
      </w:pPr>
      <w:r>
        <w:rPr>
          <w:rFonts w:ascii="Arial" w:cs="Arial" w:eastAsia="Arial" w:hAnsi="Arial"/>
          <w:b/>
          <w:bCs/>
          <w:sz w:val="26"/>
          <w:szCs w:val="26"/>
        </w:rPr>
        <w:t xml:space="preserve">6. Good Faith Estimate — No Surprises Act</w:t>
      </w:r>
    </w:p>
    <w:p>
      <w:pPr>
        <w:shd w:fill="E2EFDA" w:val="clear"/>
        <w:spacing w:after="120" w:before="0"/>
      </w:pPr>
      <w:r>
        <w:rPr>
          <w:rFonts w:ascii="Arial" w:cs="Arial" w:eastAsia="Arial" w:hAnsi="Arial"/>
          <w:color w:val="375623"/>
          <w:sz w:val="20"/>
          <w:szCs w:val="20"/>
        </w:rPr>
        <w:t xml:space="preserve">Federal law requires the Practice to provide uninsured and self-pay patients with a Good Faith Estimate of expected charges.</w:t>
      </w:r>
    </w:p>
    <w:p>
      <w:pPr>
        <w:spacing w:after="120" w:before="0"/>
      </w:pPr>
      <w:r>
        <w:rPr>
          <w:rFonts w:ascii="Arial" w:cs="Arial" w:eastAsia="Arial" w:hAnsi="Arial"/>
          <w:sz w:val="22"/>
          <w:szCs w:val="22"/>
        </w:rPr>
        <w:t xml:space="preserve">Before your first visit, you will receive a Good Faith Estimate for your anticipated services. This estimate is not a contract and actual charges may vary based on your clinical needs.</w:t>
      </w:r>
    </w:p>
    <w:p>
      <w:pPr>
        <w:spacing w:after="120" w:before="0"/>
      </w:pPr>
      <w:r>
        <w:rPr>
          <w:rFonts w:ascii="Arial" w:cs="Arial" w:eastAsia="Arial" w:hAnsi="Arial"/>
          <w:sz w:val="22"/>
          <w:szCs w:val="22"/>
        </w:rPr>
        <w:t xml:space="preserve">If your actual charges are $400 or more above the Good Faith Estimate, you have the right to dispute those charges through the federal patient-provider dispute resolution process. Contact us at [BILLING_CONTACT_EMAIL] or [BILLING_CONTACT_PHONE] if you have questions about your estimate or your bill.</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7. Your Authorization and Acknowledgment</w:t>
      </w:r>
    </w:p>
    <w:p>
      <w:pPr>
        <w:spacing w:after="120" w:before="0"/>
      </w:pPr>
      <w:r>
        <w:rPr>
          <w:rFonts w:ascii="Arial" w:cs="Arial" w:eastAsia="Arial" w:hAnsi="Arial"/>
          <w:sz w:val="22"/>
          <w:szCs w:val="22"/>
        </w:rPr>
        <w:t xml:space="preserve">By signing below, you confirm that you:</w:t>
      </w:r>
    </w:p>
    <w:p>
      <w:pPr>
        <w:pStyle w:val="ListParagraph"/>
        <w:numPr>
          <w:ilvl w:val="0"/>
          <w:numId w:val="2"/>
        </w:numPr>
        <w:spacing w:after="80" w:before="0"/>
      </w:pPr>
      <w:r>
        <w:rPr>
          <w:rFonts w:ascii="Arial" w:cs="Arial" w:eastAsia="Arial" w:hAnsi="Arial"/>
          <w:sz w:val="22"/>
          <w:szCs w:val="22"/>
        </w:rPr>
        <w:t xml:space="preserve">Have read and understood this Financial Responsibility and Payment Authorization</w:t>
      </w:r>
    </w:p>
    <w:p>
      <w:pPr>
        <w:pStyle w:val="ListParagraph"/>
        <w:numPr>
          <w:ilvl w:val="0"/>
          <w:numId w:val="2"/>
        </w:numPr>
        <w:spacing w:after="80" w:before="0"/>
      </w:pPr>
      <w:r>
        <w:rPr>
          <w:rFonts w:ascii="Arial" w:cs="Arial" w:eastAsia="Arial" w:hAnsi="Arial"/>
          <w:sz w:val="22"/>
          <w:szCs w:val="22"/>
        </w:rPr>
        <w:t xml:space="preserve">Understand that the Practice is cash-pay and does not bill insurance on your behalf</w:t>
      </w:r>
    </w:p>
    <w:p>
      <w:pPr>
        <w:pStyle w:val="ListParagraph"/>
        <w:numPr>
          <w:ilvl w:val="0"/>
          <w:numId w:val="2"/>
        </w:numPr>
        <w:spacing w:after="80" w:before="0"/>
      </w:pPr>
      <w:r>
        <w:rPr>
          <w:rFonts w:ascii="Arial" w:cs="Arial" w:eastAsia="Arial" w:hAnsi="Arial"/>
          <w:sz w:val="22"/>
          <w:szCs w:val="22"/>
        </w:rPr>
        <w:t xml:space="preserve">Authorize the Practice to charge the payment card on file for services as described above</w:t>
      </w:r>
    </w:p>
    <w:p>
      <w:pPr>
        <w:pStyle w:val="ListParagraph"/>
        <w:numPr>
          <w:ilvl w:val="0"/>
          <w:numId w:val="2"/>
        </w:numPr>
        <w:spacing w:after="80" w:before="0"/>
      </w:pPr>
      <w:r>
        <w:rPr>
          <w:rFonts w:ascii="Arial" w:cs="Arial" w:eastAsia="Arial" w:hAnsi="Arial"/>
          <w:sz w:val="22"/>
          <w:szCs w:val="22"/>
        </w:rPr>
        <w:t xml:space="preserve">Have received or been offered a Good Faith Estimate for your anticipated services</w:t>
      </w:r>
    </w:p>
    <w:p>
      <w:pPr>
        <w:pStyle w:val="ListParagraph"/>
        <w:numPr>
          <w:ilvl w:val="0"/>
          <w:numId w:val="2"/>
        </w:numPr>
        <w:spacing w:after="80" w:before="0"/>
      </w:pPr>
      <w:r>
        <w:rPr>
          <w:rFonts w:ascii="Arial" w:cs="Arial" w:eastAsia="Arial" w:hAnsi="Arial"/>
          <w:sz w:val="22"/>
          <w:szCs w:val="22"/>
        </w:rPr>
        <w:t xml:space="preserve">Are at least 18 years of age, or are the legal representative of the patient named below</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8. Signature</w:t>
      </w:r>
    </w:p>
    <w:p>
      <w:pPr>
        <w:spacing w:after="80" w:before="120"/>
      </w:pPr>
      <w:r>
        <w:rPr>
          <w:rFonts w:ascii="Arial" w:cs="Arial" w:eastAsia="Arial" w:hAnsi="Arial"/>
          <w:b/>
          <w:bCs/>
          <w:sz w:val="22"/>
          <w:szCs w:val="22"/>
        </w:rPr>
        <w:t xml:space="preserve">Patient</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 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spacing w:after="80" w:before="240"/>
      </w:pPr>
      <w:r>
        <w:rPr>
          <w:rFonts w:ascii="Arial" w:cs="Arial" w:eastAsia="Arial" w:hAnsi="Arial"/>
          <w:b/>
          <w:bCs/>
          <w:sz w:val="22"/>
          <w:szCs w:val="22"/>
        </w:rPr>
        <w:t xml:space="preserve">Legal Representative (if applicable)</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Relationship to patient: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pBdr>
          <w:bottom w:val="single" w:color="AAAAAA" w:sz="4"/>
        </w:pBdr>
        <w:spacing w:after="240" w:before="240"/>
      </w:pPr>
    </w:p>
    <w:p>
      <w:pPr>
        <w:pBdr>
          <w:top w:val="single" w:color="C00000" w:sz="6"/>
        </w:pBdr>
        <w:spacing w:after="120" w:before="360"/>
      </w:pPr>
      <w:r>
        <w:rPr>
          <w:rFonts w:ascii="Arial" w:cs="Arial" w:eastAsia="Arial" w:hAnsi="Arial"/>
          <w:b/>
          <w:bCs/>
          <w:color w:val="C00000"/>
          <w:sz w:val="24"/>
          <w:szCs w:val="24"/>
        </w:rPr>
        <w:t xml:space="preserve">[ATTORNEY REVIEW REQUIRED]</w:t>
      </w:r>
    </w:p>
    <w:p>
      <w:pPr>
        <w:spacing w:after="120" w:before="120"/>
      </w:pPr>
      <w:r>
        <w:rPr>
          <w:rFonts w:ascii="Arial" w:cs="Arial" w:eastAsia="Arial" w:hAnsi="Arial"/>
          <w:sz w:val="20"/>
          <w:szCs w:val="20"/>
        </w:rPr>
        <w:t xml:space="preserve">The following items must be confirmed by qualified healthcare counsel before this document is used with patients:</w:t>
      </w:r>
    </w:p>
    <w:p>
      <w:pPr>
        <w:pStyle w:val="ListParagraph"/>
        <w:numPr>
          <w:ilvl w:val="0"/>
          <w:numId w:val="3"/>
        </w:numPr>
        <w:spacing w:after="80" w:before="0"/>
      </w:pPr>
      <w:r>
        <w:rPr>
          <w:rFonts w:ascii="Arial" w:cs="Arial" w:eastAsia="Arial" w:hAnsi="Arial"/>
          <w:sz w:val="20"/>
          <w:szCs w:val="20"/>
        </w:rPr>
        <w:t xml:space="preserve">Cash-pay model confirmation: Confirm the Practice is operating entirely on a cash-pay basis (no insurance billing). If the model changes, this document needs substantial revision to add assignment of benefits, authorization to release information to payers, and related insurance billing provisions.</w:t>
      </w:r>
    </w:p>
    <w:p>
      <w:pPr>
        <w:pStyle w:val="ListParagraph"/>
        <w:numPr>
          <w:ilvl w:val="0"/>
          <w:numId w:val="3"/>
        </w:numPr>
        <w:spacing w:after="80" w:before="0"/>
      </w:pPr>
      <w:r>
        <w:rPr>
          <w:rFonts w:ascii="Arial" w:cs="Arial" w:eastAsia="Arial" w:hAnsi="Arial"/>
          <w:sz w:val="20"/>
          <w:szCs w:val="20"/>
        </w:rPr>
        <w:t xml:space="preserve">Fee schedule: Confirm all fee amounts before patient use. Current placeholders are not real fees.</w:t>
      </w:r>
    </w:p>
    <w:p>
      <w:pPr>
        <w:pStyle w:val="ListParagraph"/>
        <w:numPr>
          <w:ilvl w:val="0"/>
          <w:numId w:val="3"/>
        </w:numPr>
        <w:spacing w:after="80" w:before="0"/>
      </w:pPr>
      <w:r>
        <w:rPr>
          <w:rFonts w:ascii="Arial" w:cs="Arial" w:eastAsia="Arial" w:hAnsi="Arial"/>
          <w:sz w:val="20"/>
          <w:szCs w:val="20"/>
        </w:rPr>
        <w:t xml:space="preserve">No Surprises Act compliance: Confirm the Good Faith Estimate workflow in the Womenkind platform satisfies 45 CFR Part 149 for uninsured/self-pay patients, including the required content, delivery timing (at scheduling or upon request), and dispute resolution process disclosure.</w:t>
      </w:r>
    </w:p>
    <w:p>
      <w:pPr>
        <w:pStyle w:val="ListParagraph"/>
        <w:numPr>
          <w:ilvl w:val="0"/>
          <w:numId w:val="3"/>
        </w:numPr>
        <w:spacing w:after="80" w:before="0"/>
      </w:pPr>
      <w:r>
        <w:rPr>
          <w:rFonts w:ascii="Arial" w:cs="Arial" w:eastAsia="Arial" w:hAnsi="Arial"/>
          <w:sz w:val="20"/>
          <w:szCs w:val="20"/>
        </w:rPr>
        <w:t xml:space="preserve">No-show fee: Confirm the no-show fee amount and cancellation window. Confirm Utah law does not restrict these fees in a healthcare context.</w:t>
      </w:r>
    </w:p>
    <w:p>
      <w:pPr>
        <w:pStyle w:val="ListParagraph"/>
        <w:numPr>
          <w:ilvl w:val="0"/>
          <w:numId w:val="3"/>
        </w:numPr>
        <w:spacing w:after="80" w:before="0"/>
      </w:pPr>
      <w:r>
        <w:rPr>
          <w:rFonts w:ascii="Arial" w:cs="Arial" w:eastAsia="Arial" w:hAnsi="Arial"/>
          <w:sz w:val="20"/>
          <w:szCs w:val="20"/>
        </w:rPr>
        <w:t xml:space="preserve">Payment processor terms: Confirm that the chosen payment processor (e.g., Stripe) permits storing cards and charging for healthcare services, and that the authorization language here is consistent with the processor's terms.</w:t>
      </w:r>
    </w:p>
    <w:p>
      <w:pPr>
        <w:pStyle w:val="ListParagraph"/>
        <w:numPr>
          <w:ilvl w:val="0"/>
          <w:numId w:val="3"/>
        </w:numPr>
        <w:spacing w:after="80" w:before="0"/>
      </w:pPr>
      <w:r>
        <w:rPr>
          <w:rFonts w:ascii="Arial" w:cs="Arial" w:eastAsia="Arial" w:hAnsi="Arial"/>
          <w:sz w:val="20"/>
          <w:szCs w:val="20"/>
        </w:rPr>
        <w:t xml:space="preserve">Refund policy: Confirm the refund policy is consistent with Utah consumer protection law (Utah Consumer Sales Practices Act) and the payment processor's requirements.</w:t>
      </w:r>
    </w:p>
    <w:p>
      <w:pPr>
        <w:pStyle w:val="ListParagraph"/>
        <w:numPr>
          <w:ilvl w:val="0"/>
          <w:numId w:val="3"/>
        </w:numPr>
        <w:spacing w:after="80" w:before="0"/>
      </w:pPr>
      <w:r>
        <w:rPr>
          <w:rFonts w:ascii="Arial" w:cs="Arial" w:eastAsia="Arial" w:hAnsi="Arial"/>
          <w:sz w:val="20"/>
          <w:szCs w:val="20"/>
        </w:rPr>
        <w:t xml:space="preserve">Separation from clinical consent: Confirm this document is presented separately from clinical informed consent forms, so patients cannot claim financial coercion affected their clinical consent. The Womenkind intake flow should treat these as distinct steps.</w:t>
      </w:r>
    </w:p>
    <w:p>
      <w:pPr>
        <w:pStyle w:val="ListParagraph"/>
        <w:numPr>
          <w:ilvl w:val="0"/>
          <w:numId w:val="3"/>
        </w:numPr>
        <w:spacing w:after="80" w:before="0"/>
      </w:pPr>
      <w:r>
        <w:rPr>
          <w:rFonts w:ascii="Arial" w:cs="Arial" w:eastAsia="Arial" w:hAnsi="Arial"/>
          <w:sz w:val="20"/>
          <w:szCs w:val="20"/>
        </w:rPr>
        <w:t xml:space="preserve">HSA/FSA statement: Confirm the HSA/FSA note in Section 1 is accurate for the services the Practice provides.</w:t>
      </w:r>
    </w:p>
    <w:p>
      <w:pPr>
        <w:spacing w:after="0" w:before="240"/>
      </w:pPr>
      <w:r>
        <w:rPr>
          <w:rFonts w:ascii="Arial" w:cs="Arial" w:eastAsia="Arial" w:hAnsi="Arial"/>
          <w:i/>
          <w:iCs/>
          <w:color w:val="888888"/>
          <w:sz w:val="16"/>
          <w:szCs w:val="16"/>
        </w:rPr>
        <w:t xml:space="preserve">Generated by the womenkind-consent-generator skill. This is a starting draft only. Final documents must be reviewed by qualified healthcare counsel before use with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rFonts w:ascii="Arial" w:cs="Arial" w:eastAsia="Arial" w:hAnsi="Arial"/>
        <w:color w:val="888888"/>
        <w:sz w:val="16"/>
        <w:szCs w:val="16"/>
      </w:rPr>
      <w:t xml:space="preserve">DRAFT — NOT FOR PATIENT USE | Womenkind Financial Responsibility &amp; Payment Authorization | Utah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2026-04-21T03:14:54.233Z</dcterms:created>
  <dcterms:modified xsi:type="dcterms:W3CDTF">2026-04-21T03:14:54.234Z</dcterms:modified>
</cp:coreProperties>
</file>

<file path=docProps/custom.xml><?xml version="1.0" encoding="utf-8"?>
<Properties xmlns="http://schemas.openxmlformats.org/officeDocument/2006/custom-properties" xmlns:vt="http://schemas.openxmlformats.org/officeDocument/2006/docPropsVTypes"/>
</file>