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C00000"/>
          <w:sz w:val="28"/>
          <w:szCs w:val="28"/>
        </w:rPr>
        <w:t xml:space="preserve">DRAFT — NOT FOR PATIENT USE</w:t>
      </w:r>
    </w:p>
    <w:p>
      <w:pPr>
        <w:spacing w:after="240" w:before="0"/>
        <w:jc w:val="center"/>
      </w:pPr>
      <w:r>
        <w:rPr>
          <w:rFonts w:ascii="Arial" w:cs="Arial" w:eastAsia="Arial" w:hAnsi="Arial"/>
          <w:i/>
          <w:iCs/>
          <w:color w:val="444444"/>
          <w:sz w:val="18"/>
          <w:szCs w:val="18"/>
        </w:rPr>
        <w:t xml:space="preserve">Generated 2026-04-20 for attorney review. Do not present to patients until reviewed and approved by qualified healthcare counsel.</w:t>
      </w:r>
    </w:p>
    <w:p>
      <w:pPr>
        <w:spacing w:after="80" w:before="0"/>
        <w:jc w:val="center"/>
      </w:pPr>
      <w:r>
        <w:rPr>
          <w:rFonts w:ascii="Arial" w:cs="Arial" w:eastAsia="Arial" w:hAnsi="Arial"/>
          <w:b/>
          <w:bCs/>
          <w:sz w:val="32"/>
          <w:szCs w:val="32"/>
        </w:rPr>
        <w:t xml:space="preserve">GENERAL TELEHEALTH INFORMED CONSENT</w:t>
      </w:r>
    </w:p>
    <w:p>
      <w:pPr>
        <w:spacing w:after="80" w:before="0"/>
        <w:jc w:val="center"/>
      </w:pPr>
      <w:r>
        <w:rPr>
          <w:rFonts w:ascii="Arial" w:cs="Arial" w:eastAsia="Arial" w:hAnsi="Arial"/>
          <w:b/>
          <w:bCs/>
          <w:color w:val="0070C0"/>
          <w:sz w:val="22"/>
          <w:szCs w:val="22"/>
        </w:rPr>
        <w:t xml:space="preserve">[PC_LEGAL_NAME]</w:t>
      </w:r>
      <w:r>
        <w:rPr>
          <w:rFonts w:ascii="Arial" w:cs="Arial" w:eastAsia="Arial" w:hAnsi="Arial"/>
          <w:sz w:val="22"/>
          <w:szCs w:val="22"/>
        </w:rPr>
        <w:t xml:space="preserve"> (the "Practice")</w:t>
      </w:r>
    </w:p>
    <w:p>
      <w:pPr>
        <w:spacing w:after="240" w:before="0"/>
        <w:jc w:val="center"/>
      </w:pPr>
      <w:r>
        <w:rPr>
          <w:rFonts w:ascii="Arial" w:cs="Arial" w:eastAsia="Arial" w:hAnsi="Arial"/>
          <w:color w:val="444444"/>
          <w:sz w:val="20"/>
          <w:szCs w:val="20"/>
        </w:rPr>
        <w:t xml:space="preserve">State: Utah  |  Effective Date: </w:t>
      </w:r>
      <w:r>
        <w:rPr>
          <w:rFonts w:ascii="Arial" w:cs="Arial" w:eastAsia="Arial" w:hAnsi="Arial"/>
          <w:b/>
          <w:bCs/>
          <w:color w:val="0070C0"/>
          <w:sz w:val="22"/>
          <w:szCs w:val="22"/>
        </w:rPr>
        <w:t xml:space="preserve">[EFFECTIVE_DATE]</w:t>
      </w:r>
      <w:r>
        <w:rPr>
          <w:rFonts w:ascii="Arial" w:cs="Arial" w:eastAsia="Arial" w:hAnsi="Arial"/>
          <w:color w:val="444444"/>
          <w:sz w:val="20"/>
          <w:szCs w:val="20"/>
        </w:rPr>
        <w:t xml:space="preserve">  |  Version: </w:t>
      </w:r>
      <w:r>
        <w:rPr>
          <w:rFonts w:ascii="Arial" w:cs="Arial" w:eastAsia="Arial" w:hAnsi="Arial"/>
          <w:b/>
          <w:bCs/>
          <w:color w:val="0070C0"/>
          <w:sz w:val="22"/>
          <w:szCs w:val="22"/>
        </w:rPr>
        <w:t xml:space="preserve">[VERSION]</w:t>
      </w:r>
    </w:p>
    <w:p>
      <w:pPr>
        <w:pStyle w:val="Heading1"/>
        <w:spacing w:after="120" w:before="240"/>
      </w:pPr>
      <w:r>
        <w:rPr>
          <w:rFonts w:ascii="Arial" w:cs="Arial" w:eastAsia="Arial" w:hAnsi="Arial"/>
          <w:b/>
          <w:bCs/>
          <w:sz w:val="26"/>
          <w:szCs w:val="26"/>
        </w:rPr>
        <w:t xml:space="preserve">1. Introduction</w:t>
      </w:r>
    </w:p>
    <w:p>
      <w:pPr>
        <w:spacing w:after="120" w:before="0"/>
      </w:pPr>
      <w:r>
        <w:rPr>
          <w:rFonts w:ascii="Arial" w:cs="Arial" w:eastAsia="Arial" w:hAnsi="Arial"/>
          <w:sz w:val="22"/>
          <w:szCs w:val="22"/>
        </w:rPr>
        <w:t xml:space="preserve">This document explains how your care is provided through telehealth (care delivered over video, phone, or secure messaging). Please read it carefully before your first visit. Signing this form means you agree to receive care this way and that you understand how it works.</w:t>
      </w:r>
    </w:p>
    <w:p>
      <w:pPr>
        <w:pStyle w:val="Heading1"/>
        <w:spacing w:after="120" w:before="240"/>
      </w:pPr>
      <w:r>
        <w:rPr>
          <w:rFonts w:ascii="Arial" w:cs="Arial" w:eastAsia="Arial" w:hAnsi="Arial"/>
          <w:b/>
          <w:bCs/>
          <w:sz w:val="26"/>
          <w:szCs w:val="26"/>
        </w:rPr>
        <w:t xml:space="preserve">2. What Telehealth Is</w:t>
      </w:r>
    </w:p>
    <w:p>
      <w:pPr>
        <w:spacing w:after="120" w:before="0"/>
      </w:pPr>
      <w:r>
        <w:rPr>
          <w:rFonts w:ascii="Arial" w:cs="Arial" w:eastAsia="Arial" w:hAnsi="Arial"/>
          <w:sz w:val="22"/>
          <w:szCs w:val="22"/>
        </w:rPr>
        <w:t xml:space="preserve">Telehealth means your clinician can see, assess, and treat you using technology — no in-person office visit required. The Practice uses:</w:t>
      </w:r>
    </w:p>
    <w:p>
      <w:pPr>
        <w:pStyle w:val="ListParagraph"/>
        <w:numPr>
          <w:ilvl w:val="0"/>
          <w:numId w:val="2"/>
        </w:numPr>
        <w:spacing w:after="80" w:before="0"/>
      </w:pPr>
      <w:r>
        <w:rPr>
          <w:rFonts w:ascii="Arial" w:cs="Arial" w:eastAsia="Arial" w:hAnsi="Arial"/>
          <w:sz w:val="22"/>
          <w:szCs w:val="22"/>
        </w:rPr>
        <w:t xml:space="preserve">Live video visits (you and your clinician see and hear each other in real time)</w:t>
      </w:r>
    </w:p>
    <w:p>
      <w:pPr>
        <w:pStyle w:val="ListParagraph"/>
        <w:numPr>
          <w:ilvl w:val="0"/>
          <w:numId w:val="2"/>
        </w:numPr>
        <w:spacing w:after="80" w:before="0"/>
      </w:pPr>
      <w:r>
        <w:rPr>
          <w:rFonts w:ascii="Arial" w:cs="Arial" w:eastAsia="Arial" w:hAnsi="Arial"/>
          <w:sz w:val="22"/>
          <w:szCs w:val="22"/>
        </w:rPr>
        <w:t xml:space="preserve">Secure asynchronous messaging (you send a message; your clinician responds, usually within 1–2 business days)</w:t>
      </w:r>
    </w:p>
    <w:p>
      <w:pPr>
        <w:pStyle w:val="ListParagraph"/>
        <w:numPr>
          <w:ilvl w:val="0"/>
          <w:numId w:val="2"/>
        </w:numPr>
        <w:spacing w:after="80" w:before="0"/>
      </w:pPr>
      <w:r>
        <w:rPr>
          <w:rFonts w:ascii="Arial" w:cs="Arial" w:eastAsia="Arial" w:hAnsi="Arial"/>
          <w:sz w:val="22"/>
          <w:szCs w:val="22"/>
        </w:rPr>
        <w:t xml:space="preserve">E-prescribing (prescriptions sent electronically to your pharmacy)</w:t>
      </w:r>
    </w:p>
    <w:p>
      <w:pPr>
        <w:pStyle w:val="ListParagraph"/>
        <w:numPr>
          <w:ilvl w:val="0"/>
          <w:numId w:val="2"/>
        </w:numPr>
        <w:spacing w:after="80" w:before="0"/>
      </w:pPr>
      <w:r>
        <w:rPr>
          <w:rFonts w:ascii="Arial" w:cs="Arial" w:eastAsia="Arial" w:hAnsi="Arial"/>
          <w:sz w:val="22"/>
          <w:szCs w:val="22"/>
        </w:rPr>
        <w:t xml:space="preserve">Electronic record sharing (your records shared securely with other members of your care team when needed)</w:t>
      </w:r>
    </w:p>
    <w:p>
      <w:pPr>
        <w:pStyle w:val="Heading1"/>
        <w:spacing w:after="120" w:before="240"/>
      </w:pPr>
      <w:r>
        <w:rPr>
          <w:rFonts w:ascii="Arial" w:cs="Arial" w:eastAsia="Arial" w:hAnsi="Arial"/>
          <w:b/>
          <w:bCs/>
          <w:sz w:val="26"/>
          <w:szCs w:val="26"/>
        </w:rPr>
        <w:t xml:space="preserve">3. Who Is Providing Your Care</w:t>
      </w:r>
    </w:p>
    <w:p>
      <w:pPr>
        <w:spacing w:after="120" w:before="0"/>
      </w:pPr>
      <w:r>
        <w:rPr>
          <w:rFonts w:ascii="Arial" w:cs="Arial" w:eastAsia="Arial" w:hAnsi="Arial"/>
          <w:sz w:val="22"/>
          <w:szCs w:val="22"/>
        </w:rPr>
        <w:t xml:space="preserve">Your care is provided by physicians and licensed clinicians employed or contracted by </w:t>
      </w:r>
      <w:r>
        <w:rPr>
          <w:rFonts w:ascii="Arial" w:cs="Arial" w:eastAsia="Arial" w:hAnsi="Arial"/>
          <w:b/>
          <w:bCs/>
          <w:color w:val="0070C0"/>
          <w:sz w:val="22"/>
          <w:szCs w:val="22"/>
        </w:rPr>
        <w:t xml:space="preserve">[PC_LEGAL_NAME]</w:t>
      </w:r>
      <w:r>
        <w:rPr>
          <w:rFonts w:ascii="Arial" w:cs="Arial" w:eastAsia="Arial" w:hAnsi="Arial"/>
          <w:sz w:val="22"/>
          <w:szCs w:val="22"/>
        </w:rPr>
        <w:t xml:space="preserve"> (the Practice), a professional corporation licensed in Utah. Womenkind is the technology and care coordination platform — it handles scheduling, messaging, and your health record. Clinical decisions are made solely by the Practice's licensed clinicians.</w:t>
      </w:r>
    </w:p>
    <w:p>
      <w:pPr>
        <w:pStyle w:val="Heading1"/>
        <w:spacing w:after="120" w:before="240"/>
      </w:pPr>
      <w:r>
        <w:rPr>
          <w:rFonts w:ascii="Arial" w:cs="Arial" w:eastAsia="Arial" w:hAnsi="Arial"/>
          <w:b/>
          <w:bCs/>
          <w:sz w:val="26"/>
          <w:szCs w:val="26"/>
        </w:rPr>
        <w:t xml:space="preserve">4. Benefits of Telehealth</w:t>
      </w:r>
    </w:p>
    <w:p>
      <w:pPr>
        <w:pStyle w:val="ListParagraph"/>
        <w:numPr>
          <w:ilvl w:val="0"/>
          <w:numId w:val="2"/>
        </w:numPr>
        <w:spacing w:after="80" w:before="0"/>
      </w:pPr>
      <w:r>
        <w:rPr>
          <w:rFonts w:ascii="Arial" w:cs="Arial" w:eastAsia="Arial" w:hAnsi="Arial"/>
          <w:sz w:val="22"/>
          <w:szCs w:val="22"/>
        </w:rPr>
        <w:t xml:space="preserve">Receive care from home — no travel, no waiting room</w:t>
      </w:r>
    </w:p>
    <w:p>
      <w:pPr>
        <w:pStyle w:val="ListParagraph"/>
        <w:numPr>
          <w:ilvl w:val="0"/>
          <w:numId w:val="2"/>
        </w:numPr>
        <w:spacing w:after="80" w:before="0"/>
      </w:pPr>
      <w:r>
        <w:rPr>
          <w:rFonts w:ascii="Arial" w:cs="Arial" w:eastAsia="Arial" w:hAnsi="Arial"/>
          <w:sz w:val="22"/>
          <w:szCs w:val="22"/>
        </w:rPr>
        <w:t xml:space="preserve">Access specialized midlife women's care that may not be available locally</w:t>
      </w:r>
    </w:p>
    <w:p>
      <w:pPr>
        <w:pStyle w:val="ListParagraph"/>
        <w:numPr>
          <w:ilvl w:val="0"/>
          <w:numId w:val="2"/>
        </w:numPr>
        <w:spacing w:after="80" w:before="0"/>
      </w:pPr>
      <w:r>
        <w:rPr>
          <w:rFonts w:ascii="Arial" w:cs="Arial" w:eastAsia="Arial" w:hAnsi="Arial"/>
          <w:sz w:val="22"/>
          <w:szCs w:val="22"/>
        </w:rPr>
        <w:t xml:space="preserve">Stay connected with your care team through secure messaging between visits</w:t>
      </w:r>
    </w:p>
    <w:p>
      <w:pPr>
        <w:pStyle w:val="ListParagraph"/>
        <w:numPr>
          <w:ilvl w:val="0"/>
          <w:numId w:val="2"/>
        </w:numPr>
        <w:spacing w:after="80" w:before="0"/>
      </w:pPr>
      <w:r>
        <w:rPr>
          <w:rFonts w:ascii="Arial" w:cs="Arial" w:eastAsia="Arial" w:hAnsi="Arial"/>
          <w:sz w:val="22"/>
          <w:szCs w:val="22"/>
        </w:rPr>
        <w:t xml:space="preserve">Faster scheduling than most in-person specialty practices</w:t>
      </w:r>
    </w:p>
    <w:p>
      <w:pPr>
        <w:pStyle w:val="Heading1"/>
        <w:spacing w:after="120" w:before="240"/>
      </w:pPr>
      <w:r>
        <w:rPr>
          <w:rFonts w:ascii="Arial" w:cs="Arial" w:eastAsia="Arial" w:hAnsi="Arial"/>
          <w:b/>
          <w:bCs/>
          <w:sz w:val="26"/>
          <w:szCs w:val="26"/>
        </w:rPr>
        <w:t xml:space="preserve">5. Risks and Limitations</w:t>
      </w:r>
    </w:p>
    <w:p>
      <w:pPr>
        <w:spacing w:after="120" w:before="0"/>
      </w:pPr>
      <w:r>
        <w:rPr>
          <w:rFonts w:ascii="Arial" w:cs="Arial" w:eastAsia="Arial" w:hAnsi="Arial"/>
          <w:sz w:val="22"/>
          <w:szCs w:val="22"/>
        </w:rPr>
        <w:t xml:space="preserve">Telehealth is not right for every situation. You should know:</w:t>
      </w:r>
    </w:p>
    <w:p>
      <w:pPr>
        <w:pStyle w:val="ListParagraph"/>
        <w:numPr>
          <w:ilvl w:val="0"/>
          <w:numId w:val="2"/>
        </w:numPr>
        <w:spacing w:after="80" w:before="0"/>
      </w:pPr>
      <w:r>
        <w:rPr>
          <w:rFonts w:ascii="Arial" w:cs="Arial" w:eastAsia="Arial" w:hAnsi="Arial"/>
          <w:sz w:val="22"/>
          <w:szCs w:val="22"/>
        </w:rPr>
        <w:t xml:space="preserve">Telehealth is NOT a substitute for emergency care. If you are having a medical emergency, call 911 or go to your nearest emergency room immediately.</w:t>
      </w:r>
    </w:p>
    <w:p>
      <w:pPr>
        <w:pStyle w:val="ListParagraph"/>
        <w:numPr>
          <w:ilvl w:val="0"/>
          <w:numId w:val="2"/>
        </w:numPr>
        <w:spacing w:after="80" w:before="0"/>
      </w:pPr>
      <w:r>
        <w:rPr>
          <w:rFonts w:ascii="Arial" w:cs="Arial" w:eastAsia="Arial" w:hAnsi="Arial"/>
          <w:sz w:val="22"/>
          <w:szCs w:val="22"/>
        </w:rPr>
        <w:t xml:space="preserve">Some conditions cannot be fully evaluated without an in-person exam, lab work, or imaging. Your clinician will tell you if in-person care is needed.</w:t>
      </w:r>
    </w:p>
    <w:p>
      <w:pPr>
        <w:pStyle w:val="ListParagraph"/>
        <w:numPr>
          <w:ilvl w:val="0"/>
          <w:numId w:val="2"/>
        </w:numPr>
        <w:spacing w:after="80" w:before="0"/>
      </w:pPr>
      <w:r>
        <w:rPr>
          <w:rFonts w:ascii="Arial" w:cs="Arial" w:eastAsia="Arial" w:hAnsi="Arial"/>
          <w:sz w:val="22"/>
          <w:szCs w:val="22"/>
        </w:rPr>
        <w:t xml:space="preserve">Technology can fail — internet outages, video freezes, audio dropouts. If this happens, your clinician's team will contact you to reschedule or switch to a phone call.</w:t>
      </w:r>
    </w:p>
    <w:p>
      <w:pPr>
        <w:pStyle w:val="ListParagraph"/>
        <w:numPr>
          <w:ilvl w:val="0"/>
          <w:numId w:val="2"/>
        </w:numPr>
        <w:spacing w:after="80" w:before="0"/>
      </w:pPr>
      <w:r>
        <w:rPr>
          <w:rFonts w:ascii="Arial" w:cs="Arial" w:eastAsia="Arial" w:hAnsi="Arial"/>
          <w:sz w:val="22"/>
          <w:szCs w:val="22"/>
        </w:rPr>
        <w:t xml:space="preserve">Electronic communications are encrypted, but no technology is 100% secure. There is a small risk that information could be accessed by an unauthorized person.</w:t>
      </w:r>
    </w:p>
    <w:p>
      <w:pPr>
        <w:pStyle w:val="ListParagraph"/>
        <w:numPr>
          <w:ilvl w:val="0"/>
          <w:numId w:val="2"/>
        </w:numPr>
        <w:spacing w:after="80" w:before="0"/>
      </w:pPr>
      <w:r>
        <w:rPr>
          <w:rFonts w:ascii="Arial" w:cs="Arial" w:eastAsia="Arial" w:hAnsi="Arial"/>
          <w:sz w:val="22"/>
          <w:szCs w:val="22"/>
        </w:rPr>
        <w:t xml:space="preserve">Messages you send through the platform become part of your medical record.</w:t>
      </w:r>
    </w:p>
    <w:p>
      <w:pPr>
        <w:pStyle w:val="Heading1"/>
        <w:spacing w:after="120" w:before="240"/>
      </w:pPr>
      <w:r>
        <w:rPr>
          <w:rFonts w:ascii="Arial" w:cs="Arial" w:eastAsia="Arial" w:hAnsi="Arial"/>
          <w:b/>
          <w:bCs/>
          <w:sz w:val="26"/>
          <w:szCs w:val="26"/>
        </w:rPr>
        <w:t xml:space="preserve">6. Privacy and Security</w:t>
      </w:r>
    </w:p>
    <w:p>
      <w:pPr>
        <w:pStyle w:val="ListParagraph"/>
        <w:numPr>
          <w:ilvl w:val="0"/>
          <w:numId w:val="2"/>
        </w:numPr>
        <w:spacing w:after="80" w:before="0"/>
      </w:pPr>
      <w:r>
        <w:rPr>
          <w:rFonts w:ascii="Arial" w:cs="Arial" w:eastAsia="Arial" w:hAnsi="Arial"/>
          <w:sz w:val="22"/>
          <w:szCs w:val="22"/>
        </w:rPr>
        <w:t xml:space="preserve">All telehealth visits occur on HIPAA-compliant platforms.</w:t>
      </w:r>
    </w:p>
    <w:p>
      <w:pPr>
        <w:pStyle w:val="ListParagraph"/>
        <w:numPr>
          <w:ilvl w:val="0"/>
          <w:numId w:val="2"/>
        </w:numPr>
        <w:spacing w:after="80" w:before="0"/>
      </w:pPr>
      <w:r>
        <w:rPr>
          <w:rFonts w:ascii="Arial" w:cs="Arial" w:eastAsia="Arial" w:hAnsi="Arial"/>
          <w:sz w:val="22"/>
          <w:szCs w:val="22"/>
        </w:rPr>
        <w:t xml:space="preserve">Your full Notice of Privacy Practices (NPP) — which explains in detail how your health information is used and protected — is provided separately. By signing this consent, you confirm you have received the NPP.</w:t>
      </w:r>
    </w:p>
    <w:p>
      <w:pPr>
        <w:pStyle w:val="ListParagraph"/>
        <w:numPr>
          <w:ilvl w:val="0"/>
          <w:numId w:val="2"/>
        </w:numPr>
        <w:spacing w:after="80" w:before="0"/>
      </w:pPr>
      <w:r>
        <w:rPr>
          <w:rFonts w:ascii="Arial" w:cs="Arial" w:eastAsia="Arial" w:hAnsi="Arial"/>
          <w:sz w:val="22"/>
          <w:szCs w:val="22"/>
        </w:rPr>
        <w:t xml:space="preserve">Visits are not recorded without your separate written authorization.</w:t>
      </w:r>
    </w:p>
    <w:p>
      <w:pPr>
        <w:pStyle w:val="Heading1"/>
        <w:spacing w:after="120" w:before="240"/>
      </w:pPr>
      <w:r>
        <w:rPr>
          <w:rFonts w:ascii="Arial" w:cs="Arial" w:eastAsia="Arial" w:hAnsi="Arial"/>
          <w:b/>
          <w:bCs/>
          <w:sz w:val="26"/>
          <w:szCs w:val="26"/>
        </w:rPr>
        <w:t xml:space="preserve">7. Emergency Protocol</w:t>
      </w:r>
    </w:p>
    <w:p>
      <w:pPr>
        <w:spacing w:after="120" w:before="0"/>
      </w:pPr>
      <w:r>
        <w:rPr>
          <w:rFonts w:ascii="Arial" w:cs="Arial" w:eastAsia="Arial" w:hAnsi="Arial"/>
          <w:sz w:val="22"/>
          <w:szCs w:val="22"/>
        </w:rPr>
        <w:t xml:space="preserve">Utah law and good clinical practice require the following:</w:t>
      </w:r>
    </w:p>
    <w:p>
      <w:pPr>
        <w:pStyle w:val="ListParagraph"/>
        <w:numPr>
          <w:ilvl w:val="0"/>
          <w:numId w:val="2"/>
        </w:numPr>
        <w:spacing w:after="80" w:before="0"/>
      </w:pPr>
      <w:r>
        <w:rPr>
          <w:rFonts w:ascii="Arial" w:cs="Arial" w:eastAsia="Arial" w:hAnsi="Arial"/>
          <w:sz w:val="22"/>
          <w:szCs w:val="22"/>
        </w:rPr>
        <w:t xml:space="preserve">At the start of each video visit, you will be asked to confirm your current physical location. This allows your clinician to contact emergency services on your behalf if needed.</w:t>
      </w:r>
    </w:p>
    <w:p>
      <w:pPr>
        <w:pStyle w:val="ListParagraph"/>
        <w:numPr>
          <w:ilvl w:val="0"/>
          <w:numId w:val="2"/>
        </w:numPr>
        <w:spacing w:after="80" w:before="0"/>
      </w:pPr>
      <w:r>
        <w:rPr>
          <w:rFonts w:ascii="Arial" w:cs="Arial" w:eastAsia="Arial" w:hAnsi="Arial"/>
          <w:sz w:val="22"/>
          <w:szCs w:val="22"/>
        </w:rPr>
        <w:t xml:space="preserve">Please provide the name and contact information of a local emergency contact and your primary care provider (if you have one) during intake.</w:t>
      </w:r>
    </w:p>
    <w:p>
      <w:pPr>
        <w:pStyle w:val="ListParagraph"/>
        <w:numPr>
          <w:ilvl w:val="0"/>
          <w:numId w:val="2"/>
        </w:numPr>
        <w:spacing w:after="80" w:before="0"/>
      </w:pPr>
      <w:r>
        <w:rPr>
          <w:rFonts w:ascii="Arial" w:cs="Arial" w:eastAsia="Arial" w:hAnsi="Arial"/>
          <w:sz w:val="22"/>
          <w:szCs w:val="22"/>
        </w:rPr>
        <w:t xml:space="preserve">If your clinician determines that in-person care is needed, they will provide a referral or recommendation for the appropriate local provider or facility.</w:t>
      </w:r>
    </w:p>
    <w:p>
      <w:pPr>
        <w:pStyle w:val="Heading1"/>
        <w:spacing w:after="120" w:before="240"/>
      </w:pPr>
      <w:r>
        <w:rPr>
          <w:rFonts w:ascii="Arial" w:cs="Arial" w:eastAsia="Arial" w:hAnsi="Arial"/>
          <w:b/>
          <w:bCs/>
          <w:sz w:val="26"/>
          <w:szCs w:val="26"/>
        </w:rPr>
        <w:t xml:space="preserve">8. Your Right to Alternatives</w:t>
      </w:r>
    </w:p>
    <w:p>
      <w:pPr>
        <w:pStyle w:val="ListParagraph"/>
        <w:numPr>
          <w:ilvl w:val="0"/>
          <w:numId w:val="2"/>
        </w:numPr>
        <w:spacing w:after="80" w:before="0"/>
      </w:pPr>
      <w:r>
        <w:rPr>
          <w:rFonts w:ascii="Arial" w:cs="Arial" w:eastAsia="Arial" w:hAnsi="Arial"/>
          <w:sz w:val="22"/>
          <w:szCs w:val="22"/>
        </w:rPr>
        <w:t xml:space="preserve">You may request in-person care instead of telehealth at any time. If the Practice cannot provide in-person care directly, your clinician will assist with a referral.</w:t>
      </w:r>
    </w:p>
    <w:p>
      <w:pPr>
        <w:pStyle w:val="ListParagraph"/>
        <w:numPr>
          <w:ilvl w:val="0"/>
          <w:numId w:val="2"/>
        </w:numPr>
        <w:spacing w:after="80" w:before="0"/>
      </w:pPr>
      <w:r>
        <w:rPr>
          <w:rFonts w:ascii="Arial" w:cs="Arial" w:eastAsia="Arial" w:hAnsi="Arial"/>
          <w:sz w:val="22"/>
          <w:szCs w:val="22"/>
        </w:rPr>
        <w:t xml:space="preserve">You may withdraw this consent at any time, in writing, without affecting your eligibility for future care.</w:t>
      </w:r>
    </w:p>
    <w:p>
      <w:pPr>
        <w:pStyle w:val="Heading1"/>
        <w:spacing w:after="120" w:before="240"/>
      </w:pPr>
      <w:r>
        <w:rPr>
          <w:rFonts w:ascii="Arial" w:cs="Arial" w:eastAsia="Arial" w:hAnsi="Arial"/>
          <w:b/>
          <w:bCs/>
          <w:sz w:val="26"/>
          <w:szCs w:val="26"/>
        </w:rPr>
        <w:t xml:space="preserve">9. Prescribing</w:t>
      </w:r>
    </w:p>
    <w:p>
      <w:pPr>
        <w:spacing w:after="120" w:before="0"/>
      </w:pPr>
      <w:r>
        <w:rPr>
          <w:rFonts w:ascii="Arial" w:cs="Arial" w:eastAsia="Arial" w:hAnsi="Arial"/>
          <w:sz w:val="22"/>
          <w:szCs w:val="22"/>
        </w:rPr>
        <w:t xml:space="preserve">When your clinician prescribes a medication, prescriptions are sent electronically to the pharmacy you choose. You should know:</w:t>
      </w:r>
    </w:p>
    <w:p>
      <w:pPr>
        <w:pStyle w:val="ListParagraph"/>
        <w:numPr>
          <w:ilvl w:val="0"/>
          <w:numId w:val="2"/>
        </w:numPr>
        <w:spacing w:after="80" w:before="0"/>
      </w:pPr>
      <w:r>
        <w:rPr>
          <w:rFonts w:ascii="Arial" w:cs="Arial" w:eastAsia="Arial" w:hAnsi="Arial"/>
          <w:sz w:val="22"/>
          <w:szCs w:val="22"/>
        </w:rPr>
        <w:t xml:space="preserve">Prescribing follows your clinician's medical judgment and all applicable Utah and federal law.</w:t>
      </w:r>
    </w:p>
    <w:p>
      <w:pPr>
        <w:pStyle w:val="ListParagraph"/>
        <w:numPr>
          <w:ilvl w:val="0"/>
          <w:numId w:val="2"/>
        </w:numPr>
        <w:spacing w:after="80" w:before="0"/>
      </w:pPr>
      <w:r>
        <w:rPr>
          <w:rFonts w:ascii="Arial" w:cs="Arial" w:eastAsia="Arial" w:hAnsi="Arial"/>
          <w:sz w:val="22"/>
          <w:szCs w:val="22"/>
        </w:rPr>
        <w:t xml:space="preserve">Controlled substances (such as certain anxiety or sleep medications) may be subject to additional state and federal requirements, including Utah's Prescription Monitoring Program (PMP).</w:t>
      </w:r>
    </w:p>
    <w:p>
      <w:pPr>
        <w:pStyle w:val="ListParagraph"/>
        <w:numPr>
          <w:ilvl w:val="0"/>
          <w:numId w:val="2"/>
        </w:numPr>
        <w:spacing w:after="80" w:before="0"/>
      </w:pPr>
      <w:r>
        <w:rPr>
          <w:rFonts w:ascii="Arial" w:cs="Arial" w:eastAsia="Arial" w:hAnsi="Arial"/>
          <w:sz w:val="22"/>
          <w:szCs w:val="22"/>
        </w:rPr>
        <w:t xml:space="preserve">You are responsible for filling prescriptions at a pharmacy of your choice. The Practice uses DoseSpot to send prescriptions electronically.</w:t>
      </w:r>
    </w:p>
    <w:p>
      <w:pPr>
        <w:pStyle w:val="Heading1"/>
        <w:spacing w:after="120" w:before="240"/>
      </w:pPr>
      <w:r>
        <w:rPr>
          <w:rFonts w:ascii="Arial" w:cs="Arial" w:eastAsia="Arial" w:hAnsi="Arial"/>
          <w:b/>
          <w:bCs/>
          <w:sz w:val="26"/>
          <w:szCs w:val="26"/>
        </w:rPr>
        <w:t xml:space="preserve">10. State-Specific Disclosures (Utah)</w:t>
      </w:r>
    </w:p>
    <w:p>
      <w:pPr>
        <w:shd w:fill="FFF2CC" w:val="clear"/>
        <w:spacing w:after="120" w:before="120"/>
      </w:pPr>
      <w:r>
        <w:rPr>
          <w:rFonts w:ascii="Arial" w:cs="Arial" w:eastAsia="Arial" w:hAnsi="Arial"/>
          <w:b/>
          <w:bCs/>
          <w:color w:val="7F6000"/>
          <w:sz w:val="20"/>
          <w:szCs w:val="20"/>
        </w:rPr>
        <w:t xml:space="preserve">[VERBATIM — DO NOT EDIT] </w:t>
      </w:r>
      <w:r>
        <w:rPr>
          <w:rFonts w:ascii="Arial" w:cs="Arial" w:eastAsia="Arial" w:hAnsi="Arial"/>
          <w:i/>
          <w:iCs/>
          <w:sz w:val="20"/>
          <w:szCs w:val="20"/>
        </w:rPr>
        <w:t xml:space="preserve">[STATE-SPECIFIC LANGUAGE — Utah Code Ann. § 26B-4-601 et seq. (Telehealth) and applicable Utah Division of Professional Licensing rules. Counsel must insert any verbatim statutory language required for a valid Utah telehealth informed consent. See attorney review block below.]</w:t>
      </w:r>
    </w:p>
    <w:p>
      <w:pPr>
        <w:pStyle w:val="Heading1"/>
        <w:spacing w:after="120" w:before="240"/>
      </w:pPr>
      <w:r>
        <w:rPr>
          <w:rFonts w:ascii="Arial" w:cs="Arial" w:eastAsia="Arial" w:hAnsi="Arial"/>
          <w:b/>
          <w:bCs/>
          <w:sz w:val="26"/>
          <w:szCs w:val="26"/>
        </w:rPr>
        <w:t xml:space="preserve">11. Your Acknowledgment</w:t>
      </w:r>
    </w:p>
    <w:p>
      <w:pPr>
        <w:spacing w:after="120" w:before="0"/>
      </w:pPr>
      <w:r>
        <w:rPr>
          <w:rFonts w:ascii="Arial" w:cs="Arial" w:eastAsia="Arial" w:hAnsi="Arial"/>
          <w:sz w:val="22"/>
          <w:szCs w:val="22"/>
        </w:rPr>
        <w:t xml:space="preserve">By signing below, you confirm that you:</w:t>
      </w:r>
    </w:p>
    <w:p>
      <w:pPr>
        <w:pStyle w:val="ListParagraph"/>
        <w:numPr>
          <w:ilvl w:val="0"/>
          <w:numId w:val="2"/>
        </w:numPr>
        <w:spacing w:after="80" w:before="0"/>
      </w:pPr>
      <w:r>
        <w:rPr>
          <w:rFonts w:ascii="Arial" w:cs="Arial" w:eastAsia="Arial" w:hAnsi="Arial"/>
          <w:sz w:val="22"/>
          <w:szCs w:val="22"/>
        </w:rPr>
        <w:t xml:space="preserve">Have read and understood this document</w:t>
      </w:r>
    </w:p>
    <w:p>
      <w:pPr>
        <w:pStyle w:val="ListParagraph"/>
        <w:numPr>
          <w:ilvl w:val="0"/>
          <w:numId w:val="2"/>
        </w:numPr>
        <w:spacing w:after="80" w:before="0"/>
      </w:pPr>
      <w:r>
        <w:rPr>
          <w:rFonts w:ascii="Arial" w:cs="Arial" w:eastAsia="Arial" w:hAnsi="Arial"/>
          <w:sz w:val="22"/>
          <w:szCs w:val="22"/>
        </w:rPr>
        <w:t xml:space="preserve">Had the opportunity to ask questions, and any questions were answered to your satisfaction</w:t>
      </w:r>
    </w:p>
    <w:p>
      <w:pPr>
        <w:pStyle w:val="ListParagraph"/>
        <w:numPr>
          <w:ilvl w:val="0"/>
          <w:numId w:val="2"/>
        </w:numPr>
        <w:spacing w:after="80" w:before="0"/>
      </w:pPr>
      <w:r>
        <w:rPr>
          <w:rFonts w:ascii="Arial" w:cs="Arial" w:eastAsia="Arial" w:hAnsi="Arial"/>
          <w:sz w:val="22"/>
          <w:szCs w:val="22"/>
        </w:rPr>
        <w:t xml:space="preserve">Voluntarily consent to receive care through telehealth from the Practice</w:t>
      </w:r>
    </w:p>
    <w:p>
      <w:pPr>
        <w:pStyle w:val="ListParagraph"/>
        <w:numPr>
          <w:ilvl w:val="0"/>
          <w:numId w:val="2"/>
        </w:numPr>
        <w:spacing w:after="80" w:before="0"/>
      </w:pPr>
      <w:r>
        <w:rPr>
          <w:rFonts w:ascii="Arial" w:cs="Arial" w:eastAsia="Arial" w:hAnsi="Arial"/>
          <w:sz w:val="22"/>
          <w:szCs w:val="22"/>
        </w:rPr>
        <w:t xml:space="preserve">Understand you may withdraw this consent in writing at any time</w:t>
      </w:r>
    </w:p>
    <w:p>
      <w:pPr>
        <w:pStyle w:val="ListParagraph"/>
        <w:numPr>
          <w:ilvl w:val="0"/>
          <w:numId w:val="2"/>
        </w:numPr>
        <w:spacing w:after="80" w:before="0"/>
      </w:pPr>
      <w:r>
        <w:rPr>
          <w:rFonts w:ascii="Arial" w:cs="Arial" w:eastAsia="Arial" w:hAnsi="Arial"/>
          <w:sz w:val="22"/>
          <w:szCs w:val="22"/>
        </w:rPr>
        <w:t xml:space="preserve">Are at least 18 years of age, or are the legal representative of the patient named below</w:t>
      </w:r>
    </w:p>
    <w:p>
      <w:pPr>
        <w:pBdr>
          <w:bottom w:val="single" w:color="AAAAAA" w:sz="4"/>
        </w:pBdr>
        <w:spacing w:after="240" w:before="240"/>
      </w:pPr>
    </w:p>
    <w:p>
      <w:pPr>
        <w:pStyle w:val="Heading1"/>
        <w:spacing w:after="120" w:before="240"/>
      </w:pPr>
      <w:r>
        <w:rPr>
          <w:rFonts w:ascii="Arial" w:cs="Arial" w:eastAsia="Arial" w:hAnsi="Arial"/>
          <w:b/>
          <w:bCs/>
          <w:sz w:val="26"/>
          <w:szCs w:val="26"/>
        </w:rPr>
        <w:t xml:space="preserve">12. Signature</w:t>
      </w:r>
    </w:p>
    <w:p>
      <w:pPr>
        <w:spacing w:after="80" w:before="120"/>
      </w:pPr>
      <w:r>
        <w:rPr>
          <w:rFonts w:ascii="Arial" w:cs="Arial" w:eastAsia="Arial" w:hAnsi="Arial"/>
          <w:b/>
          <w:bCs/>
          <w:sz w:val="22"/>
          <w:szCs w:val="22"/>
        </w:rPr>
        <w:t xml:space="preserve">Patient</w:t>
      </w:r>
    </w:p>
    <w:p>
      <w:pPr>
        <w:spacing w:after="120" w:before="120"/>
      </w:pPr>
      <w:r>
        <w:rPr>
          <w:rFonts w:ascii="Arial" w:cs="Arial" w:eastAsia="Arial" w:hAnsi="Arial"/>
          <w:b/>
          <w:bCs/>
          <w:sz w:val="22"/>
          <w:szCs w:val="22"/>
        </w:rPr>
        <w:t xml:space="preserve">Printed name: </w:t>
      </w:r>
      <w:r>
        <w:rPr>
          <w:rFonts w:ascii="Arial" w:cs="Arial" w:eastAsia="Arial" w:hAnsi="Arial"/>
          <w:sz w:val="22"/>
          <w:szCs w:val="22"/>
        </w:rPr>
        <w:t xml:space="preserve">_______________________________________________</w:t>
      </w:r>
    </w:p>
    <w:p>
      <w:pPr>
        <w:spacing w:after="120" w:before="120"/>
      </w:pPr>
      <w:r>
        <w:rPr>
          <w:rFonts w:ascii="Arial" w:cs="Arial" w:eastAsia="Arial" w:hAnsi="Arial"/>
          <w:b/>
          <w:bCs/>
          <w:sz w:val="22"/>
          <w:szCs w:val="22"/>
        </w:rPr>
        <w:t xml:space="preserve">Signature / E-signature: </w:t>
      </w:r>
      <w:r>
        <w:rPr>
          <w:rFonts w:ascii="Arial" w:cs="Arial" w:eastAsia="Arial" w:hAnsi="Arial"/>
          <w:sz w:val="22"/>
          <w:szCs w:val="22"/>
        </w:rPr>
        <w:t xml:space="preserve">_______________________________________________</w:t>
      </w:r>
    </w:p>
    <w:p>
      <w:pPr>
        <w:spacing w:after="120" w:before="120"/>
      </w:pPr>
      <w:r>
        <w:rPr>
          <w:rFonts w:ascii="Arial" w:cs="Arial" w:eastAsia="Arial" w:hAnsi="Arial"/>
          <w:b/>
          <w:bCs/>
          <w:sz w:val="22"/>
          <w:szCs w:val="22"/>
        </w:rPr>
        <w:t xml:space="preserve">Date: </w:t>
      </w:r>
      <w:r>
        <w:rPr>
          <w:rFonts w:ascii="Arial" w:cs="Arial" w:eastAsia="Arial" w:hAnsi="Arial"/>
          <w:sz w:val="22"/>
          <w:szCs w:val="22"/>
        </w:rPr>
        <w:t xml:space="preserve">_______________________________________________</w:t>
      </w:r>
    </w:p>
    <w:p>
      <w:pPr>
        <w:spacing w:after="80" w:before="240"/>
      </w:pPr>
      <w:r>
        <w:rPr>
          <w:rFonts w:ascii="Arial" w:cs="Arial" w:eastAsia="Arial" w:hAnsi="Arial"/>
          <w:b/>
          <w:bCs/>
          <w:sz w:val="22"/>
          <w:szCs w:val="22"/>
        </w:rPr>
        <w:t xml:space="preserve">Legal Representative (if applicable)</w:t>
      </w:r>
    </w:p>
    <w:p>
      <w:pPr>
        <w:spacing w:after="120" w:before="120"/>
      </w:pPr>
      <w:r>
        <w:rPr>
          <w:rFonts w:ascii="Arial" w:cs="Arial" w:eastAsia="Arial" w:hAnsi="Arial"/>
          <w:b/>
          <w:bCs/>
          <w:sz w:val="22"/>
          <w:szCs w:val="22"/>
        </w:rPr>
        <w:t xml:space="preserve">Printed name: </w:t>
      </w:r>
      <w:r>
        <w:rPr>
          <w:rFonts w:ascii="Arial" w:cs="Arial" w:eastAsia="Arial" w:hAnsi="Arial"/>
          <w:sz w:val="22"/>
          <w:szCs w:val="22"/>
        </w:rPr>
        <w:t xml:space="preserve">_______________________________________________</w:t>
      </w:r>
    </w:p>
    <w:p>
      <w:pPr>
        <w:spacing w:after="120" w:before="120"/>
      </w:pPr>
      <w:r>
        <w:rPr>
          <w:rFonts w:ascii="Arial" w:cs="Arial" w:eastAsia="Arial" w:hAnsi="Arial"/>
          <w:b/>
          <w:bCs/>
          <w:sz w:val="22"/>
          <w:szCs w:val="22"/>
        </w:rPr>
        <w:t xml:space="preserve">Relationship to patient: </w:t>
      </w:r>
      <w:r>
        <w:rPr>
          <w:rFonts w:ascii="Arial" w:cs="Arial" w:eastAsia="Arial" w:hAnsi="Arial"/>
          <w:sz w:val="22"/>
          <w:szCs w:val="22"/>
        </w:rPr>
        <w:t xml:space="preserve">_______________________________________________</w:t>
      </w:r>
    </w:p>
    <w:p>
      <w:pPr>
        <w:spacing w:after="120" w:before="120"/>
      </w:pPr>
      <w:r>
        <w:rPr>
          <w:rFonts w:ascii="Arial" w:cs="Arial" w:eastAsia="Arial" w:hAnsi="Arial"/>
          <w:b/>
          <w:bCs/>
          <w:sz w:val="22"/>
          <w:szCs w:val="22"/>
        </w:rPr>
        <w:t xml:space="preserve">Signature: </w:t>
      </w:r>
      <w:r>
        <w:rPr>
          <w:rFonts w:ascii="Arial" w:cs="Arial" w:eastAsia="Arial" w:hAnsi="Arial"/>
          <w:sz w:val="22"/>
          <w:szCs w:val="22"/>
        </w:rPr>
        <w:t xml:space="preserve">_______________________________________________</w:t>
      </w:r>
    </w:p>
    <w:p>
      <w:pPr>
        <w:spacing w:after="120" w:before="120"/>
      </w:pPr>
      <w:r>
        <w:rPr>
          <w:rFonts w:ascii="Arial" w:cs="Arial" w:eastAsia="Arial" w:hAnsi="Arial"/>
          <w:b/>
          <w:bCs/>
          <w:sz w:val="22"/>
          <w:szCs w:val="22"/>
        </w:rPr>
        <w:t xml:space="preserve">Date: </w:t>
      </w:r>
      <w:r>
        <w:rPr>
          <w:rFonts w:ascii="Arial" w:cs="Arial" w:eastAsia="Arial" w:hAnsi="Arial"/>
          <w:sz w:val="22"/>
          <w:szCs w:val="22"/>
        </w:rPr>
        <w:t xml:space="preserve">_______________________________________________</w:t>
      </w:r>
    </w:p>
    <w:p>
      <w:pPr>
        <w:pBdr>
          <w:bottom w:val="single" w:color="AAAAAA" w:sz="4"/>
        </w:pBdr>
        <w:spacing w:after="240" w:before="240"/>
      </w:pPr>
    </w:p>
    <w:p>
      <w:pPr>
        <w:pBdr>
          <w:top w:val="single" w:color="C00000" w:sz="6"/>
        </w:pBdr>
        <w:spacing w:after="120" w:before="360"/>
      </w:pPr>
      <w:r>
        <w:rPr>
          <w:rFonts w:ascii="Arial" w:cs="Arial" w:eastAsia="Arial" w:hAnsi="Arial"/>
          <w:b/>
          <w:bCs/>
          <w:color w:val="C00000"/>
          <w:sz w:val="24"/>
          <w:szCs w:val="24"/>
        </w:rPr>
        <w:t xml:space="preserve">[ATTORNEY REVIEW REQUIRED]</w:t>
      </w:r>
    </w:p>
    <w:p>
      <w:pPr>
        <w:spacing w:after="120" w:before="120"/>
      </w:pPr>
      <w:r>
        <w:rPr>
          <w:rFonts w:ascii="Arial" w:cs="Arial" w:eastAsia="Arial" w:hAnsi="Arial"/>
          <w:sz w:val="20"/>
          <w:szCs w:val="20"/>
        </w:rPr>
        <w:t xml:space="preserve">The following items must be confirmed by qualified healthcare counsel before this document is used with patients:</w:t>
      </w:r>
    </w:p>
    <w:p>
      <w:pPr>
        <w:pStyle w:val="ListParagraph"/>
        <w:numPr>
          <w:ilvl w:val="0"/>
          <w:numId w:val="3"/>
        </w:numPr>
        <w:spacing w:after="80" w:before="0"/>
      </w:pPr>
      <w:r>
        <w:rPr>
          <w:rFonts w:ascii="Arial" w:cs="Arial" w:eastAsia="Arial" w:hAnsi="Arial"/>
          <w:sz w:val="20"/>
          <w:szCs w:val="20"/>
        </w:rPr>
        <w:t xml:space="preserve">Entity naming: Confirm [PC_LEGAL_NAME] is the correct legal name of the professional corporation and that consent runs to the PC (not to Womenkind / the MSO). Reference the Frier Levitt regulatory memo on the MSO/PC structure.</w:t>
      </w:r>
    </w:p>
    <w:p>
      <w:pPr>
        <w:pStyle w:val="ListParagraph"/>
        <w:numPr>
          <w:ilvl w:val="0"/>
          <w:numId w:val="3"/>
        </w:numPr>
        <w:spacing w:after="80" w:before="0"/>
      </w:pPr>
      <w:r>
        <w:rPr>
          <w:rFonts w:ascii="Arial" w:cs="Arial" w:eastAsia="Arial" w:hAnsi="Arial"/>
          <w:sz w:val="20"/>
          <w:szCs w:val="20"/>
        </w:rPr>
        <w:t xml:space="preserve">Utah-specific statutory language: Confirm any verbatim language required by Utah Code Ann. § 26B-4-601 et seq. and Utah Division of Professional Licensing telehealth rules. Replace the placeholder in Section 10.</w:t>
      </w:r>
    </w:p>
    <w:p>
      <w:pPr>
        <w:pStyle w:val="ListParagraph"/>
        <w:numPr>
          <w:ilvl w:val="0"/>
          <w:numId w:val="3"/>
        </w:numPr>
        <w:spacing w:after="80" w:before="0"/>
      </w:pPr>
      <w:r>
        <w:rPr>
          <w:rFonts w:ascii="Arial" w:cs="Arial" w:eastAsia="Arial" w:hAnsi="Arial"/>
          <w:sz w:val="20"/>
          <w:szCs w:val="20"/>
        </w:rPr>
        <w:t xml:space="preserve">Written vs. verbal consent: Confirm whether Utah requires written consent (as drafted here) or permits verbal consent documented in the record.</w:t>
      </w:r>
    </w:p>
    <w:p>
      <w:pPr>
        <w:pStyle w:val="ListParagraph"/>
        <w:numPr>
          <w:ilvl w:val="0"/>
          <w:numId w:val="3"/>
        </w:numPr>
        <w:spacing w:after="80" w:before="0"/>
      </w:pPr>
      <w:r>
        <w:rPr>
          <w:rFonts w:ascii="Arial" w:cs="Arial" w:eastAsia="Arial" w:hAnsi="Arial"/>
          <w:sz w:val="20"/>
          <w:szCs w:val="20"/>
        </w:rPr>
        <w:t xml:space="preserve">Renewal cadence: Confirm whether Utah requires periodic re-consent and at what interval.</w:t>
      </w:r>
    </w:p>
    <w:p>
      <w:pPr>
        <w:pStyle w:val="ListParagraph"/>
        <w:numPr>
          <w:ilvl w:val="0"/>
          <w:numId w:val="3"/>
        </w:numPr>
        <w:spacing w:after="80" w:before="0"/>
      </w:pPr>
      <w:r>
        <w:rPr>
          <w:rFonts w:ascii="Arial" w:cs="Arial" w:eastAsia="Arial" w:hAnsi="Arial"/>
          <w:sz w:val="20"/>
          <w:szCs w:val="20"/>
        </w:rPr>
        <w:t xml:space="preserve">Prescribing / controlled substances: Confirm Ryan Haight Act and Utah PMP (Utah Code Ann. § 58-37f) compliance for any controlled substance prescribing via telehealth.</w:t>
      </w:r>
    </w:p>
    <w:p>
      <w:pPr>
        <w:pStyle w:val="ListParagraph"/>
        <w:numPr>
          <w:ilvl w:val="0"/>
          <w:numId w:val="3"/>
        </w:numPr>
        <w:spacing w:after="80" w:before="0"/>
      </w:pPr>
      <w:r>
        <w:rPr>
          <w:rFonts w:ascii="Arial" w:cs="Arial" w:eastAsia="Arial" w:hAnsi="Arial"/>
          <w:sz w:val="20"/>
          <w:szCs w:val="20"/>
        </w:rPr>
        <w:t xml:space="preserve">E-signature compliance: Confirm the Womenkind platform's e-signature capture meets ESIGN/UETA and any Utah-specific electronic signature requirements.</w:t>
      </w:r>
    </w:p>
    <w:p>
      <w:pPr>
        <w:pStyle w:val="ListParagraph"/>
        <w:numPr>
          <w:ilvl w:val="0"/>
          <w:numId w:val="3"/>
        </w:numPr>
        <w:spacing w:after="80" w:before="0"/>
      </w:pPr>
      <w:r>
        <w:rPr>
          <w:rFonts w:ascii="Arial" w:cs="Arial" w:eastAsia="Arial" w:hAnsi="Arial"/>
          <w:sz w:val="20"/>
          <w:szCs w:val="20"/>
        </w:rPr>
        <w:t xml:space="preserve">Cross-reference to NPP: Confirm the NPP referenced in Section 6 matches the actual current Notice of Privacy Practices in use.</w:t>
      </w:r>
    </w:p>
    <w:p>
      <w:pPr>
        <w:pStyle w:val="ListParagraph"/>
        <w:numPr>
          <w:ilvl w:val="0"/>
          <w:numId w:val="3"/>
        </w:numPr>
        <w:spacing w:after="80" w:before="0"/>
      </w:pPr>
      <w:r>
        <w:rPr>
          <w:rFonts w:ascii="Arial" w:cs="Arial" w:eastAsia="Arial" w:hAnsi="Arial"/>
          <w:sz w:val="20"/>
          <w:szCs w:val="20"/>
        </w:rPr>
        <w:t xml:space="preserve">Minor / legal representative handling: Confirm whether the Practice will serve patients under 18 and whether the representative block in Section 12 is sufficient.</w:t>
      </w:r>
    </w:p>
    <w:p>
      <w:pPr>
        <w:pStyle w:val="ListParagraph"/>
        <w:numPr>
          <w:ilvl w:val="0"/>
          <w:numId w:val="3"/>
        </w:numPr>
        <w:spacing w:after="80" w:before="0"/>
      </w:pPr>
      <w:r>
        <w:rPr>
          <w:rFonts w:ascii="Arial" w:cs="Arial" w:eastAsia="Arial" w:hAnsi="Arial"/>
          <w:sz w:val="20"/>
          <w:szCs w:val="20"/>
        </w:rPr>
        <w:t xml:space="preserve">Scope of services: Confirm services described match the PC's scope and the treating physicians' Utah licensure.</w:t>
      </w:r>
    </w:p>
    <w:p>
      <w:pPr>
        <w:spacing w:after="0" w:before="240"/>
      </w:pPr>
      <w:r>
        <w:rPr>
          <w:rFonts w:ascii="Arial" w:cs="Arial" w:eastAsia="Arial" w:hAnsi="Arial"/>
          <w:i/>
          <w:iCs/>
          <w:color w:val="888888"/>
          <w:sz w:val="16"/>
          <w:szCs w:val="16"/>
        </w:rPr>
        <w:t xml:space="preserve">Generated by the womenkind-consent-generator skill. This is a starting draft only. Final consent documents must be reviewed and approved by qualified healthcare counsel before any use with patients.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jc w:val="center"/>
    </w:pPr>
    <w:r>
      <w:rPr>
        <w:rFonts w:ascii="Arial" w:cs="Arial" w:eastAsia="Arial" w:hAnsi="Arial"/>
        <w:color w:val="888888"/>
        <w:sz w:val="16"/>
        <w:szCs w:val="16"/>
      </w:rPr>
      <w:t xml:space="preserve">DRAFT — NOT FOR PATIENT USE | Womenkind General Telehealth Informed Consent | Utah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5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2026-04-21T03:10:37.548Z</dcterms:created>
  <dcterms:modified xsi:type="dcterms:W3CDTF">2026-04-21T03:10:37.549Z</dcterms:modified>
</cp:coreProperties>
</file>

<file path=docProps/custom.xml><?xml version="1.0" encoding="utf-8"?>
<Properties xmlns="http://schemas.openxmlformats.org/officeDocument/2006/custom-properties" xmlns:vt="http://schemas.openxmlformats.org/officeDocument/2006/docPropsVTypes"/>
</file>