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208</w:t>
      </w:r>
    </w:p>
    <w:p>
      <w:pPr>
        <w:pStyle w:val="FirstParagraph"/>
      </w:pPr>
      <w:r>
        <w:t xml:space="preserve">Klasifikasi Desa/Kelurahan ditentukan</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1"/>
    <w:bookmarkStart w:id="32" w:name="section-3"/>
    <w:p>
      <w:pPr>
        <w:pStyle w:val="Heading3"/>
      </w:pPr>
      <w:r>
        <w:t xml:space="preserve">210</w:t>
      </w:r>
    </w:p>
    <w:p>
      <w:pPr>
        <w:pStyle w:val="FirstParagraph"/>
      </w:pPr>
      <w:r>
        <w:t xml:space="preserve">Jawaban responden dapat berupa angka tidak bulat (contoh: 2,5 tahun)</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4"/>
    <w:bookmarkStart w:id="35" w:name="section-5"/>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5"/>
    <w:bookmarkStart w:id="36" w:name="section-6"/>
    <w:p>
      <w:pPr>
        <w:pStyle w:val="Heading3"/>
      </w:pPr>
      <w:r>
        <w:t xml:space="preserve">312</w:t>
      </w:r>
    </w:p>
    <w:p>
      <w:pPr>
        <w:pStyle w:val="FirstParagraph"/>
      </w:pPr>
      <w:r>
        <w:t xml:space="preserve">Nominal pada 312 dalam ribuan rupiah. Misal, jika biaya yang dikeluarkan adalah Rp 15.000, maka isian 503 diisi dengan angka 015.</w:t>
      </w:r>
    </w:p>
    <w:bookmarkEnd w:id="36"/>
    <w:bookmarkStart w:id="40" w:name="section-7"/>
    <w:p>
      <w:pPr>
        <w:pStyle w:val="Heading3"/>
      </w:pPr>
      <w:r>
        <w:t xml:space="preserve">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bookmarkEnd w:id="40"/>
    <w:bookmarkEnd w:id="41"/>
    <w:bookmarkStart w:id="60" w:name="blok-iv.-layanan-keuangan-agen-bank"/>
    <w:p>
      <w:pPr>
        <w:pStyle w:val="Heading2"/>
      </w:pPr>
      <w:r>
        <w:t xml:space="preserve">BLOK IV. LAYANAN KEUANGAN AGEN BANK</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Start w:id="57" w:name="section-8"/>
    <w:p>
      <w:pPr>
        <w:pStyle w:val="Heading3"/>
      </w:pPr>
      <w:r>
        <w:t xml:space="preserve">401-405</w:t>
      </w:r>
    </w:p>
    <w:p>
      <w:pPr>
        <w:numPr>
          <w:ilvl w:val="0"/>
          <w:numId w:val="1001"/>
        </w:numPr>
      </w:pPr>
      <w:r>
        <w:t xml:space="preserve">401 dan 402 menanyakan tingkat pengetahuan atau tingkat kesadaran responden untuk jenis pembayaran non tunai yang ada secara umum (tidak terkait dengan Agen Bank yang dimiliki atau dikelolanya).</w:t>
      </w:r>
    </w:p>
    <w:p>
      <w:pPr>
        <w:numPr>
          <w:ilvl w:val="0"/>
          <w:numId w:val="1001"/>
        </w:numPr>
      </w:pPr>
      <w:r>
        <w:t xml:space="preserve">Pilihan jawaban pada 401 tidak boleh ditanyakan kepada responden karena jawabannya bersifat spontan dari responden.</w:t>
      </w:r>
    </w:p>
    <w:p>
      <w:pPr>
        <w:numPr>
          <w:ilvl w:val="0"/>
          <w:numId w:val="1001"/>
        </w:numPr>
      </w:pPr>
      <w:r>
        <w:t xml:space="preserve">Pertanyaan 402 ditanyakan sesuai dengan jawaban responden pada 401, yaitu bacakan pilihan pertanyaan 402 yang belum dipilih oleh responden pada 401.</w:t>
      </w:r>
      <w:r>
        <w:t xml:space="preserve"> </w:t>
      </w:r>
      <w:r>
        <w:rPr>
          <w:b/>
          <w:bCs/>
        </w:rPr>
        <w:t xml:space="preserve">Contoh</w:t>
      </w:r>
      <w:r>
        <w:t xml:space="preserve">: Pada pertanyaan 401 responden memilih jawaban (Kartu Debet/ATM/KKS) dan (Internet Banking). Maka untuk pertanyaan 402 responden hanya ditanyakan apakah mereka mengetahui pilihan jawaban Kartu Kredit, Mobile Banking, Uang Elektronik Berbasis Kartu/Chip, Uang Elektronik Berbasis Server, dan QRIS.</w:t>
      </w:r>
    </w:p>
    <w:p>
      <w:pPr>
        <w:numPr>
          <w:ilvl w:val="0"/>
          <w:numId w:val="1001"/>
        </w:numPr>
      </w:pPr>
      <w:r>
        <w:t xml:space="preserve">403, 404, dan 405 menanyakan hal terkait jenis pembayaran tunai dan non tunai yang tersedia pada Agen Bank. Jenis pembayaran tersebut tidak hanya ditujukan bagi KPM yang mengambil bantuan, namun juga seluruh pembeli yang bertransaksi/berbelanja di Agen Bank tersebut.</w:t>
      </w:r>
    </w:p>
    <w:bookmarkEnd w:id="57"/>
    <w:bookmarkStart w:id="58" w:name="section-9"/>
    <w:p>
      <w:pPr>
        <w:pStyle w:val="Heading3"/>
      </w:pPr>
      <w:r>
        <w:t xml:space="preserve">407</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8"/>
    <w:bookmarkStart w:id="59" w:name="section-10"/>
    <w:p>
      <w:pPr>
        <w:pStyle w:val="Heading3"/>
      </w:pPr>
      <w:r>
        <w:t xml:space="preserve">408</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59"/>
    <w:bookmarkEnd w:id="60"/>
    <w:bookmarkStart w:id="64" w:name="blok-v.-kualitas-sarana-telekomunikasi"/>
    <w:p>
      <w:pPr>
        <w:pStyle w:val="Heading2"/>
      </w:pPr>
      <w:r>
        <w:t xml:space="preserve">BLOK V. KUALITAS SARANA TELEKOMUNIKASI</w:t>
      </w:r>
    </w:p>
    <w:bookmarkStart w:id="61"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1"/>
    <w:bookmarkStart w:id="62"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2"/>
    <w:bookmarkStart w:id="63" w:name="section-12"/>
    <w:p>
      <w:pPr>
        <w:pStyle w:val="Heading3"/>
      </w:pPr>
      <w:r>
        <w:t xml:space="preserve">510-519</w:t>
      </w:r>
    </w:p>
    <w:p>
      <w:pPr>
        <w:pStyle w:val="FirstParagraph"/>
      </w:pPr>
      <w:r>
        <w:t xml:space="preserve">Pertanyaan 510-519 hanya diisi hanya jika jawaban pada 509 adalah</w:t>
      </w:r>
      <w:r>
        <w:t xml:space="preserve"> </w:t>
      </w:r>
      <w:r>
        <w:rPr>
          <w:b/>
          <w:bCs/>
        </w:rPr>
        <w:t xml:space="preserve">(Pilihan 1)</w:t>
      </w:r>
      <w:r>
        <w:t xml:space="preserve"> </w:t>
      </w:r>
      <w:r>
        <w:t xml:space="preserve">(YA).</w:t>
      </w:r>
    </w:p>
    <w:bookmarkEnd w:id="63"/>
    <w:bookmarkEnd w:id="64"/>
    <w:bookmarkStart w:id="66" w:name="Xcdbd3d9c371c82ff0e834776fcc9de5ea239e68"/>
    <w:p>
      <w:pPr>
        <w:pStyle w:val="Heading2"/>
      </w:pPr>
      <w:r>
        <w:t xml:space="preserve">BLOK VI. PERSEPSI TERHADAP BANSOS NON TUNAI</w:t>
      </w:r>
    </w:p>
    <w:bookmarkStart w:id="65"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5"/>
    <w:bookmarkEnd w:id="66"/>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2025-07-10T03:02:05Z</dcterms:created>
  <dcterms:modified xsi:type="dcterms:W3CDTF">2025-07-10T03:02:05Z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