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8.png" ContentType="image/png"/>
  <Override PartName="/word/media/rId61.png" ContentType="image/png"/>
  <Override PartName="/word/media/rId64.png" ContentType="image/png"/>
  <Override PartName="/word/media/rId55.png" ContentType="image/png"/>
  <Override PartName="/word/media/rId20.png" ContentType="image/png"/>
  <Override PartName="/word/media/rId6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9" w:name="blok-ii.-profil-responden"/>
    <w:p>
      <w:pPr>
        <w:pStyle w:val="Heading2"/>
      </w:pPr>
      <w:r>
        <w:t xml:space="preserve">BLOK II. PROFIL RESPONDEN</w:t>
      </w:r>
    </w:p>
    <w:bookmarkStart w:id="33" w:name="dan-211"/>
    <w:p>
      <w:pPr>
        <w:pStyle w:val="Heading3"/>
      </w:pPr>
      <w:r>
        <w:t xml:space="preserve">201, 208, 209, 210, dan 211</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4"/>
    <w:bookmarkStart w:id="35" w:name="section-1"/>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5"/>
    <w:bookmarkStart w:id="36" w:name="daftar-istilah-untuk-219-222"/>
    <w:p>
      <w:pPr>
        <w:pStyle w:val="Heading3"/>
      </w:pPr>
      <w:r>
        <w:t xml:space="preserve">Daftar Istilah untuk 219-222</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rPr>
                <w:b/>
                <w:bCs/>
              </w:rPr>
              <w:t xml:space="preserve">Istilah</w:t>
            </w:r>
          </w:p>
        </w:tc>
        <w:tc>
          <w:tcPr/>
          <w:p>
            <w:pPr>
              <w:pStyle w:val="Compact"/>
            </w:pPr>
            <w:r>
              <w:rPr>
                <w:b/>
                <w:bCs/>
              </w:rPr>
              <w:t xml:space="preserve">Definisi singkat</w:t>
            </w:r>
          </w:p>
        </w:tc>
      </w:tr>
      <w:tr>
        <w:tc>
          <w:tcPr/>
          <w:p>
            <w:pPr>
              <w:pStyle w:val="Compact"/>
            </w:pPr>
            <w:r>
              <w:t xml:space="preserve">Program Keluarga Harapan (PKH)</w:t>
            </w:r>
          </w:p>
        </w:tc>
        <w:tc>
          <w:tcPr/>
          <w:p>
            <w:pPr>
              <w:pStyle w:val="Compact"/>
            </w:pPr>
            <w:r>
              <w:t xml:space="preserve">Bantuan tunai bersyarat bagi keluarga miskin yang punya ibu hamil, balita, lansia, disabilitas, atau anak sekolah.</w:t>
            </w:r>
          </w:p>
        </w:tc>
      </w:tr>
      <w:tr>
        <w:tc>
          <w:tcPr/>
          <w:p>
            <w:pPr>
              <w:pStyle w:val="Compact"/>
            </w:pPr>
            <w:r>
              <w:t xml:space="preserve">Program Sembako / BPNT</w:t>
            </w:r>
          </w:p>
        </w:tc>
        <w:tc>
          <w:tcPr/>
          <w:p>
            <w:pPr>
              <w:pStyle w:val="Compact"/>
            </w:pPr>
            <w:r>
              <w:t xml:space="preserve">E-voucher pangan bulanan (beras, telur, dsb.) untuk keluarga penerima manfaat miskin.</w:t>
            </w:r>
          </w:p>
        </w:tc>
      </w:tr>
      <w:tr>
        <w:tc>
          <w:tcPr/>
          <w:p>
            <w:pPr>
              <w:pStyle w:val="Compact"/>
            </w:pPr>
            <w:r>
              <w:t xml:space="preserve">Program Indonesia Pintar (PIP)</w:t>
            </w:r>
          </w:p>
        </w:tc>
        <w:tc>
          <w:tcPr/>
          <w:p>
            <w:pPr>
              <w:pStyle w:val="Compact"/>
            </w:pPr>
            <w:r>
              <w:t xml:space="preserve">Bantuan biaya sekolah tahunan untuk siswa SD–SMA/SMK dari keluarga kurang mampu.</w:t>
            </w:r>
          </w:p>
        </w:tc>
      </w:tr>
      <w:tr>
        <w:tc>
          <w:tcPr/>
          <w:p>
            <w:pPr>
              <w:pStyle w:val="Compact"/>
            </w:pPr>
            <w:r>
              <w:t xml:space="preserve">Kartu Indonesia Pintar (KIP) Kuliah</w:t>
            </w:r>
          </w:p>
        </w:tc>
        <w:tc>
          <w:tcPr/>
          <w:p>
            <w:pPr>
              <w:pStyle w:val="Compact"/>
            </w:pPr>
            <w:r>
              <w:t xml:space="preserve">Beasiswa kuliah penuh plus uang bulanan bagi lulusan SMA sederajat berprestasi tapi miskin.</w:t>
            </w:r>
          </w:p>
        </w:tc>
      </w:tr>
      <w:tr>
        <w:tc>
          <w:tcPr/>
          <w:p>
            <w:pPr>
              <w:pStyle w:val="Compact"/>
            </w:pPr>
            <w:r>
              <w:t xml:space="preserve">Kartu Indonesia Sehat (KIS)</w:t>
            </w:r>
          </w:p>
        </w:tc>
        <w:tc>
          <w:tcPr/>
          <w:p>
            <w:pPr>
              <w:pStyle w:val="Compact"/>
            </w:pPr>
            <w:r>
              <w:t xml:space="preserve">Kartu peserta JKN-BPJS; iuran kelas PBI ditanggung pemerintah untuk layanan kesehatan gratis.</w:t>
            </w:r>
          </w:p>
        </w:tc>
      </w:tr>
      <w:tr>
        <w:tc>
          <w:tcPr/>
          <w:p>
            <w:pPr>
              <w:pStyle w:val="Compact"/>
            </w:pPr>
            <w:r>
              <w:t xml:space="preserve">Bantuan Langsung Tunai (BLT) Dana Desa</w:t>
            </w:r>
          </w:p>
        </w:tc>
        <w:tc>
          <w:tcPr/>
          <w:p>
            <w:pPr>
              <w:pStyle w:val="Compact"/>
            </w:pPr>
            <w:r>
              <w:t xml:space="preserve">Dana tunai bulanan dari Dana Desa bagi keluarga miskin-ekstrem yang belum menerima bansos lain.</w:t>
            </w:r>
          </w:p>
        </w:tc>
      </w:tr>
      <w:tr>
        <w:tc>
          <w:tcPr/>
          <w:p>
            <w:pPr>
              <w:pStyle w:val="Compact"/>
            </w:pPr>
            <w:r>
              <w:t xml:space="preserve">Kartu Prakerja</w:t>
            </w:r>
          </w:p>
        </w:tc>
        <w:tc>
          <w:tcPr/>
          <w:p>
            <w:pPr>
              <w:pStyle w:val="Compact"/>
            </w:pPr>
            <w:r>
              <w:t xml:space="preserve">Saldo pelatihan online + insentif tunai untuk pencari kerja atau pekerja terdampak.</w:t>
            </w:r>
          </w:p>
        </w:tc>
      </w:tr>
      <w:tr>
        <w:tc>
          <w:tcPr/>
          <w:p>
            <w:pPr>
              <w:pStyle w:val="Compact"/>
            </w:pPr>
            <w:r>
              <w:t xml:space="preserve">Kartu Tani</w:t>
            </w:r>
          </w:p>
        </w:tc>
        <w:tc>
          <w:tcPr/>
          <w:p>
            <w:pPr>
              <w:pStyle w:val="Compact"/>
            </w:pPr>
            <w:r>
              <w:t xml:space="preserve">Kartu debit terhubung e-RDKK untuk membeli pupuk dan sarana produksi tani bersubsidi.</w:t>
            </w:r>
          </w:p>
        </w:tc>
      </w:tr>
    </w:tbl>
    <w:bookmarkEnd w:id="36"/>
    <w:bookmarkStart w:id="37" w:name="section-2"/>
    <w:p>
      <w:pPr>
        <w:pStyle w:val="Heading3"/>
      </w:pPr>
      <w:r>
        <w:t xml:space="preserve">219</w:t>
      </w:r>
    </w:p>
    <w:p>
      <w:pPr>
        <w:pStyle w:val="FirstParagraph"/>
      </w:pPr>
      <w:r>
        <w:t xml:space="preserve">Salah satu dari Program Keluarga Harapan (PKH) atau Program Sembako (PS) harus diisi dengan</w:t>
      </w:r>
      <w:r>
        <w:t xml:space="preserve"> </w:t>
      </w:r>
      <w:r>
        <w:rPr>
          <w:b/>
          <w:bCs/>
        </w:rPr>
        <w:t xml:space="preserve">pilihan 1 (Ya, dan masih berlanjut)</w:t>
      </w:r>
      <w:r>
        <w:t xml:space="preserve">.</w:t>
      </w:r>
    </w:p>
    <w:bookmarkEnd w:id="37"/>
    <w:bookmarkStart w:id="38" w:name="section-3"/>
    <w:p>
      <w:pPr>
        <w:pStyle w:val="Heading3"/>
      </w:pPr>
      <w:r>
        <w:t xml:space="preserve">220</w:t>
      </w:r>
    </w:p>
    <w:p>
      <w:pPr>
        <w:pStyle w:val="FirstParagraph"/>
      </w:pPr>
      <w:r>
        <w:t xml:space="preserve">Ketika KPM menjawab</w:t>
      </w:r>
      <w:r>
        <w:t xml:space="preserve"> </w:t>
      </w:r>
      <w:r>
        <w:t xml:space="preserve">“mengajukan sendiri”</w:t>
      </w:r>
      <w:r>
        <w:t xml:space="preserve">, konfirmasi kembali melalui RT/RW/Desa (Pilihan 1), melalui petugas pendamping PKH (Pilihan 2) atau melalui petugas Dinas Sosial (Kecamatan) (Pilihan 3).</w:t>
      </w:r>
    </w:p>
    <w:bookmarkEnd w:id="38"/>
    <w:bookmarkEnd w:id="39"/>
    <w:bookmarkStart w:id="44" w:name="blok-iii.-kondisi-ekonomi"/>
    <w:p>
      <w:pPr>
        <w:pStyle w:val="Heading2"/>
      </w:pPr>
      <w:r>
        <w:t xml:space="preserve">BLOK III. KONDISI EKONOMI</w:t>
      </w:r>
    </w:p>
    <w:bookmarkStart w:id="40" w:name="section-4"/>
    <w:p>
      <w:pPr>
        <w:pStyle w:val="Heading3"/>
      </w:pPr>
      <w:r>
        <w:t xml:space="preserve">304</w:t>
      </w:r>
    </w:p>
    <w:p>
      <w:pPr>
        <w:numPr>
          <w:ilvl w:val="0"/>
          <w:numId w:val="1003"/>
        </w:numPr>
      </w:pPr>
      <w:r>
        <w:rPr>
          <w:b/>
          <w:bCs/>
        </w:rPr>
        <w:t xml:space="preserve">PAM (Pipa Air Minum)</w:t>
      </w:r>
      <w:r>
        <w:t xml:space="preserve"> </w:t>
      </w:r>
      <w:r>
        <w:t xml:space="preserve">adalah sistem penyediaan air minum yang menggunakan pipa untuk mengalirkan air dari sumbernya ke rumah tangga. Biasanya dikelola oleh PDAM (Perusahaan Daerah Air Minum).</w:t>
      </w:r>
    </w:p>
    <w:p>
      <w:pPr>
        <w:numPr>
          <w:ilvl w:val="0"/>
          <w:numId w:val="1003"/>
        </w:numPr>
      </w:pPr>
      <w:r>
        <w:rPr>
          <w:b/>
          <w:bCs/>
        </w:rPr>
        <w:t xml:space="preserve">Sumur Pompa</w:t>
      </w:r>
      <w:r>
        <w:t xml:space="preserve"> </w:t>
      </w:r>
      <w:r>
        <w:t xml:space="preserve">adalah sumur yang dilengkapi dengan mesin pompa untuk mengangkat air dari dalam tanah ke permukaan.</w:t>
      </w:r>
    </w:p>
    <w:p>
      <w:pPr>
        <w:numPr>
          <w:ilvl w:val="0"/>
          <w:numId w:val="1003"/>
        </w:numPr>
      </w:pPr>
      <w:r>
        <w:rPr>
          <w:b/>
          <w:bCs/>
        </w:rPr>
        <w:t xml:space="preserve">Sumur Timba</w:t>
      </w:r>
      <w:r>
        <w:t xml:space="preserve"> </w:t>
      </w:r>
      <w:r>
        <w:t xml:space="preserve">adalah sumur tradisional yang menggunakan timba untuk mengambil air secara manual menggunakan tali dan ember.</w:t>
      </w:r>
    </w:p>
    <w:bookmarkEnd w:id="40"/>
    <w:bookmarkStart w:id="41" w:name="section-5"/>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Atau jika responden adalah seorang istri dengan suami dan 3 anak yang tinggal serumah dan masih diberi tanggungan, maka diisi 04 (suami dan 3 anak). Dalam konsep ekonomi, suami masih masuk dalam tanggungan karena dalam prakteknya bisa saja suami menghasilkan namun tidak cukup untuk membiayai keluarga. Jika ada oranng tua (lansia) yang tinggal serumah dan masih diberi tanggungan, maka diisi juga dalam jumlah tanggungan. Jika tidak ada tanggungan, maka diisi 00.</w:t>
      </w:r>
    </w:p>
    <w:bookmarkEnd w:id="41"/>
    <w:bookmarkStart w:id="42" w:name="section-6"/>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42"/>
    <w:bookmarkStart w:id="43" w:name="section-7"/>
    <w:p>
      <w:pPr>
        <w:pStyle w:val="Heading3"/>
      </w:pPr>
      <w:r>
        <w:t xml:space="preserve">313</w:t>
      </w:r>
    </w:p>
    <w:p>
      <w:pPr>
        <w:numPr>
          <w:ilvl w:val="0"/>
          <w:numId w:val="1004"/>
        </w:numPr>
      </w:pPr>
      <w:r>
        <w:rPr>
          <w:b/>
          <w:bCs/>
        </w:rPr>
        <w:t xml:space="preserve">Sehat</w:t>
      </w:r>
      <w:r>
        <w:t xml:space="preserve"> </w:t>
      </w:r>
      <w:r>
        <w:t xml:space="preserve">– Kondisi tubuh yang berfungsi normal tanpa adanya gangguan kesehatan.</w:t>
      </w:r>
      <w:r>
        <w:t xml:space="preserve"> </w:t>
      </w:r>
      <w:r>
        <w:t xml:space="preserve">Contoh: Tidak ada keluhan kesehatan atau penyakit yang dialami.</w:t>
      </w:r>
    </w:p>
    <w:p>
      <w:pPr>
        <w:numPr>
          <w:ilvl w:val="0"/>
          <w:numId w:val="1004"/>
        </w:numPr>
      </w:pPr>
      <w:r>
        <w:rPr>
          <w:b/>
          <w:bCs/>
        </w:rPr>
        <w:t xml:space="preserve">Sakit Kronis</w:t>
      </w:r>
      <w:r>
        <w:t xml:space="preserve"> </w:t>
      </w:r>
      <w:r>
        <w:t xml:space="preserve">– Kondisi kesehatan yang berlangsung lama dan sering membutuhkan perawatan jangka panjang.</w:t>
      </w:r>
      <w:r>
        <w:t xml:space="preserve"> </w:t>
      </w:r>
      <w:r>
        <w:t xml:space="preserve">Contoh: Diabetes, hipertensi, atau penyakit jantung.</w:t>
      </w:r>
    </w:p>
    <w:p>
      <w:pPr>
        <w:numPr>
          <w:ilvl w:val="0"/>
          <w:numId w:val="1004"/>
        </w:numPr>
      </w:pPr>
      <w:r>
        <w:rPr>
          <w:b/>
          <w:bCs/>
        </w:rPr>
        <w:t xml:space="preserve">Disabilitas</w:t>
      </w:r>
      <w:r>
        <w:t xml:space="preserve"> </w:t>
      </w:r>
      <w:r>
        <w:t xml:space="preserve">– Kondisi yang mengakibatkan keterbatasan fungsi fisik atau sensorik, baik sementara maupun permanen.</w:t>
      </w:r>
      <w:r>
        <w:t xml:space="preserve"> </w:t>
      </w:r>
      <w:r>
        <w:t xml:space="preserve">Contoh: Patah tulang yang menyebabkan keterbatasan fungsi bergerak dalam jangka waktu lama.</w:t>
      </w:r>
    </w:p>
    <w:bookmarkEnd w:id="43"/>
    <w:bookmarkEnd w:id="44"/>
    <w:bookmarkStart w:id="50" w:name="Xd3db6c907221c96dbcd8320114c50c0345aa197"/>
    <w:p>
      <w:pPr>
        <w:pStyle w:val="Heading2"/>
      </w:pPr>
      <w:r>
        <w:t xml:space="preserve">BLOK IV. PEMAHAMAN TERHADAP MEKANISME PENYALURAN BANSOS NON TUNAI</w:t>
      </w:r>
    </w:p>
    <w:bookmarkStart w:id="45" w:name="section-8"/>
    <w:p>
      <w:pPr>
        <w:pStyle w:val="Heading3"/>
      </w:pPr>
      <w:r>
        <w:t xml:space="preserve">404</w:t>
      </w:r>
    </w:p>
    <w:p>
      <w:pPr>
        <w:pStyle w:val="FirstParagraph"/>
      </w:pPr>
      <w:r>
        <w:t xml:space="preserve">Enum sebaiknya mengurutkan opsi berdasarkan prioritas, mengingat responden terkadang mengubah pilihannya. Oleh karena itu, responden diminta memilih antara opsi 1 versus 2, opsi 2 versus 3, dan seterusnya, hingga teridentifikasi satu opsi yang paling disukai.</w:t>
      </w:r>
    </w:p>
    <w:bookmarkEnd w:id="45"/>
    <w:bookmarkStart w:id="46" w:name="section-9"/>
    <w:p>
      <w:pPr>
        <w:pStyle w:val="Heading3"/>
      </w:pPr>
      <w:r>
        <w:t xml:space="preserve">405-406</w:t>
      </w:r>
    </w:p>
    <w:p>
      <w:pPr>
        <w:pStyle w:val="FirstParagraph"/>
      </w:pPr>
      <w:r>
        <w:t xml:space="preserve">Enumerator akan lebih efektif jika setiap opsi ditanyakan secara horizontal. Misalnya, setelah diketahui pernah diberikan penjelasan (405), langsung tanyakan apakah responden memahami penjelasan tersebut (406) sebelum melanjutkan ke opsi selanjutnya.</w:t>
      </w:r>
    </w:p>
    <w:bookmarkEnd w:id="46"/>
    <w:bookmarkStart w:id="47" w:name="section-10"/>
    <w:p>
      <w:pPr>
        <w:pStyle w:val="Heading3"/>
      </w:pPr>
      <w:r>
        <w:t xml:space="preserve">408</w:t>
      </w:r>
    </w:p>
    <w:p>
      <w:pPr>
        <w:pStyle w:val="FirstParagraph"/>
      </w:pPr>
      <w:r>
        <w:t xml:space="preserve">jika terdapat responden yang menerima langsung KKS yang sudah aktif maka jawabannya adalah</w:t>
      </w:r>
      <w:r>
        <w:t xml:space="preserve"> </w:t>
      </w:r>
      <w:r>
        <w:rPr>
          <w:b/>
          <w:bCs/>
        </w:rPr>
        <w:t xml:space="preserve">TIDAK</w:t>
      </w:r>
    </w:p>
    <w:bookmarkEnd w:id="47"/>
    <w:bookmarkStart w:id="48" w:name="section-11"/>
    <w:p>
      <w:pPr>
        <w:pStyle w:val="Heading3"/>
      </w:pPr>
      <w:r>
        <w:t xml:space="preserve">411-413</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8"/>
    <w:bookmarkStart w:id="49" w:name="section-12"/>
    <w:p>
      <w:pPr>
        <w:pStyle w:val="Heading3"/>
      </w:pPr>
      <w:r>
        <w:t xml:space="preserve">414</w:t>
      </w:r>
    </w:p>
    <w:p>
      <w:pPr>
        <w:pStyle w:val="FirstParagraph"/>
      </w:pPr>
      <w:r>
        <w:t xml:space="preserve">Enumerator wajib memastikan ketepatan sasaran, misalnya dengan mengidentifikasi apakah terdapat tetangga yang merupakan KPM, meskipun secara ekonomi sudah mapan, namun tetap menerima bantuan sosial.</w:t>
      </w:r>
    </w:p>
    <w:bookmarkEnd w:id="49"/>
    <w:bookmarkEnd w:id="50"/>
    <w:bookmarkStart w:id="54" w:name="X306d872e9756ddfa23762daf792b20ca51e4fd4"/>
    <w:p>
      <w:pPr>
        <w:pStyle w:val="Heading2"/>
      </w:pPr>
      <w:r>
        <w:t xml:space="preserve">BLOK V. PENGALAMAN KPM DALAM PENARIKAN BANSOS NON TUNAI</w:t>
      </w:r>
    </w:p>
    <w:bookmarkStart w:id="51" w:name="section-13"/>
    <w:p>
      <w:pPr>
        <w:pStyle w:val="Heading3"/>
      </w:pPr>
      <w:r>
        <w:t xml:space="preserve">501-503</w:t>
      </w:r>
    </w:p>
    <w:p>
      <w:pPr>
        <w:pStyle w:val="FirstParagraph"/>
      </w:pPr>
      <w:r>
        <w:t xml:space="preserve">Enumerator dapat bertanya secara horizontal. Pada 501, jika responden tidak pernah mengambil bansos di lokasi tersebut, maka isi dengan angka 0, dan kemudian 502 dan 503 dibiarkan kosong.</w:t>
      </w:r>
    </w:p>
    <w:p>
      <w:pPr>
        <w:pStyle w:val="BodyText"/>
      </w:pPr>
      <w:r>
        <w:t xml:space="preserve">Pastikan bawah frekuensi penarikan bansos selaras dengan jawaban pada 103 (BLOK I).</w:t>
      </w:r>
    </w:p>
    <w:p>
      <w:pPr>
        <w:pStyle w:val="BodyText"/>
      </w:pPr>
      <w:r>
        <w:t xml:space="preserve">Nominal pada 503 dalam ribuan rupiah. Misal, jika biaya transportasi yang dikeluarkan adalah Rp 15.000, maka isian 503 diisi dengan angka 015.</w:t>
      </w:r>
    </w:p>
    <w:p>
      <w:pPr>
        <w:pStyle w:val="BodyText"/>
      </w:pPr>
      <w:r>
        <w:rPr>
          <w:b/>
          <w:bCs/>
        </w:rPr>
        <w:t xml:space="preserve">Biaya bensin motor per kilometer (km)</w:t>
      </w:r>
    </w:p>
    <w:p>
      <w:pPr>
        <w:pStyle w:val="BodyText"/>
      </w:pPr>
      <w:r>
        <w:t xml:space="preserve">Dengan asumsi 1 liter bensin jenis pertalite = Rp 10.000, dan 1 liter bensin dapat menempuh jarak 50 km, maka biaya bensin per kilometer adalah Rp 10.000 / 50 km = Rp 200/km.</w:t>
      </w:r>
    </w:p>
    <w:p>
      <w:pPr>
        <w:pStyle w:val="BodyText"/>
      </w:pPr>
      <w:r>
        <w:t xml:space="preserve">Tabel konversi biaya bensin per kilometer: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Jarak (km)</w:t>
            </w:r>
          </w:p>
        </w:tc>
        <w:tc>
          <w:tcPr/>
          <w:p>
            <w:pPr>
              <w:pStyle w:val="Compact"/>
            </w:pPr>
            <w:r>
              <w:rPr>
                <w:b/>
                <w:bCs/>
              </w:rPr>
              <w:t xml:space="preserve">Biaya Bensin (Rp)</w:t>
            </w:r>
          </w:p>
        </w:tc>
      </w:tr>
      <w:tr>
        <w:tc>
          <w:tcPr/>
          <w:p>
            <w:pPr>
              <w:pStyle w:val="Compact"/>
            </w:pPr>
            <w:r>
              <w:t xml:space="preserve">1-5</w:t>
            </w:r>
          </w:p>
        </w:tc>
        <w:tc>
          <w:tcPr/>
          <w:p>
            <w:pPr>
              <w:pStyle w:val="Compact"/>
            </w:pPr>
            <w:r>
              <w:t xml:space="preserve">1000</w:t>
            </w:r>
          </w:p>
        </w:tc>
      </w:tr>
      <w:tr>
        <w:tc>
          <w:tcPr/>
          <w:p>
            <w:pPr>
              <w:pStyle w:val="Compact"/>
            </w:pPr>
            <w:r>
              <w:t xml:space="preserve">6-10</w:t>
            </w:r>
          </w:p>
        </w:tc>
        <w:tc>
          <w:tcPr/>
          <w:p>
            <w:pPr>
              <w:pStyle w:val="Compact"/>
            </w:pPr>
            <w:r>
              <w:t xml:space="preserve">2000</w:t>
            </w:r>
          </w:p>
        </w:tc>
      </w:tr>
      <w:tr>
        <w:tc>
          <w:tcPr/>
          <w:p>
            <w:pPr>
              <w:pStyle w:val="Compact"/>
            </w:pPr>
            <w:r>
              <w:t xml:space="preserve">11-15</w:t>
            </w:r>
          </w:p>
        </w:tc>
        <w:tc>
          <w:tcPr/>
          <w:p>
            <w:pPr>
              <w:pStyle w:val="Compact"/>
            </w:pPr>
            <w:r>
              <w:t xml:space="preserve">3000</w:t>
            </w:r>
          </w:p>
        </w:tc>
      </w:tr>
      <w:tr>
        <w:tc>
          <w:tcPr/>
          <w:p>
            <w:pPr>
              <w:pStyle w:val="Compact"/>
            </w:pPr>
            <w:r>
              <w:t xml:space="preserve">16-20</w:t>
            </w:r>
          </w:p>
        </w:tc>
        <w:tc>
          <w:tcPr/>
          <w:p>
            <w:pPr>
              <w:pStyle w:val="Compact"/>
            </w:pPr>
            <w:r>
              <w:t xml:space="preserve">4000</w:t>
            </w:r>
          </w:p>
        </w:tc>
      </w:tr>
      <w:tr>
        <w:tc>
          <w:tcPr/>
          <w:p>
            <w:pPr>
              <w:pStyle w:val="Compact"/>
            </w:pPr>
            <w:r>
              <w:t xml:space="preserve">21-25</w:t>
            </w:r>
          </w:p>
        </w:tc>
        <w:tc>
          <w:tcPr/>
          <w:p>
            <w:pPr>
              <w:pStyle w:val="Compact"/>
            </w:pPr>
            <w:r>
              <w:t xml:space="preserve">5000</w:t>
            </w:r>
          </w:p>
        </w:tc>
      </w:tr>
      <w:tr>
        <w:tc>
          <w:tcPr/>
          <w:p>
            <w:pPr>
              <w:pStyle w:val="Compact"/>
            </w:pPr>
            <w:r>
              <w:t xml:space="preserve">26-30</w:t>
            </w:r>
          </w:p>
        </w:tc>
        <w:tc>
          <w:tcPr/>
          <w:p>
            <w:pPr>
              <w:pStyle w:val="Compact"/>
            </w:pPr>
            <w:r>
              <w:t xml:space="preserve">6000</w:t>
            </w:r>
          </w:p>
        </w:tc>
      </w:tr>
      <w:tr>
        <w:tc>
          <w:tcPr/>
          <w:p>
            <w:pPr>
              <w:pStyle w:val="Compact"/>
            </w:pPr>
            <w:r>
              <w:t xml:space="preserve">Dan seterusnya</w:t>
            </w:r>
          </w:p>
        </w:tc>
        <w:tc>
          <w:tcPr/>
          <w:p>
            <w:pPr>
              <w:pStyle w:val="Compact"/>
            </w:pPr>
          </w:p>
        </w:tc>
      </w:tr>
    </w:tbl>
    <w:p>
      <w:pPr>
        <w:pStyle w:val="BodyText"/>
      </w:pPr>
      <w:r>
        <w:rPr>
          <w:b/>
          <w:bCs/>
        </w:rPr>
        <w:t xml:space="preserve">Agen Bank</w:t>
      </w:r>
    </w:p>
    <w:p>
      <w:pPr>
        <w:numPr>
          <w:ilvl w:val="0"/>
          <w:numId w:val="1005"/>
        </w:numPr>
      </w:pPr>
      <w:r>
        <w:rPr>
          <w:b/>
          <w:bCs/>
        </w:rPr>
        <w:t xml:space="preserve">Agen di wilayah setempat</w:t>
      </w:r>
      <w:r>
        <w:t xml:space="preserve">: Berada di wilayah desa/kelurahan tempat tinggal responden, sehingga mudah dijangkau.</w:t>
      </w:r>
    </w:p>
    <w:p>
      <w:pPr>
        <w:numPr>
          <w:ilvl w:val="0"/>
          <w:numId w:val="1005"/>
        </w:numPr>
      </w:pPr>
      <w:r>
        <w:rPr>
          <w:b/>
          <w:bCs/>
        </w:rPr>
        <w:t xml:space="preserve">Agen di wilayah lain</w:t>
      </w:r>
      <w:r>
        <w:t xml:space="preserve">: Berada di wilayah desa/kelurahan lain.</w:t>
      </w:r>
    </w:p>
    <w:bookmarkEnd w:id="51"/>
    <w:bookmarkStart w:id="52" w:name="section-14"/>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52"/>
    <w:bookmarkStart w:id="53" w:name="section-15"/>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53"/>
    <w:bookmarkEnd w:id="54"/>
    <w:bookmarkStart w:id="74" w:name="X7a46e29748790ffebdb6c7c0bd9e4e77e9aafce"/>
    <w:p>
      <w:pPr>
        <w:pStyle w:val="Heading2"/>
      </w:pPr>
      <w:r>
        <w:t xml:space="preserve">BLOK VI. PENGALAMAN KPM DALAM MELAKUKAN TRANSAKSI DIGITAL</w:t>
      </w:r>
    </w:p>
    <w:bookmarkStart w:id="70" w:name="section-16"/>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56" name="Picture"/>
                  <a:graphic>
                    <a:graphicData uri="http://schemas.openxmlformats.org/drawingml/2006/picture">
                      <pic:pic>
                        <pic:nvPicPr>
                          <pic:cNvPr descr="img/edc.png" id="57" name="Picture"/>
                          <pic:cNvPicPr>
                            <a:picLocks noChangeArrowheads="1" noChangeAspect="1"/>
                          </pic:cNvPicPr>
                        </pic:nvPicPr>
                        <pic:blipFill>
                          <a:blip r:embed="rId55"/>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9" name="Picture"/>
                  <a:graphic>
                    <a:graphicData uri="http://schemas.openxmlformats.org/drawingml/2006/picture">
                      <pic:pic>
                        <pic:nvPicPr>
                          <pic:cNvPr descr="img/e1.png" id="60" name="Picture"/>
                          <pic:cNvPicPr>
                            <a:picLocks noChangeArrowheads="1" noChangeAspect="1"/>
                          </pic:cNvPicPr>
                        </pic:nvPicPr>
                        <pic:blipFill>
                          <a:blip r:embed="rId58"/>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62" name="Picture"/>
                  <a:graphic>
                    <a:graphicData uri="http://schemas.openxmlformats.org/drawingml/2006/picture">
                      <pic:pic>
                        <pic:nvPicPr>
                          <pic:cNvPr descr="img/e2.png" id="63" name="Picture"/>
                          <pic:cNvPicPr>
                            <a:picLocks noChangeArrowheads="1" noChangeAspect="1"/>
                          </pic:cNvPicPr>
                        </pic:nvPicPr>
                        <pic:blipFill>
                          <a:blip r:embed="rId61"/>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65" name="Picture"/>
                  <a:graphic>
                    <a:graphicData uri="http://schemas.openxmlformats.org/drawingml/2006/picture">
                      <pic:pic>
                        <pic:nvPicPr>
                          <pic:cNvPr descr="img/e3.png" id="66" name="Picture"/>
                          <pic:cNvPicPr>
                            <a:picLocks noChangeArrowheads="1" noChangeAspect="1"/>
                          </pic:cNvPicPr>
                        </pic:nvPicPr>
                        <pic:blipFill>
                          <a:blip r:embed="rId64"/>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8" name="Picture"/>
                  <a:graphic>
                    <a:graphicData uri="http://schemas.openxmlformats.org/drawingml/2006/picture">
                      <pic:pic>
                        <pic:nvPicPr>
                          <pic:cNvPr descr="img/qris.png" id="69" name="Picture"/>
                          <pic:cNvPicPr>
                            <a:picLocks noChangeArrowheads="1" noChangeAspect="1"/>
                          </pic:cNvPicPr>
                        </pic:nvPicPr>
                        <pic:blipFill>
                          <a:blip r:embed="rId67"/>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70"/>
    <w:bookmarkStart w:id="71" w:name="section-17"/>
    <w:p>
      <w:pPr>
        <w:pStyle w:val="Heading3"/>
      </w:pPr>
      <w:r>
        <w:t xml:space="preserve">609-611</w:t>
      </w:r>
    </w:p>
    <w:p>
      <w:pPr>
        <w:pStyle w:val="FirstParagraph"/>
      </w:pPr>
      <w:r>
        <w:t xml:space="preserve">Pertanyaan 610 hanya diisi jika pertanyaan 609 terisi. Pertanyaan 611 hanya diisi jika pertanyaan 610 terisi.</w:t>
      </w:r>
    </w:p>
    <w:bookmarkEnd w:id="71"/>
    <w:bookmarkStart w:id="72" w:name="section-18"/>
    <w:p>
      <w:pPr>
        <w:pStyle w:val="Heading3"/>
      </w:pPr>
      <w:r>
        <w:t xml:space="preserve">619</w:t>
      </w:r>
    </w:p>
    <w:p>
      <w:pPr>
        <w:pStyle w:val="FirstParagraph"/>
      </w:pPr>
      <w:r>
        <w:t xml:space="preserve">Jika tidak mengetahui biayanya, maka enumerator menuliskan</w:t>
      </w:r>
      <w:r>
        <w:t xml:space="preserve"> </w:t>
      </w:r>
      <w:r>
        <w:t xml:space="preserve">“-”</w:t>
      </w:r>
    </w:p>
    <w:bookmarkEnd w:id="72"/>
    <w:bookmarkStart w:id="73" w:name="section-19"/>
    <w:p>
      <w:pPr>
        <w:pStyle w:val="Heading3"/>
      </w:pPr>
      <w:r>
        <w:t xml:space="preserve">620</w:t>
      </w:r>
    </w:p>
    <w:p>
      <w:pPr>
        <w:pStyle w:val="FirstParagraph"/>
      </w:pPr>
      <w:r>
        <w:t xml:space="preserve">Enumerator, mohon periksa jawaban pada pertanyaan 606 agar konsisten.</w:t>
      </w:r>
    </w:p>
    <w:bookmarkEnd w:id="73"/>
    <w:bookmarkEnd w:id="74"/>
    <w:bookmarkStart w:id="76" w:name="X9cdf2e477f6bfde5ba1a1d5295eaa0749142ef7"/>
    <w:p>
      <w:pPr>
        <w:pStyle w:val="Heading2"/>
      </w:pPr>
      <w:r>
        <w:t xml:space="preserve">BLOK VII. KEPEMILIKAN HANDPHONE DAN KUALITAS SINYAL</w:t>
      </w:r>
    </w:p>
    <w:bookmarkStart w:id="75" w:name="section-20"/>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75"/>
    <w:bookmarkEnd w:id="76"/>
    <w:bookmarkStart w:id="78" w:name="X1f16f569c0efc61e14c25f0f19961facb6bc093"/>
    <w:p>
      <w:pPr>
        <w:pStyle w:val="Heading2"/>
      </w:pPr>
      <w:r>
        <w:t xml:space="preserve">BLOK VIII. PERSEPSI TERHADAP BANSOS NON TUNAI</w:t>
      </w:r>
    </w:p>
    <w:bookmarkStart w:id="77" w:name="section-21"/>
    <w:p>
      <w:pPr>
        <w:pStyle w:val="Heading3"/>
      </w:pPr>
      <w:r>
        <w:t xml:space="preserve">801</w:t>
      </w:r>
    </w:p>
    <w:p>
      <w:pPr>
        <w:numPr>
          <w:ilvl w:val="0"/>
          <w:numId w:val="1006"/>
        </w:numPr>
      </w:pPr>
      <w:r>
        <w:t xml:space="preserve">Enumerator dapat menyederhanakan kalimat pernyataan-pernyataan yang ada dengan bahasa sendiri agar responden dapat lebih mudah memahami maksud pernyataan yang ditanyakan.</w:t>
      </w:r>
    </w:p>
    <w:p>
      <w:pPr>
        <w:numPr>
          <w:ilvl w:val="0"/>
          <w:numId w:val="1006"/>
        </w:numPr>
      </w:pP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p>
    <w:p>
      <w:pPr>
        <w:numPr>
          <w:ilvl w:val="0"/>
          <w:numId w:val="1006"/>
        </w:numPr>
      </w:pPr>
      <w:r>
        <w:t xml:space="preserve">Istilah</w:t>
      </w:r>
      <w:r>
        <w:t xml:space="preserve"> </w:t>
      </w:r>
      <w:r>
        <w:t xml:space="preserve">‘dimanapun’</w:t>
      </w:r>
      <w:r>
        <w:t xml:space="preserve"> </w:t>
      </w:r>
      <w:r>
        <w:t xml:space="preserve">untuk poin 2 dan 5 dimaksudkan untuk tempat penarikan bansos non tunai, yaitu Agen Bank/ATM/KC Bank.</w:t>
      </w:r>
    </w:p>
    <w:bookmarkEnd w:id="77"/>
    <w:bookmarkEnd w:id="78"/>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2025-07-10T02:29:31Z</dcterms:created>
  <dcterms:modified xsi:type="dcterms:W3CDTF">2025-07-10T02:29:31Z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