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3.png" ContentType="image/png"/>
  <Override PartName="/word/media/rId56.png" ContentType="image/png"/>
  <Override PartName="/word/media/rId47.png" ContentType="image/png"/>
  <Override PartName="/word/media/rId20.png" ContentType="image/png"/>
  <Override PartName="/word/media/rId5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7" w:name="blok-ii.-profil-responden"/>
    <w:p>
      <w:pPr>
        <w:pStyle w:val="Heading2"/>
      </w:pPr>
      <w:r>
        <w:t xml:space="preserve">BLOK II. PROFIL RESPONDEN</w:t>
      </w:r>
    </w:p>
    <w:bookmarkStart w:id="33" w:name="section-1"/>
    <w:p>
      <w:pPr>
        <w:pStyle w:val="Heading3"/>
      </w:pPr>
      <w:r>
        <w:t xml:space="preserve">201, 206, 207, 208, 209</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section-2"/>
    <w:p>
      <w:pPr>
        <w:pStyle w:val="Heading3"/>
      </w:pPr>
      <w:r>
        <w:t xml:space="preserve">210</w:t>
      </w:r>
    </w:p>
    <w:p>
      <w:pPr>
        <w:pStyle w:val="FirstParagraph"/>
      </w:pPr>
      <w:r>
        <w:t xml:space="preserve">Klasifikasi Desa/Kelurahan sebagai perkotaan atau perdesaan ditentukan oleh</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4"/>
    <w:bookmarkStart w:id="35"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5"/>
    <w:bookmarkStart w:id="36" w:name="section-3"/>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6"/>
    <w:bookmarkEnd w:id="37"/>
    <w:bookmarkStart w:id="40" w:name="blok-iii.-kondisi-ekonomi"/>
    <w:p>
      <w:pPr>
        <w:pStyle w:val="Heading2"/>
      </w:pPr>
      <w:r>
        <w:t xml:space="preserve">BLOK III. KONDISI EKONOMI</w:t>
      </w:r>
    </w:p>
    <w:bookmarkStart w:id="38" w:name="section-4"/>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Jika tidak ada tanggungan, maka diisi 00.</w:t>
      </w:r>
    </w:p>
    <w:bookmarkEnd w:id="38"/>
    <w:bookmarkStart w:id="39" w:name="section-5"/>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39"/>
    <w:bookmarkEnd w:id="40"/>
    <w:bookmarkStart w:id="42" w:name="Xd3db6c907221c96dbcd8320114c50c0345aa197"/>
    <w:p>
      <w:pPr>
        <w:pStyle w:val="Heading2"/>
      </w:pPr>
      <w:r>
        <w:t xml:space="preserve">BLOK IV. PEMAHAMAN TERHADAP MEKANISME PENYALURAN BANSOS NON TUNAI</w:t>
      </w:r>
    </w:p>
    <w:bookmarkStart w:id="41" w:name="section-6"/>
    <w:p>
      <w:pPr>
        <w:pStyle w:val="Heading3"/>
      </w:pPr>
      <w:r>
        <w:t xml:space="preserve">412-414</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1"/>
    <w:bookmarkEnd w:id="42"/>
    <w:bookmarkStart w:id="46" w:name="X306d872e9756ddfa23762daf792b20ca51e4fd4"/>
    <w:p>
      <w:pPr>
        <w:pStyle w:val="Heading2"/>
      </w:pPr>
      <w:r>
        <w:t xml:space="preserve">BLOK V. PENGALAMAN KPM DALAM PENARIKAN BANSOS NON TUNAI</w:t>
      </w:r>
    </w:p>
    <w:bookmarkStart w:id="43" w:name="section-7"/>
    <w:p>
      <w:pPr>
        <w:pStyle w:val="Heading3"/>
      </w:pPr>
      <w:r>
        <w:t xml:space="preserve">501-503</w:t>
      </w:r>
    </w:p>
    <w:p>
      <w:pPr>
        <w:pStyle w:val="FirstParagraph"/>
      </w:pPr>
      <w:r>
        <w:t xml:space="preserve">Pada 501, jika responden tidak pernah mengambil bansos di lokasi tersebut, maka isi dengan angka 0, dan kemudian 502 dan 503 dibiarkan kosong.</w:t>
      </w:r>
    </w:p>
    <w:p>
      <w:pPr>
        <w:pStyle w:val="BodyText"/>
      </w:pPr>
      <w:r>
        <w:t xml:space="preserve">Nominal pada 503 dalam ribuan rupiah. Misal, jika biaya transportasi yang dikeluarkan adalah Rp 15.000, maka isian 503 diisi dengan angka 015.</w:t>
      </w:r>
    </w:p>
    <w:bookmarkEnd w:id="43"/>
    <w:bookmarkStart w:id="44" w:name="section-8"/>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44"/>
    <w:bookmarkStart w:id="45" w:name="section-9"/>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45"/>
    <w:bookmarkEnd w:id="46"/>
    <w:bookmarkStart w:id="64" w:name="X7a46e29748790ffebdb6c7c0bd9e4e77e9aafce"/>
    <w:p>
      <w:pPr>
        <w:pStyle w:val="Heading2"/>
      </w:pPr>
      <w:r>
        <w:t xml:space="preserve">BLOK VI. PENGALAMAN KPM DALAM MELAKUKAN TRANSAKSI DIGITAL</w:t>
      </w:r>
    </w:p>
    <w:bookmarkStart w:id="62" w:name="section-10"/>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48" name="Picture"/>
                  <a:graphic>
                    <a:graphicData uri="http://schemas.openxmlformats.org/drawingml/2006/picture">
                      <pic:pic>
                        <pic:nvPicPr>
                          <pic:cNvPr descr="img/edc.png" id="49" name="Picture"/>
                          <pic:cNvPicPr>
                            <a:picLocks noChangeArrowheads="1" noChangeAspect="1"/>
                          </pic:cNvPicPr>
                        </pic:nvPicPr>
                        <pic:blipFill>
                          <a:blip r:embed="rId47"/>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1" name="Picture"/>
                  <a:graphic>
                    <a:graphicData uri="http://schemas.openxmlformats.org/drawingml/2006/picture">
                      <pic:pic>
                        <pic:nvPicPr>
                          <pic:cNvPr descr="img/e1.png" id="52" name="Picture"/>
                          <pic:cNvPicPr>
                            <a:picLocks noChangeArrowheads="1" noChangeAspect="1"/>
                          </pic:cNvPicPr>
                        </pic:nvPicPr>
                        <pic:blipFill>
                          <a:blip r:embed="rId50"/>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54" name="Picture"/>
                  <a:graphic>
                    <a:graphicData uri="http://schemas.openxmlformats.org/drawingml/2006/picture">
                      <pic:pic>
                        <pic:nvPicPr>
                          <pic:cNvPr descr="img/e2.png" id="55" name="Picture"/>
                          <pic:cNvPicPr>
                            <a:picLocks noChangeArrowheads="1" noChangeAspect="1"/>
                          </pic:cNvPicPr>
                        </pic:nvPicPr>
                        <pic:blipFill>
                          <a:blip r:embed="rId53"/>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57" name="Picture"/>
                  <a:graphic>
                    <a:graphicData uri="http://schemas.openxmlformats.org/drawingml/2006/picture">
                      <pic:pic>
                        <pic:nvPicPr>
                          <pic:cNvPr descr="img/e3.png" id="58" name="Picture"/>
                          <pic:cNvPicPr>
                            <a:picLocks noChangeArrowheads="1" noChangeAspect="1"/>
                          </pic:cNvPicPr>
                        </pic:nvPicPr>
                        <pic:blipFill>
                          <a:blip r:embed="rId56"/>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0" name="Picture"/>
                  <a:graphic>
                    <a:graphicData uri="http://schemas.openxmlformats.org/drawingml/2006/picture">
                      <pic:pic>
                        <pic:nvPicPr>
                          <pic:cNvPr descr="img/qris.png" id="61" name="Picture"/>
                          <pic:cNvPicPr>
                            <a:picLocks noChangeArrowheads="1" noChangeAspect="1"/>
                          </pic:cNvPicPr>
                        </pic:nvPicPr>
                        <pic:blipFill>
                          <a:blip r:embed="rId59"/>
                          <a:stretch>
                            <a:fillRect/>
                          </a:stretch>
                        </pic:blipFill>
                        <pic:spPr bwMode="auto">
                          <a:xfrm>
                            <a:off x="0" y="0"/>
                            <a:ext cx="476250" cy="636783"/>
                          </a:xfrm>
                          <a:prstGeom prst="rect">
                            <a:avLst/>
                          </a:prstGeom>
                          <a:noFill/>
                          <a:ln w="9525">
                            <a:noFill/>
                            <a:headEnd/>
                            <a:tailEnd/>
                          </a:ln>
                        </pic:spPr>
                      </pic:pic>
                    </a:graphicData>
                  </a:graphic>
                </wp:inline>
              </w:drawing>
            </w:r>
          </w:p>
        </w:tc>
      </w:tr>
    </w:tbl>
    <w:p>
      <w:pPr>
        <w:numPr>
          <w:ilvl w:val="0"/>
          <w:numId w:val="1003"/>
        </w:numPr>
      </w:pPr>
      <w:r>
        <w:t xml:space="preserve">Pilihan jawaban pada 606 ditanyakan semua kepada responden. Jika responden mengetahui fasilitas transaksi elektronik atau digital yang disebutkan, maka pilih angka yang sesuai.</w:t>
      </w:r>
    </w:p>
    <w:p>
      <w:pPr>
        <w:numPr>
          <w:ilvl w:val="0"/>
          <w:numId w:val="1003"/>
        </w:numPr>
      </w:pPr>
      <w:r>
        <w:t xml:space="preserve">Pertanyaan 607 menanyakan hal terkait fasilitas transaksi elektronik atau digital yang pernah digunakan oleh responden secara pribadi di luar penerimaan Bansos pada satu tahun terakhir.</w:t>
      </w:r>
    </w:p>
    <w:p>
      <w:pPr>
        <w:numPr>
          <w:ilvl w:val="0"/>
          <w:numId w:val="1003"/>
        </w:numPr>
      </w:pPr>
      <w:r>
        <w:t xml:space="preserve">Pertanyaan 608 ditanyakan sesuai dengan jawaban responden pada 607 dengan mengurutkan 3 jenis fasilitas transaksi keuangan yang paling sering digunakan.</w:t>
      </w:r>
    </w:p>
    <w:p>
      <w:pPr>
        <w:pStyle w:val="FirstParagraph"/>
      </w:pPr>
      <w:r>
        <w:rPr>
          <w:b/>
          <w:bCs/>
        </w:rPr>
        <w:t xml:space="preserve">Contoh:</w:t>
      </w:r>
      <w:r>
        <w:t xml:space="preserve"> </w:t>
      </w:r>
      <w:r>
        <w:t xml:space="preserve">Pada pertanyaan 607 responden memilih jawaban 3 (ATM) dan jawaban 9 (SMS Banking). Maka untuk pertanyaan 608 responden hanya diminta untuk mengurutkan fasilitas</w:t>
      </w:r>
      <w:r>
        <w:t xml:space="preserve"> </w:t>
      </w:r>
      <w:r>
        <w:t xml:space="preserve">“ATM”</w:t>
      </w:r>
      <w:r>
        <w:t xml:space="preserve"> </w:t>
      </w:r>
      <w:r>
        <w:t xml:space="preserve">dan</w:t>
      </w:r>
      <w:r>
        <w:t xml:space="preserve"> </w:t>
      </w:r>
      <w:r>
        <w:t xml:space="preserve">“SMS Banking”</w:t>
      </w:r>
      <w:r>
        <w:t xml:space="preserve"> </w:t>
      </w:r>
      <w:r>
        <w:t xml:space="preserve">saja dimulai dari yang paling sering. Pilihan jawaban yang tidak dipilih pada 607 tidak perlu diurutkan di 608.</w:t>
      </w:r>
    </w:p>
    <w:bookmarkEnd w:id="62"/>
    <w:bookmarkStart w:id="63" w:name="section-11"/>
    <w:p>
      <w:pPr>
        <w:pStyle w:val="Heading3"/>
      </w:pPr>
      <w:r>
        <w:t xml:space="preserve">609-611</w:t>
      </w:r>
    </w:p>
    <w:p>
      <w:pPr>
        <w:pStyle w:val="FirstParagraph"/>
      </w:pPr>
      <w:r>
        <w:t xml:space="preserve">Pertanyaan 610 dan 611 hanya diisi jika responden menjawab</w:t>
      </w:r>
      <w:r>
        <w:t xml:space="preserve"> </w:t>
      </w:r>
      <w:r>
        <w:t xml:space="preserve">“Ya”</w:t>
      </w:r>
      <w:r>
        <w:t xml:space="preserve"> </w:t>
      </w:r>
      <w:r>
        <w:t xml:space="preserve">pada 609.</w:t>
      </w:r>
    </w:p>
    <w:bookmarkEnd w:id="63"/>
    <w:bookmarkEnd w:id="64"/>
    <w:bookmarkStart w:id="67" w:name="X9cdf2e477f6bfde5ba1a1d5295eaa0749142ef7"/>
    <w:p>
      <w:pPr>
        <w:pStyle w:val="Heading2"/>
      </w:pPr>
      <w:r>
        <w:t xml:space="preserve">BLOK VII. KEPEMILIKAN HANDPHONE DAN KUALITAS SINYAL</w:t>
      </w:r>
    </w:p>
    <w:bookmarkStart w:id="65" w:name="section-12"/>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65"/>
    <w:bookmarkStart w:id="66" w:name="dan-723"/>
    <w:p>
      <w:pPr>
        <w:pStyle w:val="Heading3"/>
      </w:pPr>
      <w:r>
        <w:t xml:space="preserve">722 dan 723</w:t>
      </w:r>
    </w:p>
    <w:p>
      <w:pPr>
        <w:pStyle w:val="FirstParagraph"/>
      </w:pPr>
      <w:r>
        <w:t xml:space="preserve">Pertanyaan 723 hanya diisi jika responden menjawab</w:t>
      </w:r>
      <w:r>
        <w:t xml:space="preserve"> </w:t>
      </w:r>
      <w:r>
        <w:t xml:space="preserve">“Ya”</w:t>
      </w:r>
      <w:r>
        <w:t xml:space="preserve"> </w:t>
      </w:r>
      <w:r>
        <w:t xml:space="preserve">pada 722. Berikan urutan 3 opsi metode penarikan bansos yang paling diinginkan oleh responden.</w:t>
      </w:r>
    </w:p>
    <w:bookmarkEnd w:id="66"/>
    <w:bookmarkEnd w:id="67"/>
    <w:bookmarkStart w:id="69" w:name="X1f16f569c0efc61e14c25f0f19961facb6bc093"/>
    <w:p>
      <w:pPr>
        <w:pStyle w:val="Heading2"/>
      </w:pPr>
      <w:r>
        <w:t xml:space="preserve">BLOK VIII. PERSEPSI TERHADAP BANSOS NON TUNAI</w:t>
      </w:r>
    </w:p>
    <w:bookmarkStart w:id="68" w:name="section-13"/>
    <w:p>
      <w:pPr>
        <w:pStyle w:val="Heading3"/>
      </w:pPr>
      <w:r>
        <w:t xml:space="preserve">801</w:t>
      </w:r>
    </w:p>
    <w:p>
      <w:pPr>
        <w:pStyle w:val="FirstParagraph"/>
      </w:pPr>
      <w:r>
        <w:t xml:space="preserve">-Enumerator dapat menyederhanakan kalimat pernyataan-pernyataan yang ada dengan bahasa sendiri agar responden dapat lebih mudah memahami maksud pernyataan yang ditanyakan.</w:t>
      </w:r>
      <w:r>
        <w:t xml:space="preserve"> </w:t>
      </w: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r>
        <w:t xml:space="preserve"> </w:t>
      </w:r>
      <w:r>
        <w:t xml:space="preserve">-Istilah</w:t>
      </w:r>
      <w:r>
        <w:t xml:space="preserve"> </w:t>
      </w:r>
      <w:r>
        <w:t xml:space="preserve">‘dimanapun’</w:t>
      </w:r>
      <w:r>
        <w:t xml:space="preserve"> </w:t>
      </w:r>
      <w:r>
        <w:t xml:space="preserve">untuk poin 2 dan 5 dimaksudkan untuk tempat penarikan bansos non tunai, yaitu Agen Bank/ATM/KC Bank.</w:t>
      </w:r>
    </w:p>
    <w:bookmarkEnd w:id="68"/>
    <w:bookmarkEnd w:id="69"/>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2025-07-09T10:21:27Z</dcterms:created>
  <dcterms:modified xsi:type="dcterms:W3CDTF">2025-07-09T10:21:27Z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