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14:paraId="00000001">
      <w:pPr>
        <w:rPr>
          <w:rFonts w:ascii="IBM Plex Sans Light" w:hAnsi="IBM Plex Sans Light" w:cs="IBM Plex Sans Light" w:eastAsia="IBM Plex Sans Light"/>
        </w:rPr>
      </w:pPr>
    </w:p>
    <w:p w14:paraId="00000002">
      <w:pPr>
        <w:rPr>
          <w:rFonts w:ascii="IBM Plex Sans Light" w:hAnsi="IBM Plex Sans Light" w:cs="IBM Plex Sans Light" w:eastAsia="IBM Plex Sans Light"/>
        </w:rPr>
        <w:pStyle w:val="P68B1DB1-Normal1"/>
      </w:pPr>
      <w:r>
        <w:t xml:space="preserve">Reminder email to ROW clients</w:t>
        <w:br w:type="textWrapping"/>
      </w:r>
    </w:p>
    <w:tbl>
      <w:tblPr>
        <w:tblStyle w:val="Table1"/>
        <w:tblW w:w="11357.0" w:type="dxa"/>
        <w:jc w:val="left"/>
        <w:tblBorders>
          <w:top w:color="cccccc" w:space="0" w:sz="8" w:val="single"/>
          <w:left w:color="cccccc" w:space="0" w:sz="8" w:val="single"/>
          <w:bottom w:color="cccccc" w:space="0" w:sz="8" w:val="single"/>
          <w:right w:color="cccccc" w:space="0" w:sz="8" w:val="single"/>
          <w:insideH w:color="cccccc" w:space="0" w:sz="8" w:val="single"/>
          <w:insideV w:color="cccccc" w:space="0" w:sz="8" w:val="single"/>
        </w:tblBorders>
        <w:tblLayout w:type="fixed"/>
        <w:tblLook w:val="0600"/>
      </w:tblPr>
      <w:tblGrid>
        <w:gridCol w:w="5678.5"/>
        <w:gridCol w:w="5678.5"/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" w:hAnsi="IBM Plex Sans" w:cs="IBM Plex Sans" w:eastAsia="IBM Plex Sans"/>
                <w:b w:val="1"/>
              </w:rPr>
            </w:pPr>
          </w:p>
          <w:p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" w:hAnsi="IBM Plex Sans" w:cs="IBM Plex Sans" w:eastAsia="IBM Plex Sans"/>
                <w:b w:val="1"/>
              </w:rPr>
              <w:pStyle w:val="P68B1DB1-Normal1"/>
            </w:pPr>
            <w:r>
              <w:t xml:space="preserve">Subject line:</w:t>
            </w:r>
          </w:p>
          <w:p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 Light" w:hAnsi="IBM Plex Sans Light" w:cs="IBM Plex Sans Light" w:eastAsia="IBM Plex Sans Light"/>
              </w:rPr>
            </w:pPr>
            <w:r>
              <w:t xml:space="preserve">Estamos a remover o Tether Omni (USDT) a 29 de setembro</w:t>
            </w:r>
          </w:p>
          <w:p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 Light" w:hAnsi="IBM Plex Sans Light" w:cs="IBM Plex Sans Light" w:eastAsia="IBM Plex Sans Light"/>
              </w:rPr>
            </w:pPr>
          </w:p>
          <w:p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" w:hAnsi="IBM Plex Sans" w:cs="IBM Plex Sans" w:eastAsia="IBM Plex Sans"/>
                <w:b w:val="1"/>
              </w:rPr>
              <w:pStyle w:val="P68B1DB1-Normal1"/>
            </w:pPr>
            <w:r>
              <w:t>Body:</w:t>
            </w:r>
          </w:p>
          <w:p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 Light" w:hAnsi="IBM Plex Sans Light" w:cs="IBM Plex Sans Light" w:eastAsia="IBM Plex Sans Light"/>
              </w:rPr>
            </w:pPr>
          </w:p>
          <w:p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BM Plex Sans" w:hAnsi="IBM Plex Sans" w:cs="IBM Plex Sans" w:eastAsia="IBM Plex Sans"/>
                <w:b w:val="1"/>
                <w:sz w:val="30"/>
                <w:szCs w:val="30"/>
              </w:rPr>
              <w:pStyle w:val="P68B1DB1-Normal2"/>
            </w:pPr>
            <w:r>
              <w:t xml:space="preserve">Diga adeus ao Tether Omni</w:t>
            </w:r>
          </w:p>
          <w:p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 Light" w:hAnsi="IBM Plex Sans Light" w:cs="IBM Plex Sans Light" w:eastAsia="IBM Plex Sans Light"/>
              </w:rPr>
            </w:pPr>
          </w:p>
          <w:p w14:paraId="0000000B">
            <w:pPr>
              <w:widowControl w:val="0"/>
              <w:rPr>
                <w:rFonts w:ascii="IBM Plex Sans Light" w:hAnsi="IBM Plex Sans Light" w:cs="IBM Plex Sans Light" w:eastAsia="IBM Plex Sans Light"/>
              </w:rPr>
            </w:pPr>
            <w:r>
              <w:t xml:space="preserve">Deixaremos de oferecer o Tether Omni (USDT) como moeda da conta no Deriv, a partir de 29/09/2023 (00:00 GMT). Isso ocorre porque o Tether parou de oferecer suporte ao Omni para transferências de USDT.</w:t>
            </w:r>
          </w:p>
          <w:p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 Light" w:hAnsi="IBM Plex Sans Light" w:cs="IBM Plex Sans Light" w:eastAsia="IBM Plex Sans Light"/>
              </w:rPr>
            </w:pPr>
          </w:p>
          <w:p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 Light" w:hAnsi="IBM Plex Sans Light" w:cs="IBM Plex Sans Light" w:eastAsia="IBM Plex Sans Light"/>
              </w:rPr>
            </w:pPr>
            <w:r>
              <w:rPr>
                <w:rFonts w:ascii="IBM Plex Sans" w:hAnsi="IBM Plex Sans" w:cs="IBM Plex Sans" w:eastAsia="IBM Plex Sans"/>
                <w:b w:val="1"/>
              </w:rPr>
              <w:t xml:space="preserve">O que é que preciso de fazer?</w:t>
            </w:r>
            <w:r>
              <w:br w:type="textWrapping"/>
              <w:t xml:space="preserve">Se tiver um saldo na sua conta USDT </w:t>
            </w:r>
            <w:r>
              <w:rPr>
                <w:rFonts w:ascii="IBM Plex Sans" w:hAnsi="IBM Plex Sans" w:cs="IBM Plex Sans" w:eastAsia="IBM Plex Sans"/>
                <w:b w:val="1"/>
              </w:rPr>
              <w:t xml:space="preserve">[ID da conta]</w:t>
            </w:r>
            <w:r>
              <w:t xml:space="preserve">, levante o seu saldo antes da data acima indicada. Se tiver posições abertas, feche-as primeiro antes de levantar o seu saldo.</w:t>
            </w:r>
          </w:p>
          <w:p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BM Plex Sans Light" w:hAnsi="IBM Plex Sans Light" w:cs="IBM Plex Sans Light" w:eastAsia="IBM Plex Sans Light"/>
              </w:rPr>
            </w:pPr>
          </w:p>
          <w:tbl>
            <w:tblPr>
              <w:tblStyle w:val="Table2"/>
              <w:tblW w:w="2205.0" w:type="dxa"/>
              <w:jc w:val="center"/>
              <w:tblLayout w:type="fixed"/>
              <w:tblLook w:val="0600"/>
            </w:tblPr>
            <w:tblGrid>
              <w:gridCol w:w="2205"/>
            </w:tblGrid>
            <w:tr>
              <w:trPr>
                <w:cantSplit w:val="0"/>
                <w:tblHeader w:val="0"/>
              </w:trPr>
              <w:tc>
                <w:tcPr>
                  <w:shd w:fill="ff0000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14:paraId="0000000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IBM Plex Sans" w:hAnsi="IBM Plex Sans" w:cs="IBM Plex Sans" w:eastAsia="IBM Plex Sans"/>
                      <w:b w:val="1"/>
                      <w:color w:val="ffffff"/>
                    </w:rPr>
                    <w:pStyle w:val="P68B1DB1-Normal3"/>
                  </w:pPr>
                  <w:hyperlink r:id="rId7">
                    <w:r>
                      <w:t xml:space="preserve">Verificar a minha conta</w:t>
                    </w:r>
                  </w:hyperlink>
                </w:p>
              </w:tc>
            </w:tr>
          </w:tbl>
          <w:p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BM Plex Sans Light" w:hAnsi="IBM Plex Sans Light" w:cs="IBM Plex Sans Light" w:eastAsia="IBM Plex Sans Light"/>
              </w:rPr>
            </w:pPr>
          </w:p>
          <w:p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" w:hAnsi="IBM Plex Sans" w:cs="IBM Plex Sans" w:eastAsia="IBM Plex Sans"/>
                <w:b w:val="1"/>
              </w:rPr>
              <w:pStyle w:val="P68B1DB1-Normal1"/>
            </w:pPr>
            <w:r>
              <w:t>Importante</w:t>
            </w:r>
          </w:p>
          <w:p w14:paraId="00000012">
            <w:pPr>
              <w:spacing w:line="240" w:lineRule="auto"/>
            </w:pPr>
            <w:r>
              <w:t xml:space="preserve">A sua conta USDT será encerrada em 29/09/2023 às 00:00 GMT. Todas as posições abertas serão automaticamente fechadas e o saldo da conta será transferido para a sua última conta ativa após a data mencionada</w:t>
            </w:r>
            <w:commentRangeStart w:id="0"/>
            <w:commentRangeStart w:id="1"/>
            <w:commentRangeStart w:id="2"/>
            <w:commentRangeStart w:id="3"/>
            <w:r>
              <w:t xml:space="preserve">. </w:t>
            </w:r>
            <w:commentRangeEnd w:id="0"/>
            <w:r>
              <w:commentReference w:id="0"/>
            </w:r>
            <w:commentRangeEnd w:id="1"/>
            <w:r>
              <w:commentReference w:id="1"/>
            </w:r>
            <w:commentRangeEnd w:id="2"/>
            <w:r>
              <w:commentReference w:id="2"/>
            </w:r>
            <w:commentRangeEnd w:id="3"/>
            <w:r>
              <w:commentReference w:id="3"/>
              <w:t xml:space="preserve">Durante este processo, serão aplicadas taxas de câmbio e comissões normais.</w:t>
            </w:r>
          </w:p>
          <w:p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 Light" w:hAnsi="IBM Plex Sans Light" w:cs="IBM Plex Sans Light" w:eastAsia="IBM Plex Sans Light"/>
              </w:rPr>
            </w:pPr>
          </w:p>
          <w:p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 Light" w:hAnsi="IBM Plex Sans Light" w:cs="IBM Plex Sans Light" w:eastAsia="IBM Plex Sans Light"/>
              </w:rPr>
            </w:pPr>
            <w:r>
              <w:t xml:space="preserve">Se tiver alguma dúvida, contacte-nos:</w:t>
            </w:r>
          </w:p>
          <w:p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 Light" w:hAnsi="IBM Plex Sans Light" w:cs="IBM Plex Sans Light" w:eastAsia="IBM Plex Sans Light"/>
              </w:rPr>
            </w:pPr>
            <w:hyperlink r:id="rId8">
              <w:r>
                <w:rPr>
                  <w:color w:val="1155cc"/>
                  <w:u w:val="single"/>
                </w:rPr>
                <w:t xml:space="preserve">Chat ao vivo</w:t>
              </w:r>
            </w:hyperlink>
            <w:r>
              <w:t xml:space="preserve"> | </w:t>
            </w:r>
            <w:hyperlink r:id="rId9">
              <w:r>
                <w:rPr>
                  <w:color w:val="1155cc"/>
                  <w:u w:val="single"/>
                </w:rPr>
                <w:t>WhatsApp</w:t>
              </w:r>
            </w:hyperlink>
          </w:p>
          <w:p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 Light" w:hAnsi="IBM Plex Sans Light" w:cs="IBM Plex Sans Light" w:eastAsia="IBM Plex Sans Light"/>
              </w:rPr>
            </w:pPr>
          </w:p>
        </w:tc>
      </w:tr>
    </w:tbl>
    <w:p w14:paraId="00000018">
      <w:pPr>
        <w:rPr>
          <w:rFonts w:ascii="IBM Plex Sans Light" w:hAnsi="IBM Plex Sans Light" w:cs="IBM Plex Sans Light" w:eastAsia="IBM Plex Sans Light"/>
        </w:rPr>
      </w:pPr>
    </w:p>
    <w:p w14:paraId="00000019">
      <w:pPr>
        <w:rPr>
          <w:rFonts w:ascii="IBM Plex Sans" w:hAnsi="IBM Plex Sans" w:cs="IBM Plex Sans" w:eastAsia="IBM Plex Sans"/>
          <w:b w:val="1"/>
        </w:rPr>
      </w:pPr>
    </w:p>
    <w:p w14:paraId="0000001A">
      <w:pPr>
        <w:rPr>
          <w:rFonts w:ascii="IBM Plex Sans" w:hAnsi="IBM Plex Sans" w:cs="IBM Plex Sans" w:eastAsia="IBM Plex Sans"/>
          <w:b w:val="1"/>
        </w:rPr>
      </w:pPr>
    </w:p>
    <w:p w14:paraId="0000001B">
      <w:pPr>
        <w:rPr>
          <w:rFonts w:ascii="IBM Plex Sans" w:hAnsi="IBM Plex Sans" w:cs="IBM Plex Sans" w:eastAsia="IBM Plex Sans"/>
          <w:b w:val="1"/>
        </w:rPr>
      </w:pPr>
    </w:p>
    <w:p w14:paraId="0000001C">
      <w:pPr>
        <w:rPr>
          <w:rFonts w:ascii="IBM Plex Sans" w:hAnsi="IBM Plex Sans" w:cs="IBM Plex Sans" w:eastAsia="IBM Plex Sans"/>
          <w:b w:val="1"/>
        </w:rPr>
      </w:pPr>
    </w:p>
    <w:p w14:paraId="0000001D">
      <w:pPr>
        <w:rPr>
          <w:rFonts w:ascii="IBM Plex Sans" w:hAnsi="IBM Plex Sans" w:cs="IBM Plex Sans" w:eastAsia="IBM Plex Sans"/>
          <w:b w:val="1"/>
        </w:rPr>
      </w:pPr>
    </w:p>
    <w:p w14:paraId="0000001E">
      <w:pPr>
        <w:rPr>
          <w:rFonts w:ascii="IBM Plex Sans" w:hAnsi="IBM Plex Sans" w:cs="IBM Plex Sans" w:eastAsia="IBM Plex Sans"/>
          <w:b w:val="1"/>
        </w:rPr>
      </w:pPr>
    </w:p>
    <w:p w14:paraId="0000001F">
      <w:pPr>
        <w:rPr>
          <w:rFonts w:ascii="IBM Plex Sans" w:hAnsi="IBM Plex Sans" w:cs="IBM Plex Sans" w:eastAsia="IBM Plex Sans"/>
          <w:b w:val="1"/>
        </w:rPr>
      </w:pPr>
    </w:p>
    <w:p w14:paraId="00000020">
      <w:pPr>
        <w:rPr>
          <w:rFonts w:ascii="IBM Plex Sans" w:hAnsi="IBM Plex Sans" w:cs="IBM Plex Sans" w:eastAsia="IBM Plex Sans"/>
          <w:b w:val="1"/>
        </w:rPr>
      </w:pPr>
    </w:p>
    <w:p w14:paraId="00000021">
      <w:pPr>
        <w:rPr>
          <w:rFonts w:ascii="IBM Plex Sans" w:hAnsi="IBM Plex Sans" w:cs="IBM Plex Sans" w:eastAsia="IBM Plex Sans"/>
          <w:b w:val="1"/>
        </w:rPr>
      </w:pPr>
    </w:p>
    <w:p w14:paraId="00000022">
      <w:pPr>
        <w:rPr>
          <w:rFonts w:ascii="IBM Plex Sans" w:hAnsi="IBM Plex Sans" w:cs="IBM Plex Sans" w:eastAsia="IBM Plex Sans"/>
          <w:b w:val="1"/>
        </w:rPr>
      </w:pPr>
    </w:p>
    <w:p w14:paraId="00000023">
      <w:pPr>
        <w:rPr>
          <w:rFonts w:ascii="IBM Plex Sans" w:hAnsi="IBM Plex Sans" w:cs="IBM Plex Sans" w:eastAsia="IBM Plex Sans"/>
          <w:b w:val="1"/>
        </w:rPr>
      </w:pPr>
    </w:p>
    <w:p w14:paraId="00000024">
      <w:pPr>
        <w:rPr>
          <w:rFonts w:ascii="IBM Plex Sans" w:hAnsi="IBM Plex Sans" w:cs="IBM Plex Sans" w:eastAsia="IBM Plex Sans"/>
          <w:b w:val="1"/>
        </w:rPr>
      </w:pPr>
    </w:p>
    <w:p w14:paraId="00000025">
      <w:pPr>
        <w:rPr>
          <w:rFonts w:ascii="IBM Plex Sans" w:hAnsi="IBM Plex Sans" w:cs="IBM Plex Sans" w:eastAsia="IBM Plex Sans"/>
          <w:b w:val="1"/>
        </w:rPr>
      </w:pPr>
    </w:p>
    <w:p w14:paraId="00000026">
      <w:pPr>
        <w:rPr>
          <w:rFonts w:ascii="IBM Plex Sans" w:hAnsi="IBM Plex Sans" w:cs="IBM Plex Sans" w:eastAsia="IBM Plex Sans"/>
          <w:b w:val="1"/>
        </w:rPr>
      </w:pPr>
    </w:p>
    <w:p w14:paraId="00000027">
      <w:pPr>
        <w:rPr>
          <w:rFonts w:ascii="IBM Plex Sans" w:hAnsi="IBM Plex Sans" w:cs="IBM Plex Sans" w:eastAsia="IBM Plex Sans"/>
          <w:b w:val="1"/>
        </w:rPr>
      </w:pPr>
    </w:p>
    <w:p w14:paraId="00000028">
      <w:pPr>
        <w:rPr>
          <w:rFonts w:ascii="IBM Plex Sans" w:hAnsi="IBM Plex Sans" w:cs="IBM Plex Sans" w:eastAsia="IBM Plex Sans"/>
          <w:b w:val="1"/>
        </w:rPr>
      </w:pPr>
    </w:p>
    <w:p w14:paraId="00000029">
      <w:pPr>
        <w:rPr>
          <w:rFonts w:ascii="IBM Plex Sans Light" w:hAnsi="IBM Plex Sans Light" w:cs="IBM Plex Sans Light" w:eastAsia="IBM Plex Sans Light"/>
        </w:rPr>
      </w:pPr>
    </w:p>
    <w:sectPr>
      <w:pgSz w:h="16838" w:w="11906" w:orient="portrait"/>
      <w:pgMar w:bottom="402.5196850393701" w:top="283.46456692913387" w:left="283.46456692913387" w:right="266.45669291338584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Yng Shan Tan" w:id="0" w:date="2023-09-26T03:10:42Z">
    <w:p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4"/>
      </w:pPr>
      <w:r>
        <w:t xml:space="preserve">@azita@regentmarkets.com , a BE não pode garantir que o guião esteja pronto nessa altura,</w:t>
      </w:r>
    </w:p>
    <w:p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4"/>
      </w:pPr>
      <w:r>
        <w:t xml:space="preserve">Podemos mencionar como "após a data mencionada"?</w:t>
      </w:r>
    </w:p>
  </w:comment>
  <w:comment w:author="Azita Rassi" w:id="1" w:date="2023-09-26T03:19:35Z">
    <w:p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4"/>
      </w:pPr>
      <w:r>
        <w:t xml:space="preserve">Quer dizer que a transferência será efectuada após a data mencionada?</w:t>
      </w:r>
    </w:p>
  </w:comment>
  <w:comment w:author="Yng Shan Tan" w:id="2" w:date="2023-09-26T03:23:29Z">
    <w:p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4"/>
      </w:pPr>
      <w:r>
        <w:t xml:space="preserve">sim... parece que não podemos confirmar a data</w:t>
      </w:r>
    </w:p>
  </w:comment>
  <w:comment w:author="Azita Rassi" w:id="3" w:date="2023-09-26T03:44:38Z">
    <w:p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4"/>
      </w:pPr>
      <w:r>
        <w:t>Atualizado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IBM Plex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IBM Plex Sans Ligh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pPrDefault/>
    <w:rPrDefault>
      <w:rPr>
        <w:rFonts w:ascii="IBM Plex Sans Light" w:hAnsi="IBM Plex Sans Light" w:cs="IBM Plex Sans Light" w:eastAsia="IBM Plex Sans Light"/>
        <w:sz w:val="22"/>
        <w:szCs w:val="22"/>
      </w:rPr>
    </w:r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hAnsi="Arial" w:cs="Arial" w:eastAsia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paragraph" w:styleId="P68B1DB1-Normal1">
    <w:name w:val="P68B1DB1-Normal1"/>
    <w:basedOn w:val="Normal"/>
    <w:rPr>
      <w:rFonts w:ascii="IBM Plex Sans" w:hAnsi="IBM Plex Sans" w:cs="IBM Plex Sans" w:eastAsia="IBM Plex Sans"/>
      <w:b w:val="1"/>
    </w:rPr>
  </w:style>
  <w:style w:type="paragraph" w:styleId="P68B1DB1-Normal2">
    <w:name w:val="P68B1DB1-Normal2"/>
    <w:basedOn w:val="Normal"/>
    <w:rPr>
      <w:rFonts w:ascii="IBM Plex Sans" w:hAnsi="IBM Plex Sans" w:cs="IBM Plex Sans" w:eastAsia="IBM Plex Sans"/>
      <w:b w:val="1"/>
      <w:sz w:val="30"/>
      <w:szCs w:val="30"/>
    </w:rPr>
  </w:style>
  <w:style w:type="paragraph" w:styleId="P68B1DB1-Normal3">
    <w:name w:val="P68B1DB1-Normal3"/>
    <w:basedOn w:val="Normal"/>
    <w:rPr>
      <w:rFonts w:ascii="IBM Plex Sans" w:hAnsi="IBM Plex Sans" w:cs="IBM Plex Sans" w:eastAsia="IBM Plex Sans"/>
      <w:b w:val="1"/>
      <w:color w:val="ffffff"/>
    </w:rPr>
  </w:style>
  <w:style w:type="paragraph" w:styleId="P68B1DB1-Normal4">
    <w:name w:val="P68B1DB1-Normal4"/>
    <w:basedOn w:val="Normal"/>
    <w:rPr>
      <w:rFonts w:ascii="Arial" w:hAnsi="Arial" w:cs="Arial" w:eastAsia="Arial"/>
      <w:color w:val="000000"/>
      <w:shd w:fill="auto" w:val="clear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api.whatsapp.com/send/?phone=35699578341&amp;text&amp;type=phone_number&amp;app_absent=0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app.deriv.com/appstore/traders-hub" TargetMode="External"/><Relationship Id="rId8" Type="http://schemas.openxmlformats.org/officeDocument/2006/relationships/hyperlink" Target="https://deriv.com/contact_us?is_livechat_open=tru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BMPlexSans-regular.ttf"/><Relationship Id="rId2" Type="http://schemas.openxmlformats.org/officeDocument/2006/relationships/font" Target="fonts/IBMPlexSans-bold.ttf"/><Relationship Id="rId3" Type="http://schemas.openxmlformats.org/officeDocument/2006/relationships/font" Target="fonts/IBMPlexSans-italic.ttf"/><Relationship Id="rId4" Type="http://schemas.openxmlformats.org/officeDocument/2006/relationships/font" Target="fonts/IBMPlexSans-boldItalic.ttf"/><Relationship Id="rId5" Type="http://schemas.openxmlformats.org/officeDocument/2006/relationships/font" Target="fonts/IBMPlexSansLight-regular.ttf"/><Relationship Id="rId6" Type="http://schemas.openxmlformats.org/officeDocument/2006/relationships/font" Target="fonts/IBMPlexSansLight-bold.ttf"/><Relationship Id="rId7" Type="http://schemas.openxmlformats.org/officeDocument/2006/relationships/font" Target="fonts/IBMPlexSansLight-italic.ttf"/><Relationship Id="rId8" Type="http://schemas.openxmlformats.org/officeDocument/2006/relationships/font" Target="fonts/IBMPlexSansLigh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