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14:paraId="00000001">
      <w:pPr>
        <w:rPr>
          <w:rFonts w:ascii="IBM Plex Sans Light" w:hAnsi="IBM Plex Sans Light" w:cs="IBM Plex Sans Light" w:eastAsia="IBM Plex Sans Light"/>
        </w:rPr>
      </w:pPr>
    </w:p>
    <w:p w14:paraId="00000002">
      <w:pPr>
        <w:rPr>
          <w:rFonts w:ascii="IBM Plex Sans Light" w:hAnsi="IBM Plex Sans Light" w:cs="IBM Plex Sans Light" w:eastAsia="IBM Plex Sans Light"/>
        </w:rPr>
        <w:pStyle w:val="P68B1DB1-Normal1"/>
      </w:pPr>
      <w:r>
        <w:t xml:space="preserve">Reminder email to ROW clients</w:t>
        <w:br w:type="textWrapping"/>
      </w:r>
    </w:p>
    <w:tbl>
      <w:tblPr>
        <w:tblStyle w:val="Table1"/>
        <w:tblW w:w="11357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5678.5"/>
        <w:gridCol w:w="5678.5"/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</w:pPr>
          </w:p>
          <w:p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 xml:space="preserve">Subject line:</w:t>
            </w:r>
          </w:p>
          <w:p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Vamos remover o Tether Omni (USDT) no dia 29 de setembro</w:t>
            </w:r>
          </w:p>
          <w:p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Body:</w:t>
            </w:r>
          </w:p>
          <w:p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" w:hAnsi="IBM Plex Sans" w:cs="IBM Plex Sans" w:eastAsia="IBM Plex Sans"/>
                <w:b w:val="1"/>
                <w:sz w:val="30"/>
                <w:szCs w:val="30"/>
              </w:rPr>
              <w:pStyle w:val="P68B1DB1-Normal2"/>
            </w:pPr>
            <w:r>
              <w:t xml:space="preserve">Diga adeus ao Tether Omni</w:t>
            </w:r>
          </w:p>
          <w:p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B">
            <w:pPr>
              <w:widowControl w:val="0"/>
              <w:rPr>
                <w:rFonts w:ascii="IBM Plex Sans Light" w:hAnsi="IBM Plex Sans Light" w:cs="IBM Plex Sans Light" w:eastAsia="IBM Plex Sans Light"/>
              </w:rPr>
            </w:pPr>
            <w:r>
              <w:t xml:space="preserve">Vamos deixar de oferecer o Tether Omni (USDT) como moeda da conta no Deriv, a partir de 29/09/2023 (00:00 GMT). O motivo deve-se ao facto de a Tether ter deixado de suportar a Omni para transferências de USDT.</w:t>
            </w:r>
          </w:p>
          <w:p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rPr>
                <w:rFonts w:ascii="IBM Plex Sans" w:hAnsi="IBM Plex Sans" w:cs="IBM Plex Sans" w:eastAsia="IBM Plex Sans"/>
                <w:b w:val="1"/>
              </w:rPr>
              <w:t xml:space="preserve">O que é necessário fazer? </w:t>
            </w:r>
            <w:r>
              <w:br w:type="textWrapping"/>
              <w:t xml:space="preserve">Se tiver um saldo na sua conta USDT </w:t>
            </w:r>
            <w:r>
              <w:rPr>
                <w:rFonts w:ascii="IBM Plex Sans" w:hAnsi="IBM Plex Sans" w:cs="IBM Plex Sans" w:eastAsia="IBM Plex Sans"/>
                <w:b w:val="1"/>
              </w:rPr>
              <w:t xml:space="preserve">[account ID]</w:t>
            </w:r>
            <w:r>
              <w:t xml:space="preserve">, retire o seu saldo antes da data acima indicada. Caso tenha posições abertas, feche-as primeiro antes de retirar o seu saldo.</w:t>
            </w:r>
          </w:p>
          <w:p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tbl>
            <w:tblPr>
              <w:tblStyle w:val="Table2"/>
              <w:tblW w:w="2205.0" w:type="dxa"/>
              <w:jc w:val="center"/>
              <w:tblLayout w:type="fixed"/>
              <w:tblLook w:val="0600"/>
            </w:tblPr>
            <w:tblGrid>
              <w:gridCol w:w="2205"/>
            </w:tblGrid>
            <w:tr>
              <w:trPr>
                <w:cantSplit w:val="0"/>
                <w:tblHeader w:val="0"/>
              </w:trPr>
              <w:tc>
                <w:tcPr>
                  <w:shd w:fill="ff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IBM Plex Sans" w:hAnsi="IBM Plex Sans" w:cs="IBM Plex Sans" w:eastAsia="IBM Plex Sans"/>
                      <w:b w:val="1"/>
                      <w:color w:val="ffffff"/>
                    </w:rPr>
                    <w:pStyle w:val="P68B1DB1-Normal3"/>
                  </w:pPr>
                  <w:hyperlink r:id="rId7">
                    <w:r>
                      <w:t xml:space="preserve">Verificar a minha conta</w:t>
                    </w:r>
                  </w:hyperlink>
                </w:p>
              </w:tc>
            </w:tr>
          </w:tbl>
          <w:p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p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Importante</w:t>
            </w:r>
          </w:p>
          <w:p w14:paraId="00000012">
            <w:pPr>
              <w:spacing w:line="240" w:lineRule="auto"/>
            </w:pPr>
            <w:r>
              <w:t xml:space="preserve">A sua conta USDT será encerrada no dia 29/09/2023 às 00:00 GMT. Todas as posições abertas serão automaticamente fechadas e o saldo da conta será transferido para a sua última conta ativa após a data mencionada</w:t>
            </w:r>
            <w:commentRangeStart w:id="0"/>
            <w:commentRangeStart w:id="1"/>
            <w:commentRangeStart w:id="2"/>
            <w:commentRangeStart w:id="3"/>
            <w:r>
              <w:t xml:space="preserve">. </w:t>
            </w:r>
            <w:commentRangeEnd w:id="0"/>
            <w:r>
              <w:commentReference w:id="0"/>
            </w:r>
            <w:commentRangeEnd w:id="1"/>
            <w:r>
              <w:commentReference w:id="1"/>
            </w:r>
            <w:commentRangeEnd w:id="2"/>
            <w:r>
              <w:commentReference w:id="2"/>
            </w:r>
            <w:commentRangeEnd w:id="3"/>
            <w:r>
              <w:commentReference w:id="3"/>
              <w:t xml:space="preserve">Durante este processo, serão aplicadas taxas de câmbio e comissões normais.</w:t>
            </w:r>
          </w:p>
          <w:p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Se tiver alguma dúvida, contacte-nos:</w:t>
            </w:r>
          </w:p>
          <w:p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hyperlink r:id="rId8">
              <w:r>
                <w:rPr>
                  <w:color w:val="1155cc"/>
                  <w:u w:val="single"/>
                </w:rPr>
                <w:t xml:space="preserve">Live chat</w:t>
              </w:r>
            </w:hyperlink>
            <w:r>
              <w:t xml:space="preserve"> | </w:t>
            </w:r>
            <w:hyperlink r:id="rId9">
              <w:r>
                <w:rPr>
                  <w:color w:val="1155cc"/>
                  <w:u w:val="single"/>
                </w:rPr>
                <w:t>WhatsApp</w:t>
              </w:r>
            </w:hyperlink>
          </w:p>
          <w:p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</w:tc>
      </w:tr>
    </w:tbl>
    <w:p w14:paraId="00000018">
      <w:pPr>
        <w:rPr>
          <w:rFonts w:ascii="IBM Plex Sans Light" w:hAnsi="IBM Plex Sans Light" w:cs="IBM Plex Sans Light" w:eastAsia="IBM Plex Sans Light"/>
        </w:rPr>
      </w:pPr>
    </w:p>
    <w:p w14:paraId="00000019">
      <w:pPr>
        <w:rPr>
          <w:rFonts w:ascii="IBM Plex Sans" w:hAnsi="IBM Plex Sans" w:cs="IBM Plex Sans" w:eastAsia="IBM Plex Sans"/>
          <w:b w:val="1"/>
        </w:rPr>
      </w:pPr>
    </w:p>
    <w:p w14:paraId="0000001A">
      <w:pPr>
        <w:rPr>
          <w:rFonts w:ascii="IBM Plex Sans" w:hAnsi="IBM Plex Sans" w:cs="IBM Plex Sans" w:eastAsia="IBM Plex Sans"/>
          <w:b w:val="1"/>
        </w:rPr>
      </w:pPr>
    </w:p>
    <w:p w14:paraId="0000001B">
      <w:pPr>
        <w:rPr>
          <w:rFonts w:ascii="IBM Plex Sans" w:hAnsi="IBM Plex Sans" w:cs="IBM Plex Sans" w:eastAsia="IBM Plex Sans"/>
          <w:b w:val="1"/>
        </w:rPr>
      </w:pPr>
    </w:p>
    <w:p w14:paraId="0000001C">
      <w:pPr>
        <w:rPr>
          <w:rFonts w:ascii="IBM Plex Sans" w:hAnsi="IBM Plex Sans" w:cs="IBM Plex Sans" w:eastAsia="IBM Plex Sans"/>
          <w:b w:val="1"/>
        </w:rPr>
      </w:pPr>
    </w:p>
    <w:p w14:paraId="0000001D">
      <w:pPr>
        <w:rPr>
          <w:rFonts w:ascii="IBM Plex Sans" w:hAnsi="IBM Plex Sans" w:cs="IBM Plex Sans" w:eastAsia="IBM Plex Sans"/>
          <w:b w:val="1"/>
        </w:rPr>
      </w:pPr>
    </w:p>
    <w:p w14:paraId="0000001E">
      <w:pPr>
        <w:rPr>
          <w:rFonts w:ascii="IBM Plex Sans" w:hAnsi="IBM Plex Sans" w:cs="IBM Plex Sans" w:eastAsia="IBM Plex Sans"/>
          <w:b w:val="1"/>
        </w:rPr>
      </w:pPr>
    </w:p>
    <w:p w14:paraId="0000001F">
      <w:pPr>
        <w:rPr>
          <w:rFonts w:ascii="IBM Plex Sans" w:hAnsi="IBM Plex Sans" w:cs="IBM Plex Sans" w:eastAsia="IBM Plex Sans"/>
          <w:b w:val="1"/>
        </w:rPr>
      </w:pPr>
    </w:p>
    <w:p w14:paraId="00000020">
      <w:pPr>
        <w:rPr>
          <w:rFonts w:ascii="IBM Plex Sans" w:hAnsi="IBM Plex Sans" w:cs="IBM Plex Sans" w:eastAsia="IBM Plex Sans"/>
          <w:b w:val="1"/>
        </w:rPr>
      </w:pPr>
    </w:p>
    <w:p w14:paraId="00000021">
      <w:pPr>
        <w:rPr>
          <w:rFonts w:ascii="IBM Plex Sans" w:hAnsi="IBM Plex Sans" w:cs="IBM Plex Sans" w:eastAsia="IBM Plex Sans"/>
          <w:b w:val="1"/>
        </w:rPr>
      </w:pPr>
    </w:p>
    <w:p w14:paraId="00000022">
      <w:pPr>
        <w:rPr>
          <w:rFonts w:ascii="IBM Plex Sans" w:hAnsi="IBM Plex Sans" w:cs="IBM Plex Sans" w:eastAsia="IBM Plex Sans"/>
          <w:b w:val="1"/>
        </w:rPr>
      </w:pPr>
    </w:p>
    <w:p w14:paraId="00000023">
      <w:pPr>
        <w:rPr>
          <w:rFonts w:ascii="IBM Plex Sans" w:hAnsi="IBM Plex Sans" w:cs="IBM Plex Sans" w:eastAsia="IBM Plex Sans"/>
          <w:b w:val="1"/>
        </w:rPr>
      </w:pPr>
    </w:p>
    <w:p w14:paraId="00000024">
      <w:pPr>
        <w:rPr>
          <w:rFonts w:ascii="IBM Plex Sans" w:hAnsi="IBM Plex Sans" w:cs="IBM Plex Sans" w:eastAsia="IBM Plex Sans"/>
          <w:b w:val="1"/>
        </w:rPr>
      </w:pPr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</w:pPr>
    </w:p>
    <w:p w14:paraId="00000027">
      <w:pPr>
        <w:rPr>
          <w:rFonts w:ascii="IBM Plex Sans" w:hAnsi="IBM Plex Sans" w:cs="IBM Plex Sans" w:eastAsia="IBM Plex Sans"/>
          <w:b w:val="1"/>
        </w:rPr>
      </w:pPr>
    </w:p>
    <w:p w14:paraId="00000028">
      <w:pPr>
        <w:rPr>
          <w:rFonts w:ascii="IBM Plex Sans" w:hAnsi="IBM Plex Sans" w:cs="IBM Plex Sans" w:eastAsia="IBM Plex Sans"/>
          <w:b w:val="1"/>
        </w:rPr>
      </w:pPr>
    </w:p>
    <w:p w14:paraId="00000029">
      <w:pPr>
        <w:rPr>
          <w:rFonts w:ascii="IBM Plex Sans Light" w:hAnsi="IBM Plex Sans Light" w:cs="IBM Plex Sans Light" w:eastAsia="IBM Plex Sans Light"/>
        </w:rPr>
      </w:pPr>
    </w:p>
    <w:sectPr>
      <w:pgSz w:h="16838" w:w="11906" w:orient="portrait"/>
      <w:pgMar w:bottom="402.5196850393701" w:top="283.46456692913387" w:left="283.46456692913387" w:right="266.45669291338584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ng Shan Tan" w:id="0" w:date="2023-09-26T03:10:42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@azita@regentmarkets.com , a BE não pode garantir que o guião esteja pronto nessa altura,</w:t>
      </w: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Podemos mencionar como "após a data mencionada"?</w:t>
      </w:r>
    </w:p>
  </w:comment>
  <w:comment w:author="Azita Rassi" w:id="1" w:date="2023-09-26T03:19:35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Quer dizer que a transferência será efectuada após a data mencionada?</w:t>
      </w:r>
    </w:p>
  </w:comment>
  <w:comment w:author="Yng Shan Tan" w:id="2" w:date="2023-09-26T03:23:29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sim... parece que não podemos confirmar a data</w:t>
      </w:r>
    </w:p>
  </w:comment>
  <w:comment w:author="Azita Rassi" w:id="3" w:date="2023-09-26T03:44:38Z">
    <w:p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Atualizado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BM Plex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/>
    <w:rPrDefault>
      <w:rPr>
        <w:rFonts w:ascii="IBM Plex Sans Light" w:hAnsi="IBM Plex Sans Light" w:cs="IBM Plex Sans Light" w:eastAsia="IBM Plex Sans Light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  <w:b w:val="1"/>
      <w:sz w:val="30"/>
      <w:szCs w:val="30"/>
    </w:rPr>
  </w:style>
  <w:style w:type="paragraph" w:styleId="P68B1DB1-Normal3">
    <w:name w:val="P68B1DB1-Normal3"/>
    <w:basedOn w:val="Normal"/>
    <w:rPr>
      <w:rFonts w:ascii="IBM Plex Sans" w:hAnsi="IBM Plex Sans" w:cs="IBM Plex Sans" w:eastAsia="IBM Plex Sans"/>
      <w:b w:val="1"/>
      <w:color w:val="ffffff"/>
    </w:rPr>
  </w:style>
  <w:style w:type="paragraph" w:styleId="P68B1DB1-Normal4">
    <w:name w:val="P68B1DB1-Normal4"/>
    <w:basedOn w:val="Normal"/>
    <w:rPr>
      <w:rFonts w:ascii="Arial" w:hAnsi="Arial" w:cs="Arial" w:eastAsia="Arial"/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pi.whatsapp.com/send/?phone=35699578341&amp;text&amp;type=phone_number&amp;app_absent=0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pp.deriv.com/appstore/traders-hub" TargetMode="External"/><Relationship Id="rId8" Type="http://schemas.openxmlformats.org/officeDocument/2006/relationships/hyperlink" Target="https://deriv.com/contact_us?is_livechat_open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5" Type="http://schemas.openxmlformats.org/officeDocument/2006/relationships/font" Target="fonts/IBMPlexSansLight-regular.ttf"/><Relationship Id="rId6" Type="http://schemas.openxmlformats.org/officeDocument/2006/relationships/font" Target="fonts/IBMPlexSansLight-bold.ttf"/><Relationship Id="rId7" Type="http://schemas.openxmlformats.org/officeDocument/2006/relationships/font" Target="fonts/IBMPlexSansLight-italic.ttf"/><Relationship Id="rId8" Type="http://schemas.openxmlformats.org/officeDocument/2006/relationships/font" Target="fonts/IBMPlex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