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14:paraId="00000001">
      <w:pPr>
        <w:rPr>
          <w:rFonts w:ascii="IBM Plex Sans Light" w:hAnsi="IBM Plex Sans Light" w:cs="IBM Plex Sans Light" w:eastAsia="IBM Plex Sans Light"/>
        </w:rPr>
      </w:pPr>
    </w:p>
    <w:p w14:paraId="00000002">
      <w:pPr>
        <w:rPr>
          <w:rFonts w:ascii="IBM Plex Sans Light" w:hAnsi="IBM Plex Sans Light" w:cs="IBM Plex Sans Light" w:eastAsia="IBM Plex Sans Light"/>
        </w:rPr>
        <w:pStyle w:val="P68B1DB1-Normal1"/>
      </w:pPr>
      <w:r>
        <w:t xml:space="preserve">向 ROW 客戶傳送提醒電子郵件</w:t>
        <w:br w:type="textWrapping"/>
      </w:r>
    </w:p>
    <w:tbl>
      <w:tblPr>
        <w:tblStyle w:val="Table1"/>
        <w:tblW w:w="11357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5678.5"/>
        <w:gridCol w:w="5678.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</w:pPr>
          </w:p>
          <w:p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 xml:space="preserve">Subject line:</w:t>
            </w:r>
          </w:p>
          <w:p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將於 9 月 29 日移除 Tether Omni (USDT)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Body:</w:t>
            </w: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" w:hAnsi="IBM Plex Sans" w:cs="IBM Plex Sans" w:eastAsia="IBM Plex Sans"/>
                <w:b w:val="1"/>
                <w:sz w:val="30"/>
                <w:szCs w:val="30"/>
              </w:rPr>
              <w:pStyle w:val="P68B1DB1-Normal2"/>
            </w:pPr>
            <w:r>
              <w:t xml:space="preserve">向 Tether Omni 道別</w:t>
            </w: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B">
            <w:pPr>
              <w:widowControl w:val="0"/>
              <w:rPr>
                <w:rFonts w:ascii="IBM Plex Sans Light" w:hAnsi="IBM Plex Sans Light" w:cs="IBM Plex Sans Light" w:eastAsia="IBM Plex Sans Light"/>
              </w:rPr>
            </w:pPr>
            <w:r>
              <w:t xml:space="preserve">自 2023 年 9 月 29 日格林威治標準時間 00:00 起，Deriv 將停止提供Tether Omni (USDT) 作為帳戶貨幣。 這是因為 Tether 已停止支援 USDT 的 Omni 轉帳。</w:t>
            </w:r>
          </w:p>
          <w:p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rPr>
                <w:rFonts w:ascii="IBM Plex Sans" w:hAnsi="IBM Plex Sans" w:cs="IBM Plex Sans" w:eastAsia="IBM Plex Sans"/>
                <w:b w:val="1"/>
              </w:rPr>
              <w:t>需要做什麼？</w:t>
            </w:r>
            <w:r>
              <w:br w:type="textWrapping"/>
              <w:t xml:space="preserve">如果 USDT 帳戶 </w:t>
            </w:r>
            <w:r>
              <w:rPr>
                <w:rFonts w:ascii="IBM Plex Sans" w:hAnsi="IBM Plex Sans" w:cs="IBM Plex Sans" w:eastAsia="IBM Plex Sans"/>
                <w:b w:val="1"/>
              </w:rPr>
              <w:t xml:space="preserve">[account ID]</w:t>
            </w:r>
            <w:r>
              <w:t xml:space="preserve"> 中有餘額，請在上述日期之前提取餘額。 若有持倉頭寸，提取餘額前請先平倉。</w:t>
            </w:r>
          </w:p>
          <w:p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tbl>
            <w:tblPr>
              <w:tblStyle w:val="Table2"/>
              <w:tblW w:w="2205.0" w:type="dxa"/>
              <w:jc w:val="center"/>
              <w:tblLayout w:type="fixed"/>
              <w:tblLook w:val="0600"/>
            </w:tblPr>
            <w:tblGrid>
              <w:gridCol w:w="2205"/>
            </w:tblGrid>
            <w:tr>
              <w:trPr>
                <w:cantSplit w:val="0"/>
                <w:tblHeader w:val="0"/>
              </w:trPr>
              <w:tc>
                <w:tcPr>
                  <w:shd w:fill="ff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IBM Plex Sans" w:hAnsi="IBM Plex Sans" w:cs="IBM Plex Sans" w:eastAsia="IBM Plex Sans"/>
                      <w:b w:val="1"/>
                      <w:color w:val="ffffff"/>
                    </w:rPr>
                    <w:pStyle w:val="P68B1DB1-Normal3"/>
                  </w:pPr>
                  <w:hyperlink r:id="rId7">
                    <w:r>
                      <w:t>檢查帳戶</w:t>
                    </w:r>
                  </w:hyperlink>
                </w:p>
              </w:tc>
            </w:tr>
          </w:tbl>
          <w:p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p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重要提示</w:t>
            </w:r>
          </w:p>
          <w:p w14:paraId="00000012">
            <w:pPr>
              <w:spacing w:line="240" w:lineRule="auto"/>
            </w:pPr>
            <w:r>
              <w:t xml:space="preserve">USDT 帳戶將於 2023 年 9 月 29 日格林尼治標準時間 00:00 關閉。 任何持倉頭寸將在上述日期後自動平倉，帳戶餘額將轉移到最後活躍的帳戶</w:t>
            </w:r>
            <w:commentRangeStart w:id="0"/>
            <w:commentRangeStart w:id="1"/>
            <w:commentRangeStart w:id="2"/>
            <w:commentRangeStart w:id="3"/>
            <w:r>
              <w:t xml:space="preserve">。 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commentRangeEnd w:id="2"/>
            <w:r>
              <w:commentReference w:id="2"/>
            </w:r>
            <w:commentRangeEnd w:id="3"/>
            <w:r>
              <w:commentReference w:id="3"/>
              <w:t>在此過程中將採用標準匯率和費用。</w:t>
            </w:r>
          </w:p>
          <w:p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>如有任何疑問，請透過以下方式聯繫我們：</w:t>
            </w:r>
          </w:p>
          <w:p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hyperlink r:id="rId8">
              <w:r>
                <w:rPr>
                  <w:color w:val="1155cc"/>
                  <w:u w:val="single"/>
                </w:rPr>
                <w:t>即時聊天</w:t>
              </w:r>
            </w:hyperlink>
            <w:r>
              <w:t xml:space="preserve"> | </w:t>
            </w:r>
            <w:hyperlink r:id="rId9">
              <w:r>
                <w:rPr>
                  <w:color w:val="1155cc"/>
                  <w:u w:val="single"/>
                </w:rPr>
                <w:t>WhatsApp</w:t>
              </w:r>
            </w:hyperlink>
          </w:p>
          <w:p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</w:tc>
      </w:tr>
    </w:tbl>
    <w:p w14:paraId="00000018">
      <w:pPr>
        <w:rPr>
          <w:rFonts w:ascii="IBM Plex Sans Light" w:hAnsi="IBM Plex Sans Light" w:cs="IBM Plex Sans Light" w:eastAsia="IBM Plex Sans Light"/>
        </w:rPr>
      </w:pPr>
    </w:p>
    <w:p w14:paraId="00000019">
      <w:pPr>
        <w:rPr>
          <w:rFonts w:ascii="IBM Plex Sans" w:hAnsi="IBM Plex Sans" w:cs="IBM Plex Sans" w:eastAsia="IBM Plex Sans"/>
          <w:b w:val="1"/>
        </w:rPr>
      </w:pPr>
    </w:p>
    <w:p w14:paraId="0000001A">
      <w:pPr>
        <w:rPr>
          <w:rFonts w:ascii="IBM Plex Sans" w:hAnsi="IBM Plex Sans" w:cs="IBM Plex Sans" w:eastAsia="IBM Plex Sans"/>
          <w:b w:val="1"/>
        </w:rPr>
      </w:pPr>
    </w:p>
    <w:p w14:paraId="0000001B">
      <w:pPr>
        <w:rPr>
          <w:rFonts w:ascii="IBM Plex Sans" w:hAnsi="IBM Plex Sans" w:cs="IBM Plex Sans" w:eastAsia="IBM Plex Sans"/>
          <w:b w:val="1"/>
        </w:rPr>
      </w:pPr>
    </w:p>
    <w:p w14:paraId="0000001C">
      <w:pPr>
        <w:rPr>
          <w:rFonts w:ascii="IBM Plex Sans" w:hAnsi="IBM Plex Sans" w:cs="IBM Plex Sans" w:eastAsia="IBM Plex Sans"/>
          <w:b w:val="1"/>
        </w:rPr>
      </w:pPr>
    </w:p>
    <w:p w14:paraId="0000001D">
      <w:pPr>
        <w:rPr>
          <w:rFonts w:ascii="IBM Plex Sans" w:hAnsi="IBM Plex Sans" w:cs="IBM Plex Sans" w:eastAsia="IBM Plex Sans"/>
          <w:b w:val="1"/>
        </w:rPr>
      </w:pPr>
    </w:p>
    <w:p w14:paraId="0000001E">
      <w:pPr>
        <w:rPr>
          <w:rFonts w:ascii="IBM Plex Sans" w:hAnsi="IBM Plex Sans" w:cs="IBM Plex Sans" w:eastAsia="IBM Plex Sans"/>
          <w:b w:val="1"/>
        </w:rPr>
      </w:pPr>
    </w:p>
    <w:p w14:paraId="0000001F">
      <w:pPr>
        <w:rPr>
          <w:rFonts w:ascii="IBM Plex Sans" w:hAnsi="IBM Plex Sans" w:cs="IBM Plex Sans" w:eastAsia="IBM Plex Sans"/>
          <w:b w:val="1"/>
        </w:rPr>
      </w:pPr>
    </w:p>
    <w:p w14:paraId="00000020">
      <w:pPr>
        <w:rPr>
          <w:rFonts w:ascii="IBM Plex Sans" w:hAnsi="IBM Plex Sans" w:cs="IBM Plex Sans" w:eastAsia="IBM Plex Sans"/>
          <w:b w:val="1"/>
        </w:rPr>
      </w:pPr>
    </w:p>
    <w:p w14:paraId="00000021">
      <w:pPr>
        <w:rPr>
          <w:rFonts w:ascii="IBM Plex Sans" w:hAnsi="IBM Plex Sans" w:cs="IBM Plex Sans" w:eastAsia="IBM Plex Sans"/>
          <w:b w:val="1"/>
        </w:rPr>
      </w:pPr>
    </w:p>
    <w:p w14:paraId="00000022">
      <w:pPr>
        <w:rPr>
          <w:rFonts w:ascii="IBM Plex Sans" w:hAnsi="IBM Plex Sans" w:cs="IBM Plex Sans" w:eastAsia="IBM Plex Sans"/>
          <w:b w:val="1"/>
        </w:rPr>
      </w:pPr>
    </w:p>
    <w:p w14:paraId="00000023">
      <w:pPr>
        <w:rPr>
          <w:rFonts w:ascii="IBM Plex Sans" w:hAnsi="IBM Plex Sans" w:cs="IBM Plex Sans" w:eastAsia="IBM Plex Sans"/>
          <w:b w:val="1"/>
        </w:rPr>
      </w:pPr>
    </w:p>
    <w:p w14:paraId="00000024">
      <w:pPr>
        <w:rPr>
          <w:rFonts w:ascii="IBM Plex Sans" w:hAnsi="IBM Plex Sans" w:cs="IBM Plex Sans" w:eastAsia="IBM Plex Sans"/>
          <w:b w:val="1"/>
        </w:rPr>
      </w:pPr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</w:pPr>
    </w:p>
    <w:p w14:paraId="00000027">
      <w:pPr>
        <w:rPr>
          <w:rFonts w:ascii="IBM Plex Sans" w:hAnsi="IBM Plex Sans" w:cs="IBM Plex Sans" w:eastAsia="IBM Plex Sans"/>
          <w:b w:val="1"/>
        </w:rPr>
      </w:pPr>
    </w:p>
    <w:p w14:paraId="00000028">
      <w:pPr>
        <w:rPr>
          <w:rFonts w:ascii="IBM Plex Sans" w:hAnsi="IBM Plex Sans" w:cs="IBM Plex Sans" w:eastAsia="IBM Plex Sans"/>
          <w:b w:val="1"/>
        </w:rPr>
      </w:pPr>
    </w:p>
    <w:p w14:paraId="00000029">
      <w:pPr>
        <w:rPr>
          <w:rFonts w:ascii="IBM Plex Sans Light" w:hAnsi="IBM Plex Sans Light" w:cs="IBM Plex Sans Light" w:eastAsia="IBM Plex Sans Light"/>
        </w:rPr>
      </w:pPr>
    </w:p>
    <w:sectPr>
      <w:pgSz w:h="16838" w:w="11906" w:orient="portrait"/>
      <w:pgMar w:bottom="402.5196850393701" w:top="283.46456692913387" w:left="283.46456692913387" w:right="266.4566929133858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ng Shan Tan" w:id="0" w:date="2023-09-26T03:10:42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@azita@regentmarkets.com，BE 無法保證屆時可以完成指令，</w:t>
      </w: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可以將其稱為“所述日期之後”嗎？</w:t>
      </w:r>
    </w:p>
  </w:comment>
  <w:comment w:author="Azita Rassi" w:id="1" w:date="2023-09-26T03:19:35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意思是在所述日期之後完成轉帳嗎？</w:t>
      </w:r>
    </w:p>
  </w:comment>
  <w:comment w:author="Yng Shan Tan" w:id="2" w:date="2023-09-26T03:23:29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是的... 看來我們無法確認日期</w:t>
      </w:r>
    </w:p>
  </w:comment>
  <w:comment w:author="Azita Rassi" w:id="3" w:date="2023-09-26T03:44:38Z">
    <w:p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已更新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/>
    <w:rPrDefault>
      <w:rPr>
        <w:rFonts w:ascii="IBM Plex Sans Light" w:hAnsi="IBM Plex Sans Light" w:cs="IBM Plex Sans Light" w:eastAsia="IBM Plex Sans Light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  <w:b w:val="1"/>
      <w:sz w:val="30"/>
      <w:szCs w:val="30"/>
    </w:rPr>
  </w:style>
  <w:style w:type="paragraph" w:styleId="P68B1DB1-Normal3">
    <w:name w:val="P68B1DB1-Normal3"/>
    <w:basedOn w:val="Normal"/>
    <w:rPr>
      <w:rFonts w:ascii="IBM Plex Sans" w:hAnsi="IBM Plex Sans" w:cs="IBM Plex Sans" w:eastAsia="IBM Plex Sans"/>
      <w:b w:val="1"/>
      <w:color w:val="ffffff"/>
    </w:rPr>
  </w:style>
  <w:style w:type="paragraph" w:styleId="P68B1DB1-Normal4">
    <w:name w:val="P68B1DB1-Normal4"/>
    <w:basedOn w:val="Normal"/>
    <w:rPr>
      <w:rFonts w:ascii="Arial" w:hAnsi="Arial" w:cs="Arial" w:eastAsia="Arial"/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pi.whatsapp.com/send/?phone=35699578341&amp;text&amp;type=phone_number&amp;app_absent=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p.deriv.com/appstore/traders-hub" TargetMode="External"/><Relationship Id="rId8" Type="http://schemas.openxmlformats.org/officeDocument/2006/relationships/hyperlink" Target="https://deriv.com/contact_us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IBMPlexSansLight-regular.ttf"/><Relationship Id="rId6" Type="http://schemas.openxmlformats.org/officeDocument/2006/relationships/font" Target="fonts/IBMPlexSansLight-bold.ttf"/><Relationship Id="rId7" Type="http://schemas.openxmlformats.org/officeDocument/2006/relationships/font" Target="fonts/IBMPlexSansLight-italic.ttf"/><Relationship Id="rId8" Type="http://schemas.openxmlformats.org/officeDocument/2006/relationships/font" Target="fonts/IBMPlex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