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E0EA" w14:textId="77777777" w:rsidR="002A6719" w:rsidRDefault="00000000">
      <w:pPr>
        <w:spacing w:after="15" w:line="259" w:lineRule="auto"/>
        <w:ind w:left="703" w:firstLine="0"/>
        <w:jc w:val="center"/>
      </w:pPr>
      <w:r>
        <w:t xml:space="preserve">CARTA-ACORDO </w:t>
      </w:r>
    </w:p>
    <w:p w14:paraId="4AD953B0" w14:textId="77777777" w:rsidR="002A6719" w:rsidRDefault="00000000">
      <w:pPr>
        <w:spacing w:after="185" w:line="259" w:lineRule="auto"/>
        <w:ind w:left="590" w:firstLine="0"/>
        <w:jc w:val="left"/>
      </w:pPr>
      <w:r>
        <w:rPr>
          <w:sz w:val="28"/>
        </w:rPr>
        <w:t xml:space="preserve"> </w:t>
      </w:r>
    </w:p>
    <w:p w14:paraId="0E6C693F" w14:textId="77777777" w:rsidR="002A6719" w:rsidRDefault="00000000">
      <w:pPr>
        <w:spacing w:after="10" w:line="259" w:lineRule="auto"/>
        <w:ind w:left="10" w:right="7"/>
        <w:jc w:val="right"/>
      </w:pPr>
      <w:r>
        <w:t xml:space="preserve">São Mateus-ES, 23 de agosto de 2023 </w:t>
      </w:r>
    </w:p>
    <w:p w14:paraId="700E5559" w14:textId="77777777" w:rsidR="002A6719" w:rsidRDefault="00000000">
      <w:pPr>
        <w:spacing w:after="185" w:line="259" w:lineRule="auto"/>
        <w:ind w:left="590" w:firstLine="0"/>
        <w:jc w:val="left"/>
      </w:pPr>
      <w:r>
        <w:rPr>
          <w:sz w:val="28"/>
        </w:rPr>
        <w:t xml:space="preserve"> </w:t>
      </w:r>
    </w:p>
    <w:p w14:paraId="70ED31C3" w14:textId="77777777" w:rsidR="002A6719" w:rsidRDefault="00000000">
      <w:pPr>
        <w:ind w:left="703"/>
      </w:pPr>
      <w:r>
        <w:t xml:space="preserve">Esta carta-acordo é firmada entre a Santos e Vieira Participações, CNPJ 37.780.508/0001- </w:t>
      </w:r>
    </w:p>
    <w:p w14:paraId="569AFE66" w14:textId="77777777" w:rsidR="002A6719" w:rsidRDefault="00000000">
      <w:pPr>
        <w:ind w:left="703"/>
      </w:pPr>
      <w:r>
        <w:t xml:space="preserve">60, denominada AGÊNCIA, e </w:t>
      </w:r>
      <w:proofErr w:type="spellStart"/>
      <w:r>
        <w:t>Erli</w:t>
      </w:r>
      <w:proofErr w:type="spellEnd"/>
      <w:r>
        <w:t xml:space="preserve"> </w:t>
      </w:r>
      <w:proofErr w:type="spellStart"/>
      <w:r>
        <w:t>Röpke</w:t>
      </w:r>
      <w:proofErr w:type="spellEnd"/>
      <w:r>
        <w:t xml:space="preserve">, empresário, CPF 953.631.657-91, RG 736.575 </w:t>
      </w:r>
    </w:p>
    <w:p w14:paraId="131E72F0" w14:textId="77777777" w:rsidR="002A6719" w:rsidRDefault="00000000">
      <w:pPr>
        <w:ind w:left="703"/>
      </w:pPr>
      <w:r>
        <w:t xml:space="preserve">ES, casado, residente na Av. Wilson Durão, 850, Três Barras, Linhares, ES, CEP 29.907-035 E-mail: </w:t>
      </w:r>
      <w:r>
        <w:rPr>
          <w:color w:val="0463C1"/>
          <w:u w:val="single" w:color="0463C1"/>
        </w:rPr>
        <w:t>erli@frucafe.com.br</w:t>
      </w:r>
      <w:r>
        <w:t xml:space="preserve">, Tel. +55 27 99974-2491 PARCEIRO EXPERT e regulará as condições da parceria estipulada entre as partes enquanto elas não formalizarem o respectivo contrato de parceria. </w:t>
      </w:r>
    </w:p>
    <w:p w14:paraId="122C1989" w14:textId="77777777" w:rsidR="002A6719" w:rsidRDefault="00000000">
      <w:pPr>
        <w:spacing w:after="0" w:line="259" w:lineRule="auto"/>
        <w:ind w:left="590" w:firstLine="0"/>
        <w:jc w:val="left"/>
      </w:pPr>
      <w:r>
        <w:rPr>
          <w:sz w:val="28"/>
        </w:rPr>
        <w:t xml:space="preserve"> </w:t>
      </w:r>
    </w:p>
    <w:p w14:paraId="40DC6706" w14:textId="77777777" w:rsidR="002A6719" w:rsidRDefault="00000000">
      <w:pPr>
        <w:spacing w:after="18" w:line="259" w:lineRule="auto"/>
        <w:ind w:left="590" w:firstLine="0"/>
        <w:jc w:val="left"/>
      </w:pPr>
      <w:r>
        <w:rPr>
          <w:sz w:val="20"/>
        </w:rPr>
        <w:t xml:space="preserve"> </w:t>
      </w:r>
    </w:p>
    <w:p w14:paraId="77ACD019" w14:textId="0C95E55C" w:rsidR="002A6719" w:rsidRDefault="00000000" w:rsidP="002B02A2">
      <w:pPr>
        <w:numPr>
          <w:ilvl w:val="0"/>
          <w:numId w:val="1"/>
        </w:numPr>
        <w:spacing w:after="29"/>
        <w:ind w:hanging="710"/>
      </w:pPr>
      <w:r>
        <w:t xml:space="preserve">As partes constituem parceria para a produção e/ou o lançamento de vendas de </w:t>
      </w:r>
      <w:proofErr w:type="spellStart"/>
      <w:r>
        <w:t>infoprodutos</w:t>
      </w:r>
      <w:proofErr w:type="spellEnd"/>
      <w:r>
        <w:t xml:space="preserve">; </w:t>
      </w:r>
    </w:p>
    <w:p w14:paraId="26DAEB4F" w14:textId="43B1E423" w:rsidR="002A6719" w:rsidRDefault="00000000" w:rsidP="002B02A2">
      <w:pPr>
        <w:numPr>
          <w:ilvl w:val="0"/>
          <w:numId w:val="1"/>
        </w:numPr>
        <w:ind w:hanging="710"/>
      </w:pPr>
      <w:r>
        <w:t xml:space="preserve">A parceria vigorará de 23 de agosto de 2023 a 23 de novembro de 2023; </w:t>
      </w:r>
    </w:p>
    <w:p w14:paraId="3781F6E3" w14:textId="77777777" w:rsidR="002A6719" w:rsidRDefault="00000000">
      <w:pPr>
        <w:numPr>
          <w:ilvl w:val="0"/>
          <w:numId w:val="1"/>
        </w:numPr>
        <w:ind w:hanging="710"/>
      </w:pPr>
      <w:r>
        <w:t xml:space="preserve">As partes compartilharão, na razão de 50% para a Santos e Vieira Participações e 50% para o PARCEIRO EXPERT, das receitas líquidas provenientes das vendas dos </w:t>
      </w:r>
      <w:proofErr w:type="spellStart"/>
      <w:r>
        <w:t>infoprodutos</w:t>
      </w:r>
      <w:proofErr w:type="spellEnd"/>
      <w:r>
        <w:t xml:space="preserve"> eventualmente realizadas durante o período inicial de vigência da parceria, já abatidas das despesas cobradas pela plataforma de pagamento para a disponibilização dos </w:t>
      </w:r>
      <w:proofErr w:type="spellStart"/>
      <w:r>
        <w:t>infoprodutos</w:t>
      </w:r>
      <w:proofErr w:type="spellEnd"/>
      <w:r>
        <w:t xml:space="preserve"> e das despesas de responsabilidade comum; </w:t>
      </w:r>
    </w:p>
    <w:p w14:paraId="0FE93D5B" w14:textId="77777777" w:rsidR="002A6719" w:rsidRDefault="00000000">
      <w:pPr>
        <w:spacing w:after="181" w:line="259" w:lineRule="auto"/>
        <w:ind w:left="590" w:firstLine="0"/>
        <w:jc w:val="left"/>
      </w:pPr>
      <w:r>
        <w:rPr>
          <w:sz w:val="28"/>
        </w:rPr>
        <w:t xml:space="preserve"> </w:t>
      </w:r>
    </w:p>
    <w:p w14:paraId="01E38C34" w14:textId="77777777" w:rsidR="002A6719" w:rsidRDefault="00000000">
      <w:pPr>
        <w:numPr>
          <w:ilvl w:val="0"/>
          <w:numId w:val="1"/>
        </w:numPr>
        <w:ind w:hanging="710"/>
      </w:pPr>
      <w:r>
        <w:t xml:space="preserve">Condições Gerais: </w:t>
      </w:r>
    </w:p>
    <w:p w14:paraId="11864697" w14:textId="77777777" w:rsidR="002A6719" w:rsidRDefault="00000000">
      <w:pPr>
        <w:numPr>
          <w:ilvl w:val="0"/>
          <w:numId w:val="2"/>
        </w:numPr>
        <w:ind w:hanging="710"/>
      </w:pPr>
      <w:r>
        <w:t xml:space="preserve">Será executado pelo prazo assinalado no item 2 da presente proposta, um lançamento- teste; </w:t>
      </w:r>
    </w:p>
    <w:p w14:paraId="674EBBF6" w14:textId="2B56BBC8" w:rsidR="002A6719" w:rsidRDefault="00000000">
      <w:pPr>
        <w:numPr>
          <w:ilvl w:val="0"/>
          <w:numId w:val="2"/>
        </w:numPr>
        <w:ind w:hanging="710"/>
      </w:pPr>
      <w:r>
        <w:t xml:space="preserve">Os custos com a infraestrutura para o lançamento do infoproduto do Parceiro Expert, que envolvem: Estrategista, Gestor de Automação, Suporte, Atendimento e Vendas, Gestor de </w:t>
      </w:r>
      <w:proofErr w:type="spellStart"/>
      <w:r>
        <w:t>Hotmart</w:t>
      </w:r>
      <w:proofErr w:type="spellEnd"/>
      <w:r>
        <w:t xml:space="preserve">, </w:t>
      </w:r>
      <w:proofErr w:type="spellStart"/>
      <w:r w:rsidR="002B02A2">
        <w:t>Copywriter</w:t>
      </w:r>
      <w:proofErr w:type="spellEnd"/>
      <w:r w:rsidR="002B02A2">
        <w:t xml:space="preserve"> e Gestor de Tráfego Pago </w:t>
      </w:r>
      <w:r>
        <w:t>no total aproximado de R$ 1</w:t>
      </w:r>
      <w:r w:rsidR="002B02A2">
        <w:t>9</w:t>
      </w:r>
      <w:r>
        <w:t>.000,00 (</w:t>
      </w:r>
      <w:r w:rsidR="002B02A2">
        <w:t>dezenove</w:t>
      </w:r>
      <w:r>
        <w:t xml:space="preserve"> mil reais), ficarão à cargo da Agência, para o lançamento teste.  </w:t>
      </w:r>
    </w:p>
    <w:p w14:paraId="528DCA8C" w14:textId="6FE5B1EF" w:rsidR="002A6719" w:rsidRDefault="00000000">
      <w:pPr>
        <w:numPr>
          <w:ilvl w:val="0"/>
          <w:numId w:val="2"/>
        </w:numPr>
        <w:ind w:hanging="710"/>
      </w:pPr>
      <w:r>
        <w:t>Os custos relacionados à produção de conteúdo, tanto para o infoproduto quanto para o canal do Parceiro Expert junto à plataforma do YouTube, Designer, Web Designer</w:t>
      </w:r>
      <w:r w:rsidR="002B02A2">
        <w:t xml:space="preserve"> e</w:t>
      </w:r>
      <w:r>
        <w:t xml:space="preserve"> Vid</w:t>
      </w:r>
      <w:r w:rsidR="002B02A2">
        <w:t>e</w:t>
      </w:r>
      <w:r>
        <w:t xml:space="preserve">omaker ficarão à cargo do Parceiro Expert.  </w:t>
      </w:r>
    </w:p>
    <w:p w14:paraId="24A03234" w14:textId="77777777" w:rsidR="002A6719" w:rsidRDefault="00000000">
      <w:pPr>
        <w:numPr>
          <w:ilvl w:val="0"/>
          <w:numId w:val="2"/>
        </w:numPr>
        <w:ind w:hanging="710"/>
      </w:pPr>
      <w:r>
        <w:t xml:space="preserve">Após o prazo para estabelecido para testes, Agência e Expert Parceiro renegociarão a formação do time de infraestrutura para o lançamento principal, dividindo os custos decorrentes. </w:t>
      </w:r>
    </w:p>
    <w:p w14:paraId="30B2CA76" w14:textId="77777777" w:rsidR="002A6719" w:rsidRDefault="00000000">
      <w:pPr>
        <w:numPr>
          <w:ilvl w:val="0"/>
          <w:numId w:val="2"/>
        </w:numPr>
        <w:spacing w:after="0" w:line="248" w:lineRule="auto"/>
        <w:ind w:hanging="710"/>
      </w:pPr>
      <w:r>
        <w:t xml:space="preserve">Os custos decorrentes da contratação de freelancers para execução de serviços não recorrentes no contexto do lançamento, tais como </w:t>
      </w:r>
      <w:r>
        <w:rPr>
          <w:rFonts w:ascii="Arial" w:eastAsia="Arial" w:hAnsi="Arial" w:cs="Arial"/>
          <w:sz w:val="22"/>
        </w:rPr>
        <w:t xml:space="preserve">Landing </w:t>
      </w:r>
      <w:proofErr w:type="spellStart"/>
      <w:r>
        <w:rPr>
          <w:rFonts w:ascii="Arial" w:eastAsia="Arial" w:hAnsi="Arial" w:cs="Arial"/>
          <w:sz w:val="22"/>
        </w:rPr>
        <w:t>Pages</w:t>
      </w:r>
      <w:proofErr w:type="spellEnd"/>
      <w:r>
        <w:rPr>
          <w:rFonts w:ascii="Arial" w:eastAsia="Arial" w:hAnsi="Arial" w:cs="Arial"/>
          <w:sz w:val="22"/>
        </w:rPr>
        <w:t xml:space="preserve"> (páginas de captura); Páginas de Vendas, Página do Blog de Lançamento, Time de Vendas secundário entre outros que poderão ser solicitados, ficarão a cargo do Parceiro Expert. </w:t>
      </w:r>
    </w:p>
    <w:p w14:paraId="560DD4FA" w14:textId="77777777" w:rsidR="002A6719" w:rsidRDefault="00000000">
      <w:pPr>
        <w:numPr>
          <w:ilvl w:val="0"/>
          <w:numId w:val="2"/>
        </w:numPr>
        <w:spacing w:after="67"/>
        <w:ind w:hanging="710"/>
      </w:pPr>
      <w:r>
        <w:lastRenderedPageBreak/>
        <w:t xml:space="preserve">Os custos para a produção audiovisual do conteúdo do infoproduto, durante a fase de teste, serão divididos de forma igualitária entre Agência e Parceiro Expert; </w:t>
      </w:r>
    </w:p>
    <w:p w14:paraId="675081B1" w14:textId="05AF95E3" w:rsidR="002A6719" w:rsidRDefault="00000000" w:rsidP="002B02A2">
      <w:pPr>
        <w:numPr>
          <w:ilvl w:val="0"/>
          <w:numId w:val="2"/>
        </w:numPr>
        <w:ind w:hanging="710"/>
      </w:pPr>
      <w:r>
        <w:t xml:space="preserve">Os custos para produção audiovisual de conteúdos para </w:t>
      </w:r>
      <w:r w:rsidR="002B02A2">
        <w:t>Instagram</w:t>
      </w:r>
      <w:r>
        <w:t xml:space="preserve">, relacionados ao lançamento do infoproduto serão divididos de forma igualitária entre Agência e Parceiro Expert;  </w:t>
      </w:r>
    </w:p>
    <w:p w14:paraId="270FC999" w14:textId="77777777" w:rsidR="002A6719" w:rsidRDefault="00000000">
      <w:pPr>
        <w:numPr>
          <w:ilvl w:val="0"/>
          <w:numId w:val="2"/>
        </w:numPr>
        <w:ind w:hanging="710"/>
      </w:pPr>
      <w:r>
        <w:t xml:space="preserve">O time de execução não se dedicará exclusivamente ao lançamento do infoproduto do Parceiro Expert, todavia, caso seja identificada pela Agência a </w:t>
      </w:r>
    </w:p>
    <w:p w14:paraId="23B5A755" w14:textId="77777777" w:rsidR="002A6719" w:rsidRDefault="00000000">
      <w:pPr>
        <w:ind w:left="703"/>
      </w:pPr>
      <w:r>
        <w:t xml:space="preserve">necessidade de contratação de profissionais para otimizar a execução dos serviços, ou para ampliar o time de vendas, será apresentado ao Parceiro Expert um parecer apontando a necessidade e possíveis problemas em caso de não contratação, ficando a cargo do Parceiro Expert a decisão quanto acartar o parecer da Agência ou não. </w:t>
      </w:r>
    </w:p>
    <w:p w14:paraId="0AE13CED" w14:textId="77777777" w:rsidR="002A6719" w:rsidRDefault="00000000">
      <w:pPr>
        <w:numPr>
          <w:ilvl w:val="0"/>
          <w:numId w:val="2"/>
        </w:numPr>
        <w:ind w:hanging="710"/>
      </w:pPr>
      <w:r>
        <w:t xml:space="preserve">Os custos decorrentes da execução de tráfego pago serão divididos igualmente entre Agência e Parceiro Expert; </w:t>
      </w:r>
    </w:p>
    <w:p w14:paraId="7DEB09CA" w14:textId="77777777" w:rsidR="002A6719" w:rsidRDefault="00000000">
      <w:pPr>
        <w:numPr>
          <w:ilvl w:val="0"/>
          <w:numId w:val="2"/>
        </w:numPr>
        <w:ind w:hanging="710"/>
      </w:pPr>
      <w:r>
        <w:t xml:space="preserve">A Agência realizará impulsionamento do canal do Parceiro Expert no YouTube, com o objetivo de ampliar sua visibilidade, pelo que fará jus à comissão de 20% dos rendimentos. </w:t>
      </w:r>
    </w:p>
    <w:p w14:paraId="3CE38557" w14:textId="2473A5F3" w:rsidR="002A6719" w:rsidRDefault="00000000">
      <w:pPr>
        <w:numPr>
          <w:ilvl w:val="0"/>
          <w:numId w:val="3"/>
        </w:numPr>
        <w:ind w:hanging="710"/>
      </w:pPr>
      <w:r>
        <w:t xml:space="preserve">As partes deverão formalizar o contrato de parceria em até 15 (quinze) dias </w:t>
      </w:r>
      <w:r w:rsidR="002B02A2">
        <w:t xml:space="preserve">úteis </w:t>
      </w:r>
      <w:r>
        <w:t xml:space="preserve">a partir do termo final do prazo estabelecido para realização de lançamento teste, de modo que, não sendo formalizado o contrato de parceria oficial, ambas as partes estarão exoneradas das obrigações e condições ora descritas, excetuadas as obrigações financeiras já consolidadas, sendo possível novo ajuste dos termos e condições da nova parceria, caso seja do interesse de ambas as partes. </w:t>
      </w:r>
    </w:p>
    <w:p w14:paraId="7F7F374A" w14:textId="77777777" w:rsidR="002A6719" w:rsidRDefault="00000000">
      <w:pPr>
        <w:numPr>
          <w:ilvl w:val="0"/>
          <w:numId w:val="3"/>
        </w:numPr>
        <w:ind w:hanging="710"/>
      </w:pPr>
      <w:r>
        <w:t xml:space="preserve">As partes e as testemunhas assinam 2 (duas) vias de teor idêntico. </w:t>
      </w:r>
    </w:p>
    <w:p w14:paraId="4E79062C" w14:textId="77777777" w:rsidR="002A6719" w:rsidRDefault="002A6719">
      <w:pPr>
        <w:sectPr w:rsidR="002A6719">
          <w:pgSz w:w="11909" w:h="16838"/>
          <w:pgMar w:top="1384" w:right="1693" w:bottom="2060" w:left="989" w:header="720" w:footer="720" w:gutter="0"/>
          <w:cols w:space="720"/>
        </w:sectPr>
      </w:pPr>
    </w:p>
    <w:p w14:paraId="13EE9C3B" w14:textId="77777777" w:rsidR="002A671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3EC3988" w14:textId="77777777" w:rsidR="002A671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867F5CA" w14:textId="77777777" w:rsidR="002A671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74D28FE" w14:textId="77777777" w:rsidR="002A671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pPr w:vertAnchor="text" w:horzAnchor="margin" w:tblpX="1267" w:tblpY="487"/>
        <w:tblOverlap w:val="never"/>
        <w:tblW w:w="652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49"/>
        <w:gridCol w:w="2877"/>
      </w:tblGrid>
      <w:tr w:rsidR="002A6719" w14:paraId="18B70C71" w14:textId="77777777">
        <w:trPr>
          <w:trHeight w:val="586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</w:tcPr>
          <w:p w14:paraId="562A4D3F" w14:textId="77777777" w:rsidR="002A6719" w:rsidRDefault="00000000">
            <w:pPr>
              <w:spacing w:after="0" w:line="259" w:lineRule="auto"/>
              <w:ind w:left="1006" w:right="82" w:hanging="1006"/>
              <w:jc w:val="left"/>
            </w:pPr>
            <w:r>
              <w:t xml:space="preserve">Santos e Vieira Participações Agência </w:t>
            </w:r>
          </w:p>
        </w:tc>
        <w:tc>
          <w:tcPr>
            <w:tcW w:w="2877" w:type="dxa"/>
            <w:tcBorders>
              <w:top w:val="nil"/>
              <w:left w:val="nil"/>
              <w:bottom w:val="nil"/>
              <w:right w:val="nil"/>
            </w:tcBorders>
          </w:tcPr>
          <w:p w14:paraId="2FE253D6" w14:textId="77777777" w:rsidR="002A6719" w:rsidRDefault="00000000">
            <w:pPr>
              <w:spacing w:after="0" w:line="259" w:lineRule="auto"/>
              <w:ind w:left="1461" w:firstLine="0"/>
              <w:jc w:val="center"/>
            </w:pPr>
            <w:proofErr w:type="spellStart"/>
            <w:r>
              <w:t>Erli</w:t>
            </w:r>
            <w:proofErr w:type="spellEnd"/>
            <w:r>
              <w:t xml:space="preserve"> </w:t>
            </w:r>
            <w:proofErr w:type="spellStart"/>
            <w:r>
              <w:t>Röpke</w:t>
            </w:r>
            <w:proofErr w:type="spellEnd"/>
            <w:r>
              <w:t xml:space="preserve"> Parceiro </w:t>
            </w:r>
          </w:p>
        </w:tc>
      </w:tr>
    </w:tbl>
    <w:p w14:paraId="4164FA68" w14:textId="77777777" w:rsidR="002A671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9E739D4" w14:textId="77777777" w:rsidR="002A6719" w:rsidRDefault="002A6719">
      <w:pPr>
        <w:sectPr w:rsidR="002A6719">
          <w:type w:val="continuous"/>
          <w:pgSz w:w="11909" w:h="16838"/>
          <w:pgMar w:top="1384" w:right="10284" w:bottom="4452" w:left="1579" w:header="720" w:footer="720" w:gutter="0"/>
          <w:cols w:space="720"/>
        </w:sectPr>
      </w:pPr>
    </w:p>
    <w:p w14:paraId="16A24FE3" w14:textId="77777777" w:rsidR="002A671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BDF7115" w14:textId="77777777" w:rsidR="002A6719" w:rsidRDefault="00000000">
      <w:pPr>
        <w:spacing w:after="1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602269D" w14:textId="77777777" w:rsidR="002A6719" w:rsidRDefault="00000000">
      <w:pPr>
        <w:spacing w:after="9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4B905C21" w14:textId="77777777" w:rsidR="002A6719" w:rsidRDefault="00000000">
      <w:pPr>
        <w:tabs>
          <w:tab w:val="center" w:pos="2073"/>
          <w:tab w:val="right" w:pos="7551"/>
        </w:tabs>
        <w:spacing w:after="10" w:line="259" w:lineRule="auto"/>
        <w:ind w:left="0" w:firstLine="0"/>
        <w:jc w:val="left"/>
      </w:pPr>
      <w:r>
        <w:rPr>
          <w:sz w:val="22"/>
        </w:rPr>
        <w:tab/>
      </w:r>
      <w:r>
        <w:t xml:space="preserve">Testemunha: CPF: </w:t>
      </w:r>
      <w:r>
        <w:tab/>
        <w:t xml:space="preserve">Testemunha: CPF: </w:t>
      </w:r>
    </w:p>
    <w:sectPr w:rsidR="002A6719">
      <w:type w:val="continuous"/>
      <w:pgSz w:w="11909" w:h="16838"/>
      <w:pgMar w:top="1384" w:right="2778" w:bottom="4452" w:left="15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CD4"/>
    <w:multiLevelType w:val="hybridMultilevel"/>
    <w:tmpl w:val="0B62ED76"/>
    <w:lvl w:ilvl="0" w:tplc="512ECCDE">
      <w:start w:val="5"/>
      <w:numFmt w:val="decimal"/>
      <w:lvlText w:val="%1."/>
      <w:lvlJc w:val="left"/>
      <w:pPr>
        <w:ind w:left="1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C45DFE">
      <w:start w:val="1"/>
      <w:numFmt w:val="lowerLetter"/>
      <w:lvlText w:val="%2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5A5E54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AEF236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701DFC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52AEE4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5C88F4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E62C14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C291E8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C06414"/>
    <w:multiLevelType w:val="hybridMultilevel"/>
    <w:tmpl w:val="272C0614"/>
    <w:lvl w:ilvl="0" w:tplc="9156095C">
      <w:start w:val="1"/>
      <w:numFmt w:val="lowerLetter"/>
      <w:lvlText w:val="%1."/>
      <w:lvlJc w:val="left"/>
      <w:pPr>
        <w:ind w:left="1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1C1CC4">
      <w:start w:val="1"/>
      <w:numFmt w:val="lowerLetter"/>
      <w:lvlText w:val="%2"/>
      <w:lvlJc w:val="left"/>
      <w:pPr>
        <w:ind w:left="1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207482">
      <w:start w:val="1"/>
      <w:numFmt w:val="lowerRoman"/>
      <w:lvlText w:val="%3"/>
      <w:lvlJc w:val="left"/>
      <w:pPr>
        <w:ind w:left="1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A44CB6">
      <w:start w:val="1"/>
      <w:numFmt w:val="decimal"/>
      <w:lvlText w:val="%4"/>
      <w:lvlJc w:val="left"/>
      <w:pPr>
        <w:ind w:left="2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0A5F2E">
      <w:start w:val="1"/>
      <w:numFmt w:val="lowerLetter"/>
      <w:lvlText w:val="%5"/>
      <w:lvlJc w:val="left"/>
      <w:pPr>
        <w:ind w:left="3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9AC3F4">
      <w:start w:val="1"/>
      <w:numFmt w:val="lowerRoman"/>
      <w:lvlText w:val="%6"/>
      <w:lvlJc w:val="left"/>
      <w:pPr>
        <w:ind w:left="4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026C30">
      <w:start w:val="1"/>
      <w:numFmt w:val="decimal"/>
      <w:lvlText w:val="%7"/>
      <w:lvlJc w:val="left"/>
      <w:pPr>
        <w:ind w:left="4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188030">
      <w:start w:val="1"/>
      <w:numFmt w:val="lowerLetter"/>
      <w:lvlText w:val="%8"/>
      <w:lvlJc w:val="left"/>
      <w:pPr>
        <w:ind w:left="5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30FB9C">
      <w:start w:val="1"/>
      <w:numFmt w:val="lowerRoman"/>
      <w:lvlText w:val="%9"/>
      <w:lvlJc w:val="left"/>
      <w:pPr>
        <w:ind w:left="6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1415F6"/>
    <w:multiLevelType w:val="hybridMultilevel"/>
    <w:tmpl w:val="70CCCB6E"/>
    <w:lvl w:ilvl="0" w:tplc="F7120712">
      <w:start w:val="1"/>
      <w:numFmt w:val="decimal"/>
      <w:lvlText w:val="%1."/>
      <w:lvlJc w:val="left"/>
      <w:pPr>
        <w:ind w:left="1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EE7B4">
      <w:start w:val="1"/>
      <w:numFmt w:val="lowerLetter"/>
      <w:lvlText w:val="%2"/>
      <w:lvlJc w:val="left"/>
      <w:pPr>
        <w:ind w:left="1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A0588E">
      <w:start w:val="1"/>
      <w:numFmt w:val="lowerRoman"/>
      <w:lvlText w:val="%3"/>
      <w:lvlJc w:val="left"/>
      <w:pPr>
        <w:ind w:left="2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9CF05C">
      <w:start w:val="1"/>
      <w:numFmt w:val="decimal"/>
      <w:lvlText w:val="%4"/>
      <w:lvlJc w:val="left"/>
      <w:pPr>
        <w:ind w:left="3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E49BD4">
      <w:start w:val="1"/>
      <w:numFmt w:val="lowerLetter"/>
      <w:lvlText w:val="%5"/>
      <w:lvlJc w:val="left"/>
      <w:pPr>
        <w:ind w:left="3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905762">
      <w:start w:val="1"/>
      <w:numFmt w:val="lowerRoman"/>
      <w:lvlText w:val="%6"/>
      <w:lvlJc w:val="left"/>
      <w:pPr>
        <w:ind w:left="4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20A8D0">
      <w:start w:val="1"/>
      <w:numFmt w:val="decimal"/>
      <w:lvlText w:val="%7"/>
      <w:lvlJc w:val="left"/>
      <w:pPr>
        <w:ind w:left="5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00BB72">
      <w:start w:val="1"/>
      <w:numFmt w:val="lowerLetter"/>
      <w:lvlText w:val="%8"/>
      <w:lvlJc w:val="left"/>
      <w:pPr>
        <w:ind w:left="6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624678">
      <w:start w:val="1"/>
      <w:numFmt w:val="lowerRoman"/>
      <w:lvlText w:val="%9"/>
      <w:lvlJc w:val="left"/>
      <w:pPr>
        <w:ind w:left="6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9200430">
    <w:abstractNumId w:val="2"/>
  </w:num>
  <w:num w:numId="2" w16cid:durableId="1009332379">
    <w:abstractNumId w:val="1"/>
  </w:num>
  <w:num w:numId="3" w16cid:durableId="139500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719"/>
    <w:rsid w:val="002A6719"/>
    <w:rsid w:val="002B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E97095"/>
  <w15:docId w15:val="{C578D7DF-B5FD-0D47-9E86-BA305193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713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625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Anderlan Oliveira</dc:creator>
  <cp:keywords/>
  <cp:lastModifiedBy>Anderlan Oliveira</cp:lastModifiedBy>
  <cp:revision>2</cp:revision>
  <dcterms:created xsi:type="dcterms:W3CDTF">2023-09-19T22:59:00Z</dcterms:created>
  <dcterms:modified xsi:type="dcterms:W3CDTF">2023-09-19T22:59:00Z</dcterms:modified>
</cp:coreProperties>
</file>