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67D3" w:rsidRPr="00A91353" w:rsidRDefault="00A91353" w:rsidP="00C94249">
      <w:pPr>
        <w:jc w:val="both"/>
        <w:rPr>
          <w:rFonts w:ascii="Times New Roman" w:hAnsi="Times New Roman" w:cs="Times New Roman"/>
          <w:b/>
        </w:rPr>
      </w:pPr>
      <w:r w:rsidRPr="00A91353">
        <w:rPr>
          <w:rFonts w:ascii="Times New Roman" w:hAnsi="Times New Roman" w:cs="Times New Roman"/>
          <w:b/>
        </w:rPr>
        <w:t>Oracle Multitenant</w:t>
      </w:r>
    </w:p>
    <w:p w:rsidR="00A91353" w:rsidRDefault="00A91353" w:rsidP="00C94249">
      <w:pPr>
        <w:jc w:val="both"/>
        <w:rPr>
          <w:rFonts w:ascii="Times New Roman" w:hAnsi="Times New Roman" w:cs="Times New Roman"/>
        </w:rPr>
      </w:pPr>
      <w:r w:rsidRPr="00A91353">
        <w:rPr>
          <w:rFonts w:ascii="Times New Roman" w:hAnsi="Times New Roman" w:cs="Times New Roman"/>
        </w:rPr>
        <w:t xml:space="preserve">Es una arquitectura de la base de datos 12c, donde se ejecuta una única instancia del software en un servidor y a múltiples clientes. Además de estar en la nube (Cloud) ofrece una mejora en lo que es el aislamiento, agilidad en las consultas y en especial economía de escala a las empresas. </w:t>
      </w:r>
    </w:p>
    <w:p w:rsidR="00A91353" w:rsidRDefault="00A91353" w:rsidP="00C94249">
      <w:pPr>
        <w:jc w:val="both"/>
        <w:rPr>
          <w:rFonts w:ascii="Times New Roman" w:hAnsi="Times New Roman" w:cs="Times New Roman"/>
          <w:b/>
        </w:rPr>
      </w:pPr>
      <w:r w:rsidRPr="00A91353">
        <w:rPr>
          <w:rFonts w:ascii="Times New Roman" w:hAnsi="Times New Roman" w:cs="Times New Roman"/>
          <w:b/>
        </w:rPr>
        <w:t>Descripción de la Arquitectura</w:t>
      </w:r>
    </w:p>
    <w:p w:rsidR="00A91353" w:rsidRDefault="00A91353" w:rsidP="00C9424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 un contenedor de base de datos multiusuario, adapta una base de datos sin hacer cambios y las complementa a otras características de Oracle.</w:t>
      </w:r>
    </w:p>
    <w:p w:rsidR="00A91353" w:rsidRDefault="00A91353" w:rsidP="00C94249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Alta densidad de consolidación</w:t>
      </w:r>
    </w:p>
    <w:p w:rsidR="00A91353" w:rsidRPr="00A91353" w:rsidRDefault="00A91353" w:rsidP="00C9424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Las bases de datos en los contenedores comparten procesos de memoria y fondo, lo que permite una alta consolidación entre las distintas bases de datos, pero sin cambios en su enfoque principal.</w:t>
      </w:r>
    </w:p>
    <w:p w:rsidR="00A91353" w:rsidRDefault="00A91353" w:rsidP="00C94249">
      <w:pPr>
        <w:jc w:val="both"/>
        <w:rPr>
          <w:rFonts w:ascii="Times New Roman" w:hAnsi="Times New Roman" w:cs="Times New Roman"/>
          <w:b/>
        </w:rPr>
      </w:pPr>
      <w:r w:rsidRPr="00A91353">
        <w:rPr>
          <w:rFonts w:ascii="Times New Roman" w:hAnsi="Times New Roman" w:cs="Times New Roman"/>
          <w:b/>
        </w:rPr>
        <w:t>Aprovisionamiento rápido y clonación con SQL</w:t>
      </w:r>
    </w:p>
    <w:p w:rsidR="00A91353" w:rsidRDefault="00A91353" w:rsidP="00C9424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 creación, traslado de BD entre contenedores, clonación se realiza con comandos de SQL y demora solo segundos. </w:t>
      </w:r>
      <w:r w:rsidRPr="00A91353">
        <w:rPr>
          <w:rFonts w:ascii="Times New Roman" w:hAnsi="Times New Roman" w:cs="Times New Roman"/>
        </w:rPr>
        <w:t>Cuando el sistema de archivos subyacente admite thin provisioning, muchos terabytes se pueden clonar casi instantáneamente simplemente usando las palabras clave "snapshot copy" en el comando SQL.</w:t>
      </w:r>
    </w:p>
    <w:p w:rsidR="00A91353" w:rsidRDefault="00A91353" w:rsidP="00C94249">
      <w:pPr>
        <w:jc w:val="both"/>
        <w:rPr>
          <w:rFonts w:ascii="Times New Roman" w:hAnsi="Times New Roman" w:cs="Times New Roman"/>
          <w:b/>
        </w:rPr>
      </w:pPr>
      <w:r w:rsidRPr="00A91353">
        <w:rPr>
          <w:rFonts w:ascii="Times New Roman" w:hAnsi="Times New Roman" w:cs="Times New Roman"/>
          <w:b/>
        </w:rPr>
        <w:t>Nuevos paradigmas para parches y actualizaciones rápidos</w:t>
      </w:r>
    </w:p>
    <w:p w:rsidR="00A91353" w:rsidRDefault="00A91353" w:rsidP="00C9424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 parchar un BD de contenedores da como resultado el parcheo de todos sus BD; </w:t>
      </w:r>
      <w:r w:rsidRPr="00A91353">
        <w:rPr>
          <w:rFonts w:ascii="Times New Roman" w:hAnsi="Times New Roman" w:cs="Times New Roman"/>
        </w:rPr>
        <w:t>Para parchar una única base de datos conectable, simplemente desenchúfela o conéctela a una base de datos de contenedores multiusuario en una versión diferente del software de la Base de Datos Oracle.</w:t>
      </w:r>
    </w:p>
    <w:p w:rsidR="00C94249" w:rsidRDefault="00C94249" w:rsidP="00C9424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 igual actualizar un BD de contenedores da como resultado la actualización de todos los BD; y para actualizar solo un BD simplemente desenchufe/enchufe la Base de Datos conectable en una base de datos de contenedor.</w:t>
      </w:r>
    </w:p>
    <w:p w:rsidR="00C94249" w:rsidRDefault="00C94249" w:rsidP="00C94249">
      <w:pPr>
        <w:jc w:val="both"/>
        <w:rPr>
          <w:rFonts w:ascii="Times New Roman" w:hAnsi="Times New Roman" w:cs="Times New Roman"/>
          <w:b/>
        </w:rPr>
      </w:pPr>
      <w:r w:rsidRPr="00C94249">
        <w:rPr>
          <w:rFonts w:ascii="Times New Roman" w:hAnsi="Times New Roman" w:cs="Times New Roman"/>
          <w:b/>
        </w:rPr>
        <w:t>Administre muchas bases de datos como una sola</w:t>
      </w:r>
    </w:p>
    <w:p w:rsidR="00C94249" w:rsidRDefault="00C94249" w:rsidP="00C9424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administrador puede administrar muchas Bases de Datos como una sola, como copias de seguridad y la recuperación ante desastres que se realiza en el contenedor multiusuario.</w:t>
      </w:r>
    </w:p>
    <w:p w:rsidR="00C94249" w:rsidRDefault="00C94249" w:rsidP="00C94249">
      <w:pPr>
        <w:jc w:val="both"/>
        <w:rPr>
          <w:rFonts w:ascii="Times New Roman" w:hAnsi="Times New Roman" w:cs="Times New Roman"/>
          <w:b/>
        </w:rPr>
      </w:pPr>
      <w:r w:rsidRPr="00C94249">
        <w:rPr>
          <w:rFonts w:ascii="Times New Roman" w:hAnsi="Times New Roman" w:cs="Times New Roman"/>
          <w:b/>
        </w:rPr>
        <w:t>Gestión de recursos de base de datos conectable</w:t>
      </w:r>
    </w:p>
    <w:p w:rsidR="00C94249" w:rsidRPr="00C94249" w:rsidRDefault="00C94249" w:rsidP="00C9424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Oracle amplía sus funcionalidades para controlar la competencia por recursos entre bases de datos en los contenedores multiusuarios. </w:t>
      </w:r>
    </w:p>
    <w:p w:rsidR="00A91353" w:rsidRDefault="00C94249" w:rsidP="00C94249">
      <w:pPr>
        <w:jc w:val="both"/>
        <w:rPr>
          <w:rFonts w:ascii="Times New Roman" w:hAnsi="Times New Roman" w:cs="Times New Roman"/>
          <w:b/>
        </w:rPr>
      </w:pPr>
      <w:r w:rsidRPr="00C94249">
        <w:rPr>
          <w:rFonts w:ascii="Times New Roman" w:hAnsi="Times New Roman" w:cs="Times New Roman"/>
          <w:b/>
        </w:rPr>
        <w:t xml:space="preserve">Conclusión </w:t>
      </w:r>
    </w:p>
    <w:p w:rsidR="00C94249" w:rsidRPr="00C94249" w:rsidRDefault="00C94249" w:rsidP="00C94249">
      <w:pPr>
        <w:jc w:val="both"/>
        <w:rPr>
          <w:rFonts w:ascii="Times New Roman" w:hAnsi="Times New Roman" w:cs="Times New Roman"/>
        </w:rPr>
      </w:pPr>
      <w:r w:rsidRPr="00C94249">
        <w:rPr>
          <w:rFonts w:ascii="Times New Roman" w:hAnsi="Times New Roman" w:cs="Times New Roman"/>
        </w:rPr>
        <w:t>Oracle Multitenant es una nueva opción para Oracle Database 12 c Enterprise Edition que ayuda a los clientes a reducir los costos de TI al simplificar la consolidación, el aprovisionamiento, las actualizaciones y más. Es compatible con una nueva arquitectura que permite que una base de datos de contenedores multiusuario contenga muchas bases de datos conectables. Complementa completamente otras opciones, incluidos Oracle Real Application Clusters y Oracle Active Data Guard.</w:t>
      </w:r>
      <w:bookmarkStart w:id="0" w:name="_GoBack"/>
      <w:bookmarkEnd w:id="0"/>
    </w:p>
    <w:sectPr w:rsidR="00C94249" w:rsidRPr="00C94249" w:rsidSect="00A91353">
      <w:pgSz w:w="11906" w:h="16838" w:code="9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353"/>
    <w:rsid w:val="000779F5"/>
    <w:rsid w:val="001C6115"/>
    <w:rsid w:val="00242958"/>
    <w:rsid w:val="009E67D3"/>
    <w:rsid w:val="00A91353"/>
    <w:rsid w:val="00C94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37156"/>
  <w15:chartTrackingRefBased/>
  <w15:docId w15:val="{0AD286DE-A4CD-4375-A581-BC45EFF81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466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387</Words>
  <Characters>2129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Derly Angel Lizárraga Ramos</dc:creator>
  <cp:keywords/>
  <dc:description/>
  <cp:lastModifiedBy>Derly Angel Lizárraga Ramos</cp:lastModifiedBy>
  <cp:revision>2</cp:revision>
  <dcterms:created xsi:type="dcterms:W3CDTF">2018-04-24T07:41:00Z</dcterms:created>
  <dcterms:modified xsi:type="dcterms:W3CDTF">2018-04-24T13:50:00Z</dcterms:modified>
</cp:coreProperties>
</file>