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5" w:name="chapter-two"/>
    <w:p>
      <w:pPr>
        <w:pStyle w:val="Heading1"/>
      </w:pPr>
      <w:r>
        <w:t xml:space="preserve">CHAPTER TWO</w:t>
      </w:r>
    </w:p>
    <w:bookmarkStart w:id="20" w:name="Xa1c07611a0eecf80e56bd0783f69d6ee8e9d147"/>
    <w:p>
      <w:pPr>
        <w:pStyle w:val="Heading2"/>
      </w:pPr>
      <w:r>
        <w:t xml:space="preserve">Reconstructive Science and Post-Metaphysical Thinking: The Three Commitments, Their Tensions, and the Aporia of Truth</w:t>
      </w:r>
    </w:p>
    <w:p>
      <w:pPr>
        <w:pStyle w:val="FirstParagraph"/>
      </w:pPr>
      <w:r>
        <w:t xml:space="preserve">Chapter One located the shortfall of the programme of justification at three places, where what speakers enact must pass into what binds them (Chapter One §1.4.5), and in the interval from reconstruction to bindingness (Chapter One §1.5.4); it left open which of the commitments of post-metaphysical thinking generate that shortfall, and at what cost. The answer argued below is that three commitments of Habermas’s method, reconstructivism, immanence and fallibilism, produce it jointly, being three faces of the detranscendentalisation his programme undertakes (§2.1); that the premise on which the answer rests, the categorial distinction between what is enacted and what is stated, is entered at its first use and defended at Chapter Three §3.2.1–§3.2.2 (§2.1.1); that the two critiques which press the commitments hardest, Apel’s and Derrida’s, are met only in part by Habermas’s replies, the first leaving a demand and an undischarged debt and the second forcing an amendment of the premise (§2.2–§2.3); and that the programme can sustain the tensions its commitments generate only at a cost which can be stated, the aporia of truth marking the limit of what the sustaining reaches (§2.4–§2.5).</w:t>
      </w:r>
    </w:p>
    <w:bookmarkEnd w:id="20"/>
    <w:bookmarkStart w:id="118" w:name="Xc14fe6eb3e3f0d8881c96f24bc57e2a6bf0ffe0"/>
    <w:p>
      <w:pPr>
        <w:pStyle w:val="Heading2"/>
      </w:pPr>
      <w:r>
        <w:t xml:space="preserve">§2.1 · Post-Metaphysical Thinking, Reconstructive Science, and the Three Commitments</w:t>
      </w:r>
    </w:p>
    <w:p>
      <w:pPr>
        <w:pStyle w:val="FirstParagraph"/>
      </w:pPr>
      <w:r>
        <w:t xml:space="preserve">What Habermas calls post-metaphysical thinking is presented by him as a situation before it is a doctrine, and the situation is dated. In the essay which opens</w:t>
      </w:r>
      <w:r>
        <w:t xml:space="preserve"> </w:t>
      </w:r>
      <w:r>
        <w:rPr>
          <w:iCs/>
          <w:i/>
        </w:rPr>
        <w:t xml:space="preserve">Postmetaphysical Thinking</w:t>
      </w:r>
      <w:r>
        <w:t xml:space="preserve">,</w:t>
      </w:r>
      <w:r>
        <w:t xml:space="preserve"> </w:t>
      </w:r>
      <w:r>
        <w:t xml:space="preserve">‘</w:t>
      </w:r>
      <w:r>
        <w:t xml:space="preserve">The Horizon of Modernity Is Shifting</w:t>
      </w:r>
      <w:r>
        <w:t xml:space="preserve">’</w:t>
      </w:r>
      <w:r>
        <w:t xml:space="preserve">, the break with the tradition is characterised thus:</w:t>
      </w:r>
      <w:r>
        <w:t xml:space="preserve"> </w:t>
      </w:r>
      <w:r>
        <w:t xml:space="preserve">‘</w:t>
      </w:r>
      <w:r>
        <w:t xml:space="preserve">Four themes characterize the break with the tradition. The headings are: postmetaphysical thinking, the linguistic turn, situating reason, and reversing the primacy of theory over practice — or the overcoming of logocentrism.</w:t>
      </w:r>
      <w:r>
        <w:t xml:space="preserve">’</w:t>
      </w:r>
      <w:r>
        <w:t xml:space="preserve"> </w:t>
      </w:r>
      <w:r>
        <w:t xml:space="preserve">The first names the decline of</w:t>
      </w:r>
      <w:r>
        <w:t xml:space="preserve"> </w:t>
      </w:r>
      <w:r>
        <w:t xml:space="preserve">‘</w:t>
      </w:r>
      <w:r>
        <w:t xml:space="preserve">the tradition’s strong concept of theory, its grasp of the totality, and its claim to a privileged access to truth</w:t>
      </w:r>
      <w:r>
        <w:t xml:space="preserve">’</w:t>
      </w:r>
      <w:r>
        <w:t xml:space="preserve">; the second is the passage from the philosophy of consciousness to that of language, in which world-constituting accomplishments</w:t>
      </w:r>
      <w:r>
        <w:t xml:space="preserve"> </w:t>
      </w:r>
      <w:r>
        <w:t xml:space="preserve">‘</w:t>
      </w:r>
      <w:r>
        <w:t xml:space="preserve">are transferred from transcendental subjectivity to grammatical structures</w:t>
      </w:r>
      <w:r>
        <w:t xml:space="preserve">’</w:t>
      </w:r>
      <w:r>
        <w:t xml:space="preserve"> </w:t>
      </w:r>
      <w:r>
        <w:t xml:space="preserve">and</w:t>
      </w:r>
      <w:r>
        <w:t xml:space="preserve"> </w:t>
      </w:r>
      <w:r>
        <w:t xml:space="preserve">‘</w:t>
      </w:r>
      <w:r>
        <w:t xml:space="preserve">the reconstructive work of the linguist replaces a kind of introspection that cannot be readily checked on</w:t>
      </w:r>
      <w:r>
        <w:t xml:space="preserve">’</w:t>
      </w:r>
      <w:r>
        <w:t xml:space="preserve">; the third is the situating of reason in</w:t>
      </w:r>
      <w:r>
        <w:t xml:space="preserve"> </w:t>
      </w:r>
      <w:r>
        <w:t xml:space="preserve">‘</w:t>
      </w:r>
      <w:r>
        <w:t xml:space="preserve">historical embodiments</w:t>
      </w:r>
      <w:r>
        <w:t xml:space="preserve">’</w:t>
      </w:r>
      <w:r>
        <w:t xml:space="preserve">, in action, language and the body; the fourth is</w:t>
      </w:r>
      <w:r>
        <w:t xml:space="preserve"> </w:t>
      </w:r>
      <w:r>
        <w:t xml:space="preserve">‘</w:t>
      </w:r>
      <w:r>
        <w:t xml:space="preserve">the reversal of the classical relationship of theory to practice</w:t>
      </w:r>
      <w:r>
        <w:t xml:space="preserve">’</w:t>
      </w:r>
      <w:r>
        <w:t xml:space="preserve">, credited ultimately to</w:t>
      </w:r>
      <w:r>
        <w:t xml:space="preserve"> </w:t>
      </w:r>
      <w:r>
        <w:t xml:space="preserve">‘</w:t>
      </w:r>
      <w:r>
        <w:t xml:space="preserve">the honing of a Marxian idea</w:t>
      </w:r>
      <w:r>
        <w:t xml:space="preserve">’</w:t>
      </w:r>
      <w:r>
        <w:t xml:space="preserve"> </w:t>
      </w:r>
      <w:r>
        <w:t xml:space="preserve">and found corroborated by pragmatism, developmental psychology and the analysis of the lifeworld.</w:t>
      </w:r>
      <w:r>
        <w:rPr>
          <w:rStyle w:val="FootnoteReference"/>
        </w:rPr>
        <w:footnoteReference w:id="21"/>
      </w:r>
      <w:r>
        <w:t xml:space="preserve"> </w:t>
      </w:r>
      <w:r>
        <w:t xml:space="preserve">The four are not offered as a system but as the motive forces of twentieth-century philosophising</w:t>
      </w:r>
      <w:r>
        <w:t xml:space="preserve"> </w:t>
      </w:r>
      <w:r>
        <w:t xml:space="preserve">‘</w:t>
      </w:r>
      <w:r>
        <w:t xml:space="preserve">in spite of the boundaries between schools</w:t>
      </w:r>
      <w:r>
        <w:t xml:space="preserve">’</w:t>
      </w:r>
      <w:r>
        <w:t xml:space="preserve">.</w:t>
      </w:r>
    </w:p>
    <w:p>
      <w:pPr>
        <w:pStyle w:val="BodyText"/>
      </w:pPr>
      <w:r>
        <w:t xml:space="preserve">The logocentrism Habermas would overcome is a fixation of reason upon one of its dimensions: philosophy</w:t>
      </w:r>
      <w:r>
        <w:t xml:space="preserve"> </w:t>
      </w:r>
      <w:r>
        <w:t xml:space="preserve">‘</w:t>
      </w:r>
      <w:r>
        <w:t xml:space="preserve">has pinned reason down to only one of its dimensions, at first ontologically, later epistemologically, and then even in linguistic analysis</w:t>
      </w:r>
      <w:r>
        <w:t xml:space="preserve">’</w:t>
      </w:r>
      <w:r>
        <w:t xml:space="preserve">, to the fact-stating discourse</w:t>
      </w:r>
      <w:r>
        <w:t xml:space="preserve"> </w:t>
      </w:r>
      <w:r>
        <w:t xml:space="preserve">‘</w:t>
      </w:r>
      <w:r>
        <w:t xml:space="preserve">that specializes in only one dimension of speech, the truth of assertoric sentences</w:t>
      </w:r>
      <w:r>
        <w:t xml:space="preserve">’</w:t>
      </w:r>
      <w:r>
        <w:t xml:space="preserve">, so that questions of justice, of taste and of truthful self-presentation are</w:t>
      </w:r>
      <w:r>
        <w:t xml:space="preserve"> </w:t>
      </w:r>
      <w:r>
        <w:t xml:space="preserve">‘</w:t>
      </w:r>
      <w:r>
        <w:t xml:space="preserve">excluded from the sphere of the rational</w:t>
      </w:r>
      <w:r>
        <w:t xml:space="preserve">’</w:t>
      </w:r>
      <w:r>
        <w:t xml:space="preserve">, and</w:t>
      </w:r>
      <w:r>
        <w:t xml:space="preserve"> </w:t>
      </w:r>
      <w:r>
        <w:t xml:space="preserve">‘</w:t>
      </w:r>
      <w:r>
        <w:t xml:space="preserve">Contextualism is only the flipside of logocentrism</w:t>
      </w:r>
      <w:r>
        <w:t xml:space="preserve">’</w:t>
      </w:r>
      <w:r>
        <w:t xml:space="preserve">. The release is a change of position and not a further theory: philosophy</w:t>
      </w:r>
      <w:r>
        <w:t xml:space="preserve"> </w:t>
      </w:r>
      <w:r>
        <w:t xml:space="preserve">‘</w:t>
      </w:r>
      <w:r>
        <w:t xml:space="preserve">reverses this perspective and looks back upon the thicket of the lifeworld</w:t>
      </w:r>
      <w:r>
        <w:t xml:space="preserve">’</w:t>
      </w:r>
      <w:r>
        <w:t xml:space="preserve">, where it finds</w:t>
      </w:r>
      <w:r>
        <w:t xml:space="preserve"> </w:t>
      </w:r>
      <w:r>
        <w:t xml:space="preserve">‘</w:t>
      </w:r>
      <w:r>
        <w:t xml:space="preserve">a reason that is already operating in everyday communicative practice</w:t>
      </w:r>
      <w:r>
        <w:t xml:space="preserve">’</w:t>
      </w:r>
      <w:r>
        <w:t xml:space="preserve">.</w:t>
      </w:r>
      <w:r>
        <w:rPr>
          <w:rStyle w:val="FootnoteReference"/>
        </w:rPr>
        <w:footnoteReference w:id="22"/>
      </w:r>
      <w:r>
        <w:t xml:space="preserve"> </w:t>
      </w:r>
      <w:r>
        <w:t xml:space="preserve">Derrida’s word is the same and his sense is not, and the two senses are set against each other at §2.3.1.</w:t>
      </w:r>
    </w:p>
    <w:p>
      <w:pPr>
        <w:pStyle w:val="BodyText"/>
      </w:pPr>
      <w:r>
        <w:t xml:space="preserve">In</w:t>
      </w:r>
      <w:r>
        <w:t xml:space="preserve"> </w:t>
      </w:r>
      <w:r>
        <w:t xml:space="preserve">‘</w:t>
      </w:r>
      <w:r>
        <w:t xml:space="preserve">Themes in Postmetaphysical Thinking</w:t>
      </w:r>
      <w:r>
        <w:t xml:space="preserve">’</w:t>
      </w:r>
      <w:r>
        <w:t xml:space="preserve"> </w:t>
      </w:r>
      <w:r>
        <w:t xml:space="preserve">the word</w:t>
      </w:r>
      <w:r>
        <w:t xml:space="preserve"> </w:t>
      </w:r>
      <w:r>
        <w:rPr>
          <w:iCs/>
          <w:i/>
        </w:rPr>
        <w:t xml:space="preserve">metaphysical</w:t>
      </w:r>
      <w:r>
        <w:t xml:space="preserve"> </w:t>
      </w:r>
      <w:r>
        <w:t xml:space="preserve">designates,</w:t>
      </w:r>
      <w:r>
        <w:t xml:space="preserve"> </w:t>
      </w:r>
      <w:r>
        <w:t xml:space="preserve">‘</w:t>
      </w:r>
      <w:r>
        <w:t xml:space="preserve">In a rough simplification that neglects the Aristotelian line</w:t>
      </w:r>
      <w:r>
        <w:t xml:space="preserve">’</w:t>
      </w:r>
      <w:r>
        <w:t xml:space="preserve">, the philosophical idealism which runs from Plato to Hegel, and three aspects of it are singled out:</w:t>
      </w:r>
      <w:r>
        <w:t xml:space="preserve"> </w:t>
      </w:r>
      <w:r>
        <w:t xml:space="preserve">‘</w:t>
      </w:r>
      <w:r>
        <w:t xml:space="preserve">identity thinking, the doctrine of Ideas, and the strong concept of theory</w:t>
      </w:r>
      <w:r>
        <w:t xml:space="preserve">’</w:t>
      </w:r>
      <w:r>
        <w:t xml:space="preserve">. The first relates the many to a one which is</w:t>
      </w:r>
      <w:r>
        <w:t xml:space="preserve"> </w:t>
      </w:r>
      <w:r>
        <w:t xml:space="preserve">‘</w:t>
      </w:r>
      <w:r>
        <w:t xml:space="preserve">both axiom and essential ground, principle and origin</w:t>
      </w:r>
      <w:r>
        <w:t xml:space="preserve">’</w:t>
      </w:r>
      <w:r>
        <w:t xml:space="preserve">; the second makes the order underlying appearances itself conceptual, so that being acquires</w:t>
      </w:r>
      <w:r>
        <w:t xml:space="preserve"> </w:t>
      </w:r>
      <w:r>
        <w:t xml:space="preserve">‘</w:t>
      </w:r>
      <w:r>
        <w:t xml:space="preserve">the further attributes of universality, necessity, and supratemporality</w:t>
      </w:r>
      <w:r>
        <w:t xml:space="preserve">’</w:t>
      </w:r>
      <w:r>
        <w:t xml:space="preserve">; the third embeds theory in an exemplary form of life, the</w:t>
      </w:r>
      <w:r>
        <w:t xml:space="preserve"> </w:t>
      </w:r>
      <w:r>
        <w:rPr>
          <w:iCs/>
          <w:i/>
        </w:rPr>
        <w:t xml:space="preserve">bios theoretikos</w:t>
      </w:r>
      <w:r>
        <w:t xml:space="preserve">, which</w:t>
      </w:r>
      <w:r>
        <w:t xml:space="preserve"> </w:t>
      </w:r>
      <w:r>
        <w:t xml:space="preserve">‘</w:t>
      </w:r>
      <w:r>
        <w:t xml:space="preserve">demands a renunciation of the natural attitude toward the world and promises contact with the extra-ordinary</w:t>
      </w:r>
      <w:r>
        <w:t xml:space="preserve">’</w:t>
      </w:r>
      <w:r>
        <w:t xml:space="preserve">. The philosophy of consciousness is not a fourth aspect beside these but the modern refraction of the three, in which the ideal essences become</w:t>
      </w:r>
      <w:r>
        <w:t xml:space="preserve"> </w:t>
      </w:r>
      <w:r>
        <w:t xml:space="preserve">‘</w:t>
      </w:r>
      <w:r>
        <w:t xml:space="preserve">the categorial determinations of a productive reason</w:t>
      </w:r>
      <w:r>
        <w:t xml:space="preserve">’</w:t>
      </w:r>
      <w:r>
        <w:t xml:space="preserve"> </w:t>
      </w:r>
      <w:r>
        <w:t xml:space="preserve">and reason</w:t>
      </w:r>
      <w:r>
        <w:t xml:space="preserve"> </w:t>
      </w:r>
      <w:r>
        <w:t xml:space="preserve">‘</w:t>
      </w:r>
      <w:r>
        <w:t xml:space="preserve">is active as a simultaneously totalizing and self-referential reflection</w:t>
      </w:r>
      <w:r>
        <w:t xml:space="preserve">’</w:t>
      </w:r>
      <w:r>
        <w:t xml:space="preserve">; its terminus is a theory which wants</w:t>
      </w:r>
      <w:r>
        <w:t xml:space="preserve"> </w:t>
      </w:r>
      <w:r>
        <w:t xml:space="preserve">‘</w:t>
      </w:r>
      <w:r>
        <w:t xml:space="preserve">to satisfy the demand for justifying all premises from within itself</w:t>
      </w:r>
      <w:r>
        <w:t xml:space="preserve">’</w:t>
      </w:r>
      <w:r>
        <w:t xml:space="preserve"> </w:t>
      </w:r>
      <w:r>
        <w:t xml:space="preserve">and so sublimates the independence of the theoretical life</w:t>
      </w:r>
      <w:r>
        <w:t xml:space="preserve"> </w:t>
      </w:r>
      <w:r>
        <w:t xml:space="preserve">‘</w:t>
      </w:r>
      <w:r>
        <w:t xml:space="preserve">into a theory that is absolute and self-justifying</w:t>
      </w:r>
      <w:r>
        <w:t xml:space="preserve">’</w:t>
      </w:r>
      <w:r>
        <w:t xml:space="preserve">.</w:t>
      </w:r>
      <w:r>
        <w:rPr>
          <w:rStyle w:val="FootnoteReference"/>
        </w:rPr>
        <w:footnoteReference w:id="23"/>
      </w:r>
      <w:r>
        <w:t xml:space="preserve"> </w:t>
      </w:r>
      <w:r>
        <w:t xml:space="preserve">Four developments,</w:t>
      </w:r>
      <w:r>
        <w:t xml:space="preserve"> </w:t>
      </w:r>
      <w:r>
        <w:t xml:space="preserve">‘</w:t>
      </w:r>
      <w:r>
        <w:t xml:space="preserve">socially conditioned</w:t>
      </w:r>
      <w:r>
        <w:t xml:space="preserve">’</w:t>
      </w:r>
      <w:r>
        <w:t xml:space="preserve"> </w:t>
      </w:r>
      <w:r>
        <w:t xml:space="preserve">in the last analysis, are said to have problematised this thinking from without: procedural rationality, which shattered philosophy’s cognitive privilege; the historical consciousness which set a detranscendentalisation of the inherited concepts in motion; the criticism of reification which carried the paradigm shift to language; and the mutual dependence of theory and practice which undid the classical precedence of the former.</w:t>
      </w:r>
      <w:r>
        <w:rPr>
          <w:rStyle w:val="FootnoteReference"/>
        </w:rPr>
        <w:footnoteReference w:id="24"/>
      </w:r>
      <w:r>
        <w:t xml:space="preserve"> </w:t>
      </w:r>
      <w:r>
        <w:t xml:space="preserve">They are the four themes of the opening essay in another order, and the correspondence is what licenses reading the two essays as one account.</w:t>
      </w:r>
    </w:p>
    <w:p>
      <w:pPr>
        <w:pStyle w:val="BodyText"/>
      </w:pPr>
      <w:r>
        <w:t xml:space="preserve">What the break renounces is stated by Habermas in three respects. In the essay addressed to Henrich, philosophy after Kant is said to operate</w:t>
      </w:r>
      <w:r>
        <w:t xml:space="preserve"> </w:t>
      </w:r>
      <w:r>
        <w:t xml:space="preserve">‘</w:t>
      </w:r>
      <w:r>
        <w:t xml:space="preserve">under conditions of rationality that it has not chosen</w:t>
      </w:r>
      <w:r>
        <w:t xml:space="preserve">’</w:t>
      </w:r>
      <w:r>
        <w:t xml:space="preserve">: it can reclaim no access to essential insights privileged over science, morality or art and</w:t>
      </w:r>
      <w:r>
        <w:t xml:space="preserve"> </w:t>
      </w:r>
      <w:r>
        <w:t xml:space="preserve">‘</w:t>
      </w:r>
      <w:r>
        <w:t xml:space="preserve">now disposes only over knowledge that is fallible</w:t>
      </w:r>
      <w:r>
        <w:t xml:space="preserve">’</w:t>
      </w:r>
      <w:r>
        <w:t xml:space="preserve">; it must forgo the doctrinal form which intervenes in socialisation and</w:t>
      </w:r>
      <w:r>
        <w:t xml:space="preserve"> </w:t>
      </w:r>
      <w:r>
        <w:t xml:space="preserve">‘</w:t>
      </w:r>
      <w:r>
        <w:t xml:space="preserve">must remain theoretical</w:t>
      </w:r>
      <w:r>
        <w:t xml:space="preserve">’</w:t>
      </w:r>
      <w:r>
        <w:t xml:space="preserve">; and it can no longer rank the totalities of lifeworlds, which present themselves only plurally, but</w:t>
      </w:r>
      <w:r>
        <w:t xml:space="preserve"> </w:t>
      </w:r>
      <w:r>
        <w:t xml:space="preserve">‘</w:t>
      </w:r>
      <w:r>
        <w:t xml:space="preserve">is limited to grasping universal structures of lifeworlds in general</w:t>
      </w:r>
      <w:r>
        <w:t xml:space="preserve">’</w:t>
      </w:r>
      <w:r>
        <w:t xml:space="preserve">.</w:t>
      </w:r>
      <w:r>
        <w:t xml:space="preserve"> </w:t>
      </w:r>
      <w:r>
        <w:t xml:space="preserve">‘</w:t>
      </w:r>
      <w:r>
        <w:t xml:space="preserve">These are three respects in which there can no longer be, after Kant, a metaphysics in the sense of</w:t>
      </w:r>
      <w:r>
        <w:t xml:space="preserve"> </w:t>
      </w:r>
      <w:r>
        <w:t xml:space="preserve">“</w:t>
      </w:r>
      <w:r>
        <w:t xml:space="preserve">conclusive</w:t>
      </w:r>
      <w:r>
        <w:t xml:space="preserve">”</w:t>
      </w:r>
      <w:r>
        <w:t xml:space="preserve"> </w:t>
      </w:r>
      <w:r>
        <w:t xml:space="preserve">and</w:t>
      </w:r>
      <w:r>
        <w:t xml:space="preserve"> </w:t>
      </w:r>
      <w:r>
        <w:t xml:space="preserve">“</w:t>
      </w:r>
      <w:r>
        <w:t xml:space="preserve">integrating</w:t>
      </w:r>
      <w:r>
        <w:t xml:space="preserve">”</w:t>
      </w:r>
      <w:r>
        <w:t xml:space="preserve"> </w:t>
      </w:r>
      <w:r>
        <w:t xml:space="preserve">thought.</w:t>
      </w:r>
      <w:r>
        <w:t xml:space="preserve">’</w:t>
      </w:r>
      <w:r>
        <w:rPr>
          <w:rStyle w:val="FootnoteReference"/>
        </w:rPr>
        <w:footnoteReference w:id="25"/>
      </w:r>
      <w:r>
        <w:t xml:space="preserve"> </w:t>
      </w:r>
      <w:r>
        <w:t xml:space="preserve">The renunciation is not a proscription of the questions:</w:t>
      </w:r>
      <w:r>
        <w:t xml:space="preserve"> </w:t>
      </w:r>
      <w:r>
        <w:rPr>
          <w:iCs/>
          <w:i/>
        </w:rPr>
        <w:t xml:space="preserve">nach</w:t>
      </w:r>
      <w:r>
        <w:t xml:space="preserve"> </w:t>
      </w:r>
      <w:r>
        <w:t xml:space="preserve">says both</w:t>
      </w:r>
      <w:r>
        <w:t xml:space="preserve"> </w:t>
      </w:r>
      <w:r>
        <w:rPr>
          <w:iCs/>
          <w:i/>
        </w:rPr>
        <w:t xml:space="preserve">after</w:t>
      </w:r>
      <w:r>
        <w:t xml:space="preserve"> </w:t>
      </w:r>
      <w:r>
        <w:t xml:space="preserve">and</w:t>
      </w:r>
      <w:r>
        <w:t xml:space="preserve"> </w:t>
      </w:r>
      <w:r>
        <w:rPr>
          <w:iCs/>
          <w:i/>
        </w:rPr>
        <w:t xml:space="preserve">according to</w:t>
      </w:r>
      <w:r>
        <w:t xml:space="preserve">, and the thinking is conducted after metaphysics and by the measure metaphysics failed to meet.</w:t>
      </w:r>
      <w:r>
        <w:rPr>
          <w:rStyle w:val="FootnoteReference"/>
        </w:rPr>
        <w:footnoteReference w:id="26"/>
      </w:r>
      <w:r>
        <w:t xml:space="preserve"> </w:t>
      </w:r>
      <w:r>
        <w:t xml:space="preserve">Nor is it the anti-metaphysical reflex Habermas separates from it at the opening of the essay on its themes, where positivism’s furore against metaphysics is said to betray a scientistic motive of its own; a philosophy which has taken its place among the sciences</w:t>
      </w:r>
      <w:r>
        <w:t xml:space="preserve"> </w:t>
      </w:r>
      <w:r>
        <w:t xml:space="preserve">‘</w:t>
      </w:r>
      <w:r>
        <w:t xml:space="preserve">need not by any means completely surrender the relationship to the whole that had distinguished metaphysics</w:t>
      </w:r>
      <w:r>
        <w:t xml:space="preserve">’</w:t>
      </w:r>
      <w:r>
        <w:t xml:space="preserve">, since the lifeworld is present to it as a totality which is</w:t>
      </w:r>
      <w:r>
        <w:t xml:space="preserve"> </w:t>
      </w:r>
      <w:r>
        <w:t xml:space="preserve">‘</w:t>
      </w:r>
      <w:r>
        <w:t xml:space="preserve">unproblematized, nonobjectified, and pretheoretical</w:t>
      </w:r>
      <w:r>
        <w:t xml:space="preserve">’</w:t>
      </w:r>
      <w:r>
        <w:t xml:space="preserve">.</w:t>
      </w:r>
      <w:r>
        <w:rPr>
          <w:rStyle w:val="FootnoteReference"/>
        </w:rPr>
        <w:footnoteReference w:id="27"/>
      </w:r>
      <w:r>
        <w:t xml:space="preserve"> </w:t>
      </w:r>
      <w:r>
        <w:t xml:space="preserve">What is retained of metaphysics is named by Habermas as a residue and its status is fixed: the moment of unconditionality preserved in fallibilist concepts of truth and morality</w:t>
      </w:r>
      <w:r>
        <w:t xml:space="preserve"> </w:t>
      </w:r>
      <w:r>
        <w:t xml:space="preserve">‘</w:t>
      </w:r>
      <w:r>
        <w:t xml:space="preserve">is not an absolute, or it is at most an absolute that has become fluid as a critical procedure</w:t>
      </w:r>
      <w:r>
        <w:t xml:space="preserve">’</w:t>
      </w:r>
      <w:r>
        <w:t xml:space="preserve">, and</w:t>
      </w:r>
      <w:r>
        <w:t xml:space="preserve"> </w:t>
      </w:r>
      <w:r>
        <w:t xml:space="preserve">‘</w:t>
      </w:r>
      <w:r>
        <w:t xml:space="preserve">Only with this residue of metaphysics can we do battle against the transfiguration of the world through metaphysical truths</w:t>
      </w:r>
      <w:r>
        <w:t xml:space="preserve">’</w:t>
      </w:r>
      <w:r>
        <w:t xml:space="preserve">.</w:t>
      </w:r>
      <w:r>
        <w:rPr>
          <w:rStyle w:val="FootnoteReference"/>
        </w:rPr>
        <w:footnoteReference w:id="28"/>
      </w:r>
      <w:r>
        <w:t xml:space="preserve"> </w:t>
      </w:r>
      <w:r>
        <w:t xml:space="preserve">The residue is a procedure and not a content, and the aporia located at §2.4.2 has its source in that form.</w:t>
      </w:r>
    </w:p>
    <w:p>
      <w:pPr>
        <w:pStyle w:val="BodyText"/>
      </w:pPr>
      <w:r>
        <w:t xml:space="preserve">The Introduction described the position post-metaphysical thinking vacates in three forms, a principle, a faculty and a standpoint. Habermas’s renunciations admit of regrouping under three tenets of the philosophy of consciousness, whose negatives the three commitments of the method are; each member of the regrouping is drawn from his text, and the enumeration is a reading. The first tenet is methodological solipsism: the position of a subject which constitutes its self-understanding without recourse to anyone and, in the words of the essay of 1981,</w:t>
      </w:r>
      <w:r>
        <w:t xml:space="preserve"> </w:t>
      </w:r>
      <w:r>
        <w:t xml:space="preserve">‘</w:t>
      </w:r>
      <w:r>
        <w:t xml:space="preserve">confronts objects and becomes reflective only by turning itself into an object</w:t>
      </w:r>
      <w:r>
        <w:t xml:space="preserve">’</w:t>
      </w:r>
      <w:r>
        <w:t xml:space="preserve">. The Introduction fixed the term as Apel’s, and as a thesis about the theorist’s position and not about other minds; Habermas uses it in his own voice, of the</w:t>
      </w:r>
      <w:r>
        <w:t xml:space="preserve"> </w:t>
      </w:r>
      <w:r>
        <w:t xml:space="preserve">‘</w:t>
      </w:r>
      <w:r>
        <w:t xml:space="preserve">monological action</w:t>
      </w:r>
      <w:r>
        <w:t xml:space="preserve">’</w:t>
      </w:r>
      <w:r>
        <w:t xml:space="preserve"> </w:t>
      </w:r>
      <w:r>
        <w:t xml:space="preserve">an exit from discourse would require and of the</w:t>
      </w:r>
      <w:r>
        <w:t xml:space="preserve"> </w:t>
      </w:r>
      <w:r>
        <w:t xml:space="preserve">‘</w:t>
      </w:r>
      <w:r>
        <w:t xml:space="preserve">solitary observer</w:t>
      </w:r>
      <w:r>
        <w:t xml:space="preserve">’</w:t>
      </w:r>
      <w:r>
        <w:t xml:space="preserve"> </w:t>
      </w:r>
      <w:r>
        <w:t xml:space="preserve">of a radical-interpretation scenario. What the tenet holds about meaning is stated in the paragraph which follows, and its displacement by the rule-following argument is examined at §2.1.3.</w:t>
      </w:r>
      <w:r>
        <w:rPr>
          <w:rStyle w:val="FootnoteReference"/>
        </w:rPr>
        <w:footnoteReference w:id="29"/>
      </w:r>
      <w:r>
        <w:t xml:space="preserve"> </w:t>
      </w:r>
      <w:r>
        <w:t xml:space="preserve">The second is the extramundane standpoint, which Habermas calls, in the essay on the unity of reason,</w:t>
      </w:r>
      <w:r>
        <w:t xml:space="preserve"> </w:t>
      </w:r>
      <w:r>
        <w:t xml:space="preserve">‘</w:t>
      </w:r>
      <w:r>
        <w:t xml:space="preserve">the extramundane perspective of a God’s-eye view</w:t>
      </w:r>
      <w:r>
        <w:t xml:space="preserve">’</w:t>
      </w:r>
      <w:r>
        <w:t xml:space="preserve"> </w:t>
      </w:r>
      <w:r>
        <w:t xml:space="preserve">and finds surviving in negative metaphysics as</w:t>
      </w:r>
      <w:r>
        <w:t xml:space="preserve"> </w:t>
      </w:r>
      <w:r>
        <w:t xml:space="preserve">‘</w:t>
      </w:r>
      <w:r>
        <w:t xml:space="preserve">the perspective of the radical outsider</w:t>
      </w:r>
      <w:r>
        <w:t xml:space="preserve">’</w:t>
      </w:r>
      <w:r>
        <w:t xml:space="preserve">; in the essay on Putnam the same phrase names what metaphysical realism</w:t>
      </w:r>
      <w:r>
        <w:t xml:space="preserve"> </w:t>
      </w:r>
      <w:r>
        <w:t xml:space="preserve">‘</w:t>
      </w:r>
      <w:r>
        <w:t xml:space="preserve">chases</w:t>
      </w:r>
      <w:r>
        <w:t xml:space="preserve">’</w:t>
      </w:r>
      <w:r>
        <w:t xml:space="preserve">,</w:t>
      </w:r>
      <w:r>
        <w:t xml:space="preserve"> </w:t>
      </w:r>
      <w:r>
        <w:t xml:space="preserve">‘</w:t>
      </w:r>
      <w:r>
        <w:t xml:space="preserve">a fictitious view from nowhere, an external God’s-eye point of view on an uninterpreted world</w:t>
      </w:r>
      <w:r>
        <w:t xml:space="preserve">’</w:t>
      </w:r>
      <w:r>
        <w:t xml:space="preserve">; and the volume of 2012 states the whole thrust of post-metaphysical thinking as the deconstruction of</w:t>
      </w:r>
      <w:r>
        <w:t xml:space="preserve"> </w:t>
      </w:r>
      <w:r>
        <w:t xml:space="preserve">‘</w:t>
      </w:r>
      <w:r>
        <w:t xml:space="preserve">the divine standpoint which by definition has the last word</w:t>
      </w:r>
      <w:r>
        <w:t xml:space="preserve">’</w:t>
      </w:r>
      <w:r>
        <w:t xml:space="preserve">, whose place is taken by</w:t>
      </w:r>
      <w:r>
        <w:t xml:space="preserve"> </w:t>
      </w:r>
      <w:r>
        <w:t xml:space="preserve">‘</w:t>
      </w:r>
      <w:r>
        <w:t xml:space="preserve">the impartiality of the practice of argumentation among participants to which there is no alternative</w:t>
      </w:r>
      <w:r>
        <w:t xml:space="preserve">’</w:t>
      </w:r>
      <w:r>
        <w:t xml:space="preserve">.</w:t>
      </w:r>
      <w:r>
        <w:rPr>
          <w:rStyle w:val="FootnoteReference"/>
        </w:rPr>
        <w:footnoteReference w:id="30"/>
      </w:r>
      <w:r>
        <w:t xml:space="preserve"> </w:t>
      </w:r>
      <w:r>
        <w:t xml:space="preserve">The third is foundationalism, the theory which justifies its premises from within itself and secures, in the words of the essay of 1981,</w:t>
      </w:r>
      <w:r>
        <w:t xml:space="preserve"> </w:t>
      </w:r>
      <w:r>
        <w:t xml:space="preserve">‘</w:t>
      </w:r>
      <w:r>
        <w:t xml:space="preserve">a cognition before cognition</w:t>
      </w:r>
      <w:r>
        <w:t xml:space="preserve">’</w:t>
      </w:r>
      <w:r>
        <w:t xml:space="preserve">, a domain between philosophy and the sciences from which it can show the sciences their place; its incompatibility with the fallibilism of the sciences is stated at the point where</w:t>
      </w:r>
      <w:r>
        <w:t xml:space="preserve"> </w:t>
      </w:r>
      <w:r>
        <w:t xml:space="preserve">‘</w:t>
      </w:r>
      <w:r>
        <w:t xml:space="preserve">Every comprehensive, closed, and final system of statements must be formulated in a language that requires no commentary</w:t>
      </w:r>
      <w:r>
        <w:t xml:space="preserve">’</w:t>
      </w:r>
      <w:r>
        <w:t xml:space="preserve">.</w:t>
      </w:r>
      <w:r>
        <w:rPr>
          <w:rStyle w:val="FootnoteReference"/>
        </w:rPr>
        <w:footnoteReference w:id="31"/>
      </w:r>
      <w:r>
        <w:t xml:space="preserve"> </w:t>
      </w:r>
      <w:r>
        <w:t xml:space="preserve">Reconstructivism (C1) is what the linguistic turn becomes when its object is a competence exercised between speakers rather than a grammar read off from formations</w:t>
      </w:r>
      <w:r>
        <w:t xml:space="preserve"> </w:t>
      </w:r>
      <w:r>
        <w:t xml:space="preserve">‘</w:t>
      </w:r>
      <w:r>
        <w:t xml:space="preserve">as if from something lying before one</w:t>
      </w:r>
      <w:r>
        <w:t xml:space="preserve">’</w:t>
      </w:r>
      <w:r>
        <w:t xml:space="preserve">, and it displaces the first tenet because its datum is public; immanence (C2) is what the situating of reason becomes when the reason situated is the theorist’s own, so that no standpoint beyond the practices remains from which their conditions might be secured, and it forecloses the second; fallibilism (C3) is what the deflation of the strong concept of theory becomes when philosophy holds a place open for the reconstructive sciences instead of assigning them theirs, and it is the refusal of the third.</w:t>
      </w:r>
      <w:r>
        <w:rPr>
          <w:rStyle w:val="FootnoteReference"/>
        </w:rPr>
        <w:footnoteReference w:id="32"/>
      </w:r>
      <w:r>
        <w:t xml:space="preserve"> </w:t>
      </w:r>
      <w:r>
        <w:t xml:space="preserve">So far as the correlation holds, the three commitments are not additions to post-metaphysical thinking but the form it takes in a method, and a deficit derived from their joint operation is a finding about post-metaphysical thinking as Habermas practises it, and not about one theory conducted under it.</w:t>
      </w:r>
    </w:p>
    <w:p>
      <w:pPr>
        <w:pStyle w:val="BodyText"/>
      </w:pPr>
      <w:r>
        <w:t xml:space="preserve">The first tenet is narrower than the philosophy of consciousness for which it is commonly taken. Methodological solipsism is not the thesis that there is consciousness before there is language, nor a thesis about the existence of other minds; it is a thesis about where meaning is constituted, and it holds that meaning is constituted in the intentional acts of a subject before it is shared. Its most exact form is Husserl’s. Unities of meaning presuppose</w:t>
      </w:r>
      <w:r>
        <w:t xml:space="preserve"> </w:t>
      </w:r>
      <w:r>
        <w:t xml:space="preserve">‘</w:t>
      </w:r>
      <w:r>
        <w:t xml:space="preserve">a sense-giving consciousness, which, on its side, is absolute and not dependent in its turn on sense bestowed on it from another source</w:t>
      </w:r>
      <w:r>
        <w:t xml:space="preserve">’</w:t>
      </w:r>
      <w:r>
        <w:t xml:space="preserve">, and the stratum of expression,</w:t>
      </w:r>
      <w:r>
        <w:t xml:space="preserve"> </w:t>
      </w:r>
      <w:r>
        <w:t xml:space="preserve">‘</w:t>
      </w:r>
      <w:r>
        <w:t xml:space="preserve">apart from the fact that it lends expression to all other intentionalities, is not productive</w:t>
      </w:r>
      <w:r>
        <w:t xml:space="preserve">’</w:t>
      </w:r>
      <w:r>
        <w:t xml:space="preserve">; language is posterior to meaning, and how a sense constituted in one consciousness becomes the same sense for another is asked afterwards and from within.</w:t>
      </w:r>
      <w:r>
        <w:rPr>
          <w:rStyle w:val="FootnoteReference"/>
        </w:rPr>
        <w:footnoteReference w:id="33"/>
      </w:r>
      <w:r>
        <w:t xml:space="preserve"> </w:t>
      </w:r>
      <w:r>
        <w:t xml:space="preserve">The</w:t>
      </w:r>
      <w:r>
        <w:t xml:space="preserve"> </w:t>
      </w:r>
      <w:r>
        <w:rPr>
          <w:iCs/>
          <w:i/>
        </w:rPr>
        <w:t xml:space="preserve">Crisis</w:t>
      </w:r>
      <w:r>
        <w:t xml:space="preserve"> </w:t>
      </w:r>
      <w:r>
        <w:t xml:space="preserve">does not overlook the question, since the constituting accomplishment</w:t>
      </w:r>
      <w:r>
        <w:t xml:space="preserve"> </w:t>
      </w:r>
      <w:r>
        <w:t xml:space="preserve">‘</w:t>
      </w:r>
      <w:r>
        <w:t xml:space="preserve">is not that of the isolated subject</w:t>
      </w:r>
      <w:r>
        <w:t xml:space="preserve">’</w:t>
      </w:r>
      <w:r>
        <w:t xml:space="preserve">; what it retains is a priority of method, the epoché creating</w:t>
      </w:r>
      <w:r>
        <w:t xml:space="preserve"> </w:t>
      </w:r>
      <w:r>
        <w:t xml:space="preserve">‘</w:t>
      </w:r>
      <w:r>
        <w:t xml:space="preserve">a unique sort of philosophical solitude which is the fundamental methodical requirement for a truly radical philosophy</w:t>
      </w:r>
      <w:r>
        <w:t xml:space="preserve">’</w:t>
      </w:r>
      <w:r>
        <w:t xml:space="preserve">.</w:t>
      </w:r>
      <w:r>
        <w:rPr>
          <w:rStyle w:val="FootnoteReference"/>
        </w:rPr>
        <w:footnoteReference w:id="34"/>
      </w:r>
      <w:r>
        <w:t xml:space="preserve"> </w:t>
      </w:r>
      <w:r>
        <w:t xml:space="preserve">So fixed, methodological solipsism is the methodical priority of the constituting ego in the order in which meaning is constituted, and not a denial that meaning is intersubjectively valid; it is the position Apel’s phrase names and dates.</w:t>
      </w:r>
      <w:r>
        <w:rPr>
          <w:rStyle w:val="FootnoteReference"/>
        </w:rPr>
        <w:footnoteReference w:id="35"/>
      </w:r>
      <w:r>
        <w:t xml:space="preserve"> </w:t>
      </w:r>
      <w:r>
        <w:t xml:space="preserve">Habermas’s diagnosis is directed at that priority. In the Gauss Lectures of 1970–71 identical meanings are said not to form</w:t>
      </w:r>
      <w:r>
        <w:t xml:space="preserve"> </w:t>
      </w:r>
      <w:r>
        <w:t xml:space="preserve">‘</w:t>
      </w:r>
      <w:r>
        <w:t xml:space="preserve">in der intentionalen Struktur eines einsam seiner Welt gegenüberstehenden Subjekts</w:t>
      </w:r>
      <w:r>
        <w:t xml:space="preserve">’</w:t>
      </w:r>
      <w:r>
        <w:t xml:space="preserve">, in the intentional structure of a subject standing alone over against its world, but only in the identical validity of an expression for different subjects; and Apel holds that a philosopher so placed must claim</w:t>
      </w:r>
      <w:r>
        <w:t xml:space="preserve"> </w:t>
      </w:r>
      <w:r>
        <w:t xml:space="preserve">‘</w:t>
      </w:r>
      <w:r>
        <w:t xml:space="preserve">any possible meaning to be a virtual correlate of his intentional act</w:t>
      </w:r>
      <w:r>
        <w:t xml:space="preserve">’</w:t>
      </w:r>
      <w:r>
        <w:t xml:space="preserve">, blind to the public meanings through which alone his own self-understanding is possible.</w:t>
      </w:r>
      <w:r>
        <w:rPr>
          <w:rStyle w:val="FootnoteReference"/>
        </w:rPr>
        <w:footnoteReference w:id="36"/>
      </w:r>
      <w:r>
        <w:t xml:space="preserve"> </w:t>
      </w:r>
      <w:r>
        <w:t xml:space="preserve">The reversal of that order in the theory of meaning is followed at Chapter One §1.3.2, and the argument which displaces the priority at §2.1.3.</w:t>
      </w:r>
    </w:p>
    <w:p>
      <w:pPr>
        <w:pStyle w:val="BodyText"/>
      </w:pPr>
      <w:r>
        <w:t xml:space="preserve">The displacement has a name in Habermas’s own vocabulary, and the name designates the core of the position rather than one of its results: detranscendentalisation, the operation by which the transcendental subject is replaced, its questions retained, by socialised subjects whose cognition is entwined with speech and action. The word enters his self-description in 1980, where the strategy followed since 1968 is said to have taken up</w:t>
      </w:r>
      <w:r>
        <w:t xml:space="preserve"> </w:t>
      </w:r>
      <w:r>
        <w:t xml:space="preserve">‘</w:t>
      </w:r>
      <w:r>
        <w:t xml:space="preserve">die universalistischen Fragestellungen der Transzendentalphilosophie, bei gleichzeitiger Detranszendentalisierung des Vorgehens und der Beweisziele</w:t>
      </w:r>
      <w:r>
        <w:t xml:space="preserve">’</w:t>
      </w:r>
      <w:r>
        <w:t xml:space="preserve">, the universalistic questions of transcendental philosophy under a simultaneous detranscendentalisation of the procedure and of the aims of proof.</w:t>
      </w:r>
      <w:r>
        <w:rPr>
          <w:rStyle w:val="FootnoteReference"/>
        </w:rPr>
        <w:footnoteReference w:id="37"/>
      </w:r>
      <w:r>
        <w:t xml:space="preserve"> </w:t>
      </w:r>
      <w:r>
        <w:t xml:space="preserve">The definition is given in 2001:</w:t>
      </w:r>
      <w:r>
        <w:t xml:space="preserve"> </w:t>
      </w:r>
      <w:r>
        <w:t xml:space="preserve">‘</w:t>
      </w:r>
      <w:r>
        <w:t xml:space="preserve">Detranscendentalization leads, on the one hand, to the embedding of socialized subjects into the context of a lifeworld and, on the other hand, to the entwinement of cognition with speech and action.</w:t>
      </w:r>
      <w:r>
        <w:t xml:space="preserve">’</w:t>
      </w:r>
      <w:r>
        <w:rPr>
          <w:rStyle w:val="FootnoteReference"/>
        </w:rPr>
        <w:footnoteReference w:id="38"/>
      </w:r>
      <w:r>
        <w:t xml:space="preserve"> </w:t>
      </w:r>
      <w:r>
        <w:t xml:space="preserve">The two halves of the sentence give the operation two sides. Its pragmatic side concerns the knowing subject. The theoretical ideas of reason</w:t>
      </w:r>
      <w:r>
        <w:t xml:space="preserve"> </w:t>
      </w:r>
      <w:r>
        <w:t xml:space="preserve">‘</w:t>
      </w:r>
      <w:r>
        <w:t xml:space="preserve">step out of the static</w:t>
      </w:r>
      <w:r>
        <w:t xml:space="preserve"> </w:t>
      </w:r>
      <w:r>
        <w:t xml:space="preserve">“</w:t>
      </w:r>
      <w:r>
        <w:t xml:space="preserve">intelligible world</w:t>
      </w:r>
      <w:r>
        <w:t xml:space="preserve">”</w:t>
      </w:r>
      <w:r>
        <w:t xml:space="preserve"> </w:t>
      </w:r>
      <w:r>
        <w:t xml:space="preserve">and unleash their dynamics within the lifeworld</w:t>
      </w:r>
      <w:r>
        <w:t xml:space="preserve">’</w:t>
      </w:r>
      <w:r>
        <w:t xml:space="preserve">, and where the transcendental subjectivity of consciousness stood there now stands</w:t>
      </w:r>
      <w:r>
        <w:t xml:space="preserve"> </w:t>
      </w:r>
      <w:r>
        <w:t xml:space="preserve">‘</w:t>
      </w:r>
      <w:r>
        <w:t xml:space="preserve">die detranszendentalisierte Intersubjektivität der Lebenswelt</w:t>
      </w:r>
      <w:r>
        <w:t xml:space="preserve">’</w:t>
      </w:r>
      <w:r>
        <w:t xml:space="preserve">, the detranscendentalised intersubjectivity of the lifeworld; four idealisations performed in communicative action — that an objective world is shared, that the participants are accountable, that the validity claims they raise hold unconditionally beyond their context, and that argumentation makes demanding presuppositions of its own — are presented as the successors of Kant’s ideas of reason, the last of them pairing with reason as the faculty of principles and yielding</w:t>
      </w:r>
      <w:r>
        <w:t xml:space="preserve"> </w:t>
      </w:r>
      <w:r>
        <w:t xml:space="preserve">‘</w:t>
      </w:r>
      <w:r>
        <w:t xml:space="preserve">rational discourse as the unavoidable forum of possible justification</w:t>
      </w:r>
      <w:r>
        <w:t xml:space="preserve">’</w:t>
      </w:r>
      <w:r>
        <w:t xml:space="preserve">, and the four are said to</w:t>
      </w:r>
      <w:r>
        <w:t xml:space="preserve"> </w:t>
      </w:r>
      <w:r>
        <w:t xml:space="preserve">‘</w:t>
      </w:r>
      <w:r>
        <w:t xml:space="preserve">refer to one another and form aspects of a desublimated reason embodied in everyday communicative practice</w:t>
      </w:r>
      <w:r>
        <w:t xml:space="preserve">’</w:t>
      </w:r>
      <w:r>
        <w:t xml:space="preserve">.</w:t>
      </w:r>
      <w:r>
        <w:rPr>
          <w:rStyle w:val="FootnoteReference"/>
        </w:rPr>
        <w:footnoteReference w:id="39"/>
      </w:r>
      <w:r>
        <w:t xml:space="preserve"> </w:t>
      </w:r>
      <w:r>
        <w:t xml:space="preserve">Its practical side concerns the acting subject. The discourse-ethical explanation of a morality of reason is declared, in the history of philosophy of 2019,</w:t>
      </w:r>
      <w:r>
        <w:t xml:space="preserve"> </w:t>
      </w:r>
      <w:r>
        <w:t xml:space="preserve">‘</w:t>
      </w:r>
      <w:r>
        <w:t xml:space="preserve">ein Vorschlag zur Detranszendentalisierung des kantischen Begriffs der Autonomie</w:t>
      </w:r>
      <w:r>
        <w:t xml:space="preserve">’</w:t>
      </w:r>
      <w:r>
        <w:t xml:space="preserve">, a proposal for the detranscendentalisation of Kant’s concept of autonomy, and what the detranscendentalisation of Kant’s moral theory costs in grade is stated in a sentence of 2022 read at §2.2.3.</w:t>
      </w:r>
      <w:r>
        <w:rPr>
          <w:rStyle w:val="FootnoteReference"/>
        </w:rPr>
        <w:footnoteReference w:id="40"/>
      </w:r>
      <w:r>
        <w:t xml:space="preserve"> </w:t>
      </w:r>
      <w:r>
        <w:t xml:space="preserve">The operation is neither a reduction nor a deletion: it</w:t>
      </w:r>
      <w:r>
        <w:t xml:space="preserve"> </w:t>
      </w:r>
      <w:r>
        <w:t xml:space="preserve">‘</w:t>
      </w:r>
      <w:r>
        <w:t xml:space="preserve">leaves the core of Kant’s philosophy untouched; what I have in mind here is the self-understanding of rational subjects as finite and autonomous beings for whom reasons</w:t>
      </w:r>
      <w:r>
        <w:t xml:space="preserve"> </w:t>
      </w:r>
      <w:r>
        <w:t xml:space="preserve">“</w:t>
      </w:r>
      <w:r>
        <w:t xml:space="preserve">count.</w:t>
      </w:r>
      <w:r>
        <w:t xml:space="preserve">”</w:t>
      </w:r>
      <w:r>
        <w:t xml:space="preserve">’</w:t>
      </w:r>
      <w:r>
        <w:t xml:space="preserve"> </w:t>
      </w:r>
      <w:r>
        <w:t xml:space="preserve">It takes from Kant’s world-producing subjectivity</w:t>
      </w:r>
      <w:r>
        <w:t xml:space="preserve"> </w:t>
      </w:r>
      <w:r>
        <w:t xml:space="preserve">‘</w:t>
      </w:r>
      <w:r>
        <w:t xml:space="preserve">den Panzer des apriorischen Wissens</w:t>
      </w:r>
      <w:r>
        <w:t xml:space="preserve">’</w:t>
      </w:r>
      <w:r>
        <w:t xml:space="preserve">, the armour of a priori knowledge, and the situated reason which remains is to be grasped from two perspectives at once,</w:t>
      </w:r>
      <w:r>
        <w:t xml:space="preserve"> </w:t>
      </w:r>
      <w:r>
        <w:t xml:space="preserve">‘</w:t>
      </w:r>
      <w:r>
        <w:t xml:space="preserve">gleichzeitig aus der Perspektive des Teilnehmers zu rekonstruieren und aus der Perspektive des Beobachters in ihrem jeweiligen historischen Einbettungskontext zu beschreiben</w:t>
      </w:r>
      <w:r>
        <w:t xml:space="preserve">’</w:t>
      </w:r>
      <w:r>
        <w:t xml:space="preserve">, reconstructed from the participant’s perspective and described from the observer’s in its historical context of embedding.</w:t>
      </w:r>
      <w:r>
        <w:rPr>
          <w:rStyle w:val="FootnoteReference"/>
        </w:rPr>
        <w:footnoteReference w:id="41"/>
      </w:r>
      <w:r>
        <w:t xml:space="preserve"> </w:t>
      </w:r>
      <w:r>
        <w:t xml:space="preserve">None of these sentences names the three commitments; they are, on the reading the sentences permit, three faces of this one operation. Reconstructivism is its method, the participant’s reconstruction of a competence; immanence is its site, the lifeworld into which the subject is embedded and from which no reflection escapes; fallibilism is its grade, the surrender of the a priori armour, so that what the reconstruction yields is universal only presumptively and inescapable only de facto, in the formula §2.1.4 displays. Each presupposes the other two in order to be the commitment it is. Reconstruction renders, from within the practice, a competence exercised between speakers, and puts its statement of that competence up for discussion; immanence, as a commitment of the method, is the standpoint of such a reconstruction; and fallibilism is the grade of what such a reconstruction yields, and of nothing else. The relation is one of mutual presupposition and not a circle of entailment, and within it one entailment holds and one fails: reconstructivism carries immanence with it as a matter of access, whereas fallibilism does not follow from immanence taken as the bare unavailability of an exterior, which Apel affirms without it (§2.2.3), so that the failure of that inference is a feature of the relation and not a breach of it. An enquiry into their joint operation is accordingly an enquiry into detranscendentalisation itself, and none of the three can be weakened while the other two stand as they were (§2.1.5).</w:t>
      </w:r>
    </w:p>
    <w:p>
      <w:pPr>
        <w:pStyle w:val="BodyText"/>
      </w:pPr>
      <w:r>
        <w:t xml:space="preserve">The situation so described is a stage in a learning process and not a settled theory, and Habermas describes it as such. The break is dated to</w:t>
      </w:r>
      <w:r>
        <w:t xml:space="preserve"> </w:t>
      </w:r>
      <w:r>
        <w:t xml:space="preserve">‘</w:t>
      </w:r>
      <w:r>
        <w:t xml:space="preserve">the first generation of Hegel’s disciples</w:t>
      </w:r>
      <w:r>
        <w:t xml:space="preserve">’</w:t>
      </w:r>
      <w:r>
        <w:t xml:space="preserve">, since when</w:t>
      </w:r>
      <w:r>
        <w:t xml:space="preserve"> </w:t>
      </w:r>
      <w:r>
        <w:t xml:space="preserve">‘</w:t>
      </w:r>
      <w:r>
        <w:t xml:space="preserve">there has been no alternative to postmetaphysical thinking</w:t>
      </w:r>
      <w:r>
        <w:t xml:space="preserve">’</w:t>
      </w:r>
      <w:r>
        <w:t xml:space="preserve">; the volume of 2012 restates the claim as the judgement that</w:t>
      </w:r>
      <w:r>
        <w:t xml:space="preserve"> </w:t>
      </w:r>
      <w:r>
        <w:t xml:space="preserve">‘</w:t>
      </w:r>
      <w:r>
        <w:t xml:space="preserve">today there is no alternative to the postmetaphysical mode of doing philosophy</w:t>
      </w:r>
      <w:r>
        <w:t xml:space="preserve">’</w:t>
      </w:r>
      <w:r>
        <w:t xml:space="preserve"> </w:t>
      </w:r>
      <w:r>
        <w:t xml:space="preserve">and assigns the genealogy which accompanies it a critical rather than a justificatory office, that of fostering</w:t>
      </w:r>
      <w:r>
        <w:t xml:space="preserve"> </w:t>
      </w:r>
      <w:r>
        <w:t xml:space="preserve">‘</w:t>
      </w:r>
      <w:r>
        <w:t xml:space="preserve">reflexive awareness of the contingency of the context of emergence</w:t>
      </w:r>
      <w:r>
        <w:t xml:space="preserve">’</w:t>
      </w:r>
      <w:r>
        <w:t xml:space="preserve"> </w:t>
      </w:r>
      <w:r>
        <w:t xml:space="preserve">of the premises a fallibilist thinking claims for the present; the thinking so reached</w:t>
      </w:r>
      <w:r>
        <w:t xml:space="preserve"> </w:t>
      </w:r>
      <w:r>
        <w:t xml:space="preserve">‘</w:t>
      </w:r>
      <w:r>
        <w:t xml:space="preserve">operates</w:t>
      </w:r>
      <w:r>
        <w:t xml:space="preserve"> </w:t>
      </w:r>
      <w:r>
        <w:t xml:space="preserve">“</w:t>
      </w:r>
      <w:r>
        <w:t xml:space="preserve">without a ground</w:t>
      </w:r>
      <w:r>
        <w:t xml:space="preserve">”</w:t>
      </w:r>
      <w:r>
        <w:t xml:space="preserve"> </w:t>
      </w:r>
      <w:r>
        <w:t xml:space="preserve">insofar as it creates the building blocks of its</w:t>
      </w:r>
      <w:r>
        <w:t xml:space="preserve"> </w:t>
      </w:r>
      <w:r>
        <w:t xml:space="preserve">“</w:t>
      </w:r>
      <w:r>
        <w:t xml:space="preserve">ground of validity</w:t>
      </w:r>
      <w:r>
        <w:t xml:space="preserve">”</w:t>
      </w:r>
      <w:r>
        <w:t xml:space="preserve"> </w:t>
      </w:r>
      <w:r>
        <w:t xml:space="preserve">from its own resources, instead of borrowing them from some traditional authority</w:t>
      </w:r>
      <w:r>
        <w:t xml:space="preserve">’</w:t>
      </w:r>
      <w:r>
        <w:t xml:space="preserve">.</w:t>
      </w:r>
      <w:r>
        <w:rPr>
          <w:rStyle w:val="FootnoteReference"/>
        </w:rPr>
        <w:footnoteReference w:id="42"/>
      </w:r>
      <w:r>
        <w:t xml:space="preserve"> </w:t>
      </w:r>
      <w:r>
        <w:t xml:space="preserve">The genealogy is then extended to a history of philosophy, whose introduction describes the process it traces as one which can be followed from within though it is not steered from within alone:</w:t>
      </w:r>
      <w:r>
        <w:t xml:space="preserve"> </w:t>
      </w:r>
      <w:r>
        <w:t xml:space="preserve">‘</w:t>
      </w:r>
      <w:r>
        <w:t xml:space="preserve">als einen intern nachvollziehbaren, aber nicht als einen ausschließlich intern gesteuerten Lernprozess</w:t>
      </w:r>
      <w:r>
        <w:t xml:space="preserve">’</w:t>
      </w:r>
      <w:r>
        <w:t xml:space="preserve">.</w:t>
      </w:r>
      <w:r>
        <w:rPr>
          <w:rStyle w:val="FootnoteReference"/>
        </w:rPr>
        <w:footnoteReference w:id="43"/>
      </w:r>
      <w:r>
        <w:t xml:space="preserve"> </w:t>
      </w:r>
      <w:r>
        <w:t xml:space="preserve">A learning process has no standpoint outside itself from which its result might be certified, and Habermas draws the consequence for his own recommendation. The preface to the second volume states that the recommendation to philosophise henceforth only in the post-metaphysical mode could not be justified</w:t>
      </w:r>
      <w:r>
        <w:t xml:space="preserve"> </w:t>
      </w:r>
      <w:r>
        <w:t xml:space="preserve">‘</w:t>
      </w:r>
      <w:r>
        <w:t xml:space="preserve">without at the same time arguing for the concept of</w:t>
      </w:r>
      <w:r>
        <w:t xml:space="preserve"> </w:t>
      </w:r>
      <w:r>
        <w:t xml:space="preserve">“</w:t>
      </w:r>
      <w:r>
        <w:t xml:space="preserve">communicative reason</w:t>
      </w:r>
      <w:r>
        <w:t xml:space="preserve">”</w:t>
      </w:r>
      <w:r>
        <w:t xml:space="preserve">’</w:t>
      </w:r>
      <w:r>
        <w:t xml:space="preserve">, and that</w:t>
      </w:r>
      <w:r>
        <w:t xml:space="preserve"> </w:t>
      </w:r>
      <w:r>
        <w:t xml:space="preserve">‘</w:t>
      </w:r>
      <w:r>
        <w:t xml:space="preserve">Anyone who wants to engage in the business of clarifying philosophy’s proper role must actually do philosophy. This reflexive circle is unavoidable</w:t>
      </w:r>
      <w:r>
        <w:t xml:space="preserve">’</w:t>
      </w:r>
      <w:r>
        <w:t xml:space="preserve">.</w:t>
      </w:r>
      <w:r>
        <w:rPr>
          <w:rStyle w:val="FootnoteReference"/>
        </w:rPr>
        <w:footnoteReference w:id="44"/>
      </w:r>
      <w:r>
        <w:t xml:space="preserve"> </w:t>
      </w:r>
      <w:r>
        <w:t xml:space="preserve">The self-understanding is therefore self-critical in a determinate sense: the account of what philosophy can be is itself a philosophical claim of the kind the account permits, and it can be sustained only by the practice it describes. Kant and Hegel are addressed directly by Habermas, as the two modes of justification, transcendental and dialectical, which the essay of 1981 follows through their own traditions of self-criticism, and the concept of communicative reason is said to free thought</w:t>
      </w:r>
      <w:r>
        <w:t xml:space="preserve"> </w:t>
      </w:r>
      <w:r>
        <w:t xml:space="preserve">‘</w:t>
      </w:r>
      <w:r>
        <w:t xml:space="preserve">from the dilemma of having to choose between Kant and Hegel</w:t>
      </w:r>
      <w:r>
        <w:t xml:space="preserve">’</w:t>
      </w:r>
      <w:r>
        <w:t xml:space="preserve">. Adorno, Husserl and Heidegger are addressed as stations of an incomplete detranscendentalisation: Adorno for a negative dialectics which aims at</w:t>
      </w:r>
      <w:r>
        <w:t xml:space="preserve"> </w:t>
      </w:r>
      <w:r>
        <w:t xml:space="preserve">‘</w:t>
      </w:r>
      <w:r>
        <w:t xml:space="preserve">a negative metaphysics</w:t>
      </w:r>
      <w:r>
        <w:t xml:space="preserve">’</w:t>
      </w:r>
      <w:r>
        <w:t xml:space="preserve"> </w:t>
      </w:r>
      <w:r>
        <w:t xml:space="preserve">and keeps the outsider’s standpoint the second tenet names; Husserl for the German university tradition in which the methodical attitude</w:t>
      </w:r>
      <w:r>
        <w:t xml:space="preserve"> </w:t>
      </w:r>
      <w:r>
        <w:t xml:space="preserve">‘</w:t>
      </w:r>
      <w:r>
        <w:t xml:space="preserve">was inflated into the internally justified precedence of theory over practice</w:t>
      </w:r>
      <w:r>
        <w:t xml:space="preserve">’</w:t>
      </w:r>
      <w:r>
        <w:t xml:space="preserve">; Heidegger for an existential rooting of the world-projecting subject which leaves the problem of intersubjectivity</w:t>
      </w:r>
      <w:r>
        <w:t xml:space="preserve"> </w:t>
      </w:r>
      <w:r>
        <w:t xml:space="preserve">‘</w:t>
      </w:r>
      <w:r>
        <w:t xml:space="preserve">unsolvable</w:t>
      </w:r>
      <w:r>
        <w:t xml:space="preserve">’</w:t>
      </w:r>
      <w:r>
        <w:t xml:space="preserve"> </w:t>
      </w:r>
      <w:r>
        <w:t xml:space="preserve">and then, in the later work, makes</w:t>
      </w:r>
      <w:r>
        <w:t xml:space="preserve"> </w:t>
      </w:r>
      <w:r>
        <w:t xml:space="preserve">‘</w:t>
      </w:r>
      <w:r>
        <w:t xml:space="preserve">the prejudicing force of linguistic world-disclosure</w:t>
      </w:r>
      <w:r>
        <w:t xml:space="preserve">’</w:t>
      </w:r>
      <w:r>
        <w:t xml:space="preserve"> </w:t>
      </w:r>
      <w:r>
        <w:t xml:space="preserve">devalue every learning process within the world. The verdict on the three is the same:</w:t>
      </w:r>
      <w:r>
        <w:t xml:space="preserve"> </w:t>
      </w:r>
      <w:r>
        <w:t xml:space="preserve">‘</w:t>
      </w:r>
      <w:r>
        <w:t xml:space="preserve">All these attempts to detranscendentalize reason continue to get entangled in the prior conceptual decisions of transcendental philosophy</w:t>
      </w:r>
      <w:r>
        <w:t xml:space="preserve">’</w:t>
      </w:r>
      <w:r>
        <w:t xml:space="preserve">.</w:t>
      </w:r>
      <w:r>
        <w:rPr>
          <w:rStyle w:val="FootnoteReference"/>
        </w:rPr>
        <w:footnoteReference w:id="45"/>
      </w:r>
    </w:p>
    <w:p>
      <w:pPr>
        <w:pStyle w:val="BodyText"/>
      </w:pPr>
      <w:r>
        <w:t xml:space="preserve">A critique of metaphysics conducted as a claim about what philosophy can be is itself a claim of the kind metaphysics used to certify, and the difficulty is one Habermas states against others before it is put to him. Against critical rationalism and the negativism of Adorno the essay of 1981 observes that both</w:t>
      </w:r>
      <w:r>
        <w:t xml:space="preserve"> </w:t>
      </w:r>
      <w:r>
        <w:t xml:space="preserve">‘</w:t>
      </w:r>
      <w:r>
        <w:t xml:space="preserve">reject transcendental and dialectical means of cognition while at the same time using them in a paradoxical way</w:t>
      </w:r>
      <w:r>
        <w:t xml:space="preserve">’</w:t>
      </w:r>
      <w:r>
        <w:t xml:space="preserve">, and adds, under a hedge which is his, that the two attempts may also be viewed as showing that the two modes of justification</w:t>
      </w:r>
      <w:r>
        <w:t xml:space="preserve"> </w:t>
      </w:r>
      <w:r>
        <w:t xml:space="preserve">‘</w:t>
      </w:r>
      <w:r>
        <w:t xml:space="preserve">cannot be abolished except on penalty of self-contradiction</w:t>
      </w:r>
      <w:r>
        <w:t xml:space="preserve">’</w:t>
      </w:r>
      <w:r>
        <w:t xml:space="preserve">; and against relativism the essay on the unity of reason holds that the thesis granting every view of the world its perspectival right</w:t>
      </w:r>
      <w:r>
        <w:t xml:space="preserve"> </w:t>
      </w:r>
      <w:r>
        <w:t xml:space="preserve">‘</w:t>
      </w:r>
      <w:r>
        <w:t xml:space="preserve">cannot be put forth without a performative self-contradiction</w:t>
      </w:r>
      <w:r>
        <w:t xml:space="preserve">’</w:t>
      </w:r>
      <w:r>
        <w:t xml:space="preserve">; the charge he brings in the same form against the totalising critique of reason is examined with Derrida at §2.3.2.</w:t>
      </w:r>
      <w:r>
        <w:rPr>
          <w:rStyle w:val="FootnoteReference"/>
        </w:rPr>
        <w:footnoteReference w:id="46"/>
      </w:r>
      <w:r>
        <w:t xml:space="preserve"> </w:t>
      </w:r>
      <w:r>
        <w:t xml:space="preserve">The instrument is the one §2.1.1 fixes in a bounded sense, and what it convicts in each case is a universal claim advanced by a position which denies itself the right to universal claims. A thinking which declares metaphysics finished, and declares it of all philosophy, advances a thesis about the totality of philosophical claims, and the charge recoils upon it; Rawls presses it. Habermas’s position, he holds,</w:t>
      </w:r>
      <w:r>
        <w:t xml:space="preserve"> </w:t>
      </w:r>
      <w:r>
        <w:t xml:space="preserve">‘</w:t>
      </w:r>
      <w:r>
        <w:t xml:space="preserve">is a comprehensive doctrine and covers many things far beyond political philosophy</w:t>
      </w:r>
      <w:r>
        <w:t xml:space="preserve">’</w:t>
      </w:r>
      <w:r>
        <w:t xml:space="preserve">, and it is metaphysical in a stated sense:</w:t>
      </w:r>
      <w:r>
        <w:t xml:space="preserve"> </w:t>
      </w:r>
      <w:r>
        <w:t xml:space="preserve">‘</w:t>
      </w:r>
      <w:r>
        <w:t xml:space="preserve">His logic is metaphysical in the following sense: it presents an account of what there is. And what there is are human beings engaged in communicative action in their lifeworld.</w:t>
      </w:r>
      <w:r>
        <w:t xml:space="preserve">’</w:t>
      </w:r>
      <w:r>
        <w:t xml:space="preserve"> </w:t>
      </w:r>
      <w:r>
        <w:t xml:space="preserve">Rawls enters the premise of the charge in a note: metaphysics is</w:t>
      </w:r>
      <w:r>
        <w:t xml:space="preserve"> </w:t>
      </w:r>
      <w:r>
        <w:t xml:space="preserve">‘</w:t>
      </w:r>
      <w:r>
        <w:t xml:space="preserve">at least a general account of what there is</w:t>
      </w:r>
      <w:r>
        <w:t xml:space="preserve">’</w:t>
      </w:r>
      <w:r>
        <w:t xml:space="preserve">, so that</w:t>
      </w:r>
      <w:r>
        <w:t xml:space="preserve"> </w:t>
      </w:r>
      <w:r>
        <w:t xml:space="preserve">‘</w:t>
      </w:r>
      <w:r>
        <w:t xml:space="preserve">To deny certain metaphysical doctrines is to assert another such doctrine</w:t>
      </w:r>
      <w:r>
        <w:t xml:space="preserve">’</w:t>
      </w:r>
      <w:r>
        <w:t xml:space="preserve">.</w:t>
      </w:r>
      <w:r>
        <w:rPr>
          <w:rStyle w:val="FootnoteReference"/>
        </w:rPr>
        <w:footnoteReference w:id="47"/>
      </w:r>
      <w:r>
        <w:t xml:space="preserve"> </w:t>
      </w:r>
      <w:r>
        <w:t xml:space="preserve">Henrich had reached the same point from Kant, quoting against Habermas the sentence of the first preface on the indifferentists who, in so far as they think at all, fall back into the metaphysical assertions they affected to despise.</w:t>
      </w:r>
      <w:r>
        <w:rPr>
          <w:rStyle w:val="FootnoteReference"/>
        </w:rPr>
        <w:footnoteReference w:id="48"/>
      </w:r>
      <w:r>
        <w:t xml:space="preserve"> </w:t>
      </w:r>
      <w:r>
        <w:t xml:space="preserve">Both charges are sound against one reading of the word, and the reading is not Habermas’s. If a position is metaphysical whenever it holds a view about what there is, and the denial of such a view is another such view, as Rawls’s premise has it, then no philosophical position can be otherwise, and the predicate marks nothing. A criterion is therefore wanted which sorts positions by their manner and not by their having a matter.</w:t>
      </w:r>
    </w:p>
    <w:p>
      <w:pPr>
        <w:pStyle w:val="BodyText"/>
      </w:pPr>
      <w:r>
        <w:t xml:space="preserve">The criterion is drawn from Kant. Kant distinguishes the dogmatic procedure of reason, which a science cannot forgo, from dogmatism, which is that procedure pursued by a pure reason that has not first examined what it is able to do, and declares criticism the opponent of the second alone.</w:t>
      </w:r>
      <w:r>
        <w:rPr>
          <w:rStyle w:val="FootnoteReference"/>
        </w:rPr>
        <w:footnoteReference w:id="49"/>
      </w:r>
      <w:r>
        <w:t xml:space="preserve"> </w:t>
      </w:r>
      <w:r>
        <w:t xml:space="preserve">Habermas transposes that criterion from a faculty to a practice and adds to it, and he states it twice in his own voice. Against analytic materialism, in the essay addressed to Henrich, a position is called metaphysical which</w:t>
      </w:r>
      <w:r>
        <w:t xml:space="preserve"> </w:t>
      </w:r>
      <w:r>
        <w:t xml:space="preserve">‘</w:t>
      </w:r>
      <w:r>
        <w:t xml:space="preserve">sticks to what is universal when the real issue is carrying through an abstractly posed program with scientific means</w:t>
      </w:r>
      <w:r>
        <w:t xml:space="preserve">’</w:t>
      </w:r>
      <w:r>
        <w:t xml:space="preserve">: on that sentence the fault lies not in the universality of the claim but in its exemption from the enquiry which alone could earn it. Against Rawls, in the reply of 2011 whose concession on weak transcendental arguments §2.1.4 reads, the decisive impulse of post-metaphysical thinking is said to be Kant’s critique of metaphysics, and the mode of thinking is defined by what its statements may and may not do:</w:t>
      </w:r>
      <w:r>
        <w:t xml:space="preserve"> </w:t>
      </w:r>
      <w:r>
        <w:t xml:space="preserve">‘</w:t>
      </w:r>
      <w:r>
        <w:t xml:space="preserve">we no longer think that we are in a position to make unqualified statements about the whole of nature and history, about the totality of being, at least not without referring to our reflexively analysed means of representation</w:t>
      </w:r>
      <w:r>
        <w:t xml:space="preserve">’</w:t>
      </w:r>
      <w:r>
        <w:t xml:space="preserve">, while</w:t>
      </w:r>
      <w:r>
        <w:t xml:space="preserve"> </w:t>
      </w:r>
      <w:r>
        <w:t xml:space="preserve">‘</w:t>
      </w:r>
      <w:r>
        <w:t xml:space="preserve">a discursively redeemable validity claim</w:t>
      </w:r>
      <w:r>
        <w:t xml:space="preserve">’</w:t>
      </w:r>
      <w:r>
        <w:t xml:space="preserve"> </w:t>
      </w:r>
      <w:r>
        <w:t xml:space="preserve">attaches to every philosophical proposition which remains within that frame, so that</w:t>
      </w:r>
      <w:r>
        <w:t xml:space="preserve"> </w:t>
      </w:r>
      <w:r>
        <w:t xml:space="preserve">‘</w:t>
      </w:r>
      <w:r>
        <w:t xml:space="preserve">Fallibilism and continued controversies on all fronts are the inevitable price to be paid for metaphysical abstinence.</w:t>
      </w:r>
      <w:r>
        <w:t xml:space="preserve">’</w:t>
      </w:r>
      <w:r>
        <w:rPr>
          <w:rStyle w:val="FootnoteReference"/>
        </w:rPr>
        <w:footnoteReference w:id="50"/>
      </w:r>
      <w:r>
        <w:t xml:space="preserve"> </w:t>
      </w:r>
      <w:r>
        <w:t xml:space="preserve">The criterion so stated has two limbs. The first is reflexive: a claim about the whole is admissible only through an analysis of the means by which the whole is represented, which is Kant’s antecedent critique of capacity conducted upon the medium rather than the faculty. The second is procedural: every such claim carries a validity claim redeemable in argument and is thereby exposed to correction, which is the tenet foundationalism denies. The second limb is Habermas’s and not Kant’s, since the science Kant licenses after critique remains dogmatic in his sense, deriving its conclusions a priori from secure principles; and it is the limb a transcendental pragmatist contests, since it exposes to correction every claim the first admits, the explication of the presuppositions of argument included (§2.2.1–§2.2.2). On this criterion the second tenet is not renounced by abstaining from a view of the totality but by relocating the place from which the view is had, since</w:t>
      </w:r>
      <w:r>
        <w:t xml:space="preserve"> </w:t>
      </w:r>
      <w:r>
        <w:t xml:space="preserve">‘</w:t>
      </w:r>
      <w:r>
        <w:t xml:space="preserve">No</w:t>
      </w:r>
      <w:r>
        <w:t xml:space="preserve"> </w:t>
      </w:r>
      <w:r>
        <w:t xml:space="preserve">“</w:t>
      </w:r>
      <w:r>
        <w:t xml:space="preserve">observer perspective</w:t>
      </w:r>
      <w:r>
        <w:t xml:space="preserve">”</w:t>
      </w:r>
      <w:r>
        <w:t xml:space="preserve">, however neutral, can provide the appropriate meta-level for testing the premises of postmetaphysical thinking further, but only the horizontal exchange of pro and contra arguments</w:t>
      </w:r>
      <w:r>
        <w:t xml:space="preserve">’</w:t>
      </w:r>
      <w:r>
        <w:t xml:space="preserve">.</w:t>
      </w:r>
      <w:r>
        <w:rPr>
          <w:rStyle w:val="FootnoteReference"/>
        </w:rPr>
        <w:footnoteReference w:id="51"/>
      </w:r>
      <w:r>
        <w:t xml:space="preserve"> </w:t>
      </w:r>
      <w:r>
        <w:t xml:space="preserve">The practice of argumentation thereby occupies the place of the tribunal it replaces in two respects: it is where claims are certified, and it is said to be a place to which there is no alternative. The first is what makes the thinking critical of its own commitments, since its premises are tested where every other claim is tested, in the exchange of reasons, and are exempt from nothing. The second is a claim of a different kind, about the standing of the practice itself, and it is the claim over which Apel and Habermas divide (§2.2; Chapter Three).</w:t>
      </w:r>
    </w:p>
    <w:p>
      <w:pPr>
        <w:pStyle w:val="BodyText"/>
      </w:pPr>
      <w:r>
        <w:t xml:space="preserve">The dispute with Henrich is the test of the criterion, since Henrich meets it. Habermas reads him as the advocate of</w:t>
      </w:r>
      <w:r>
        <w:t xml:space="preserve"> </w:t>
      </w:r>
      <w:r>
        <w:t xml:space="preserve">‘</w:t>
      </w:r>
      <w:r>
        <w:t xml:space="preserve">a metaphysics that might be capable of enduring after Kant</w:t>
      </w:r>
      <w:r>
        <w:t xml:space="preserve">’</w:t>
      </w:r>
      <w:r>
        <w:t xml:space="preserve">, one which begins from the subject’s relation to itself and returns to world-constituting subjectivity</w:t>
      </w:r>
      <w:r>
        <w:t xml:space="preserve"> </w:t>
      </w:r>
      <w:r>
        <w:t xml:space="preserve">‘</w:t>
      </w:r>
      <w:r>
        <w:t xml:space="preserve">as the definitive horizon of self-interpretation</w:t>
      </w:r>
      <w:r>
        <w:t xml:space="preserve">’</w:t>
      </w:r>
      <w:r>
        <w:t xml:space="preserve">; he declines the terminological quarrel over the word, which</w:t>
      </w:r>
      <w:r>
        <w:t xml:space="preserve"> </w:t>
      </w:r>
      <w:r>
        <w:t xml:space="preserve">‘</w:t>
      </w:r>
      <w:r>
        <w:t xml:space="preserve">does not lead any further into the matter itself</w:t>
      </w:r>
      <w:r>
        <w:t xml:space="preserve">’</w:t>
      </w:r>
      <w:r>
        <w:t xml:space="preserve">, concedes that</w:t>
      </w:r>
      <w:r>
        <w:t xml:space="preserve"> </w:t>
      </w:r>
      <w:r>
        <w:t xml:space="preserve">‘</w:t>
      </w:r>
      <w:r>
        <w:t xml:space="preserve">The reconstructive tasks of philosophy … are not in dispute</w:t>
      </w:r>
      <w:r>
        <w:t xml:space="preserve">’</w:t>
      </w:r>
      <w:r>
        <w:t xml:space="preserve">, and locates the disagreement in</w:t>
      </w:r>
      <w:r>
        <w:t xml:space="preserve"> </w:t>
      </w:r>
      <w:r>
        <w:t xml:space="preserve">‘</w:t>
      </w:r>
      <w:r>
        <w:t xml:space="preserve">the enlightening role of philosophy in the strict sense, directed toward the whole of life practices</w:t>
      </w:r>
      <w:r>
        <w:t xml:space="preserve">’</w:t>
      </w:r>
      <w:r>
        <w:t xml:space="preserve">. He also concedes the fallibility point in Henrich’s own words, since Henrich’s second thesis holds that</w:t>
      </w:r>
      <w:r>
        <w:t xml:space="preserve"> </w:t>
      </w:r>
      <w:r>
        <w:t xml:space="preserve">‘</w:t>
      </w:r>
      <w:r>
        <w:t xml:space="preserve">every theory of the series of natural numbers is in fact fallible</w:t>
      </w:r>
      <w:r>
        <w:t xml:space="preserve">’</w:t>
      </w:r>
      <w:r>
        <w:t xml:space="preserve">, and Habermas replies only that what holds of algebra</w:t>
      </w:r>
      <w:r>
        <w:t xml:space="preserve"> </w:t>
      </w:r>
      <w:r>
        <w:t xml:space="preserve">‘</w:t>
      </w:r>
      <w:r>
        <w:t xml:space="preserve">is all the more valid for ethics</w:t>
      </w:r>
      <w:r>
        <w:t xml:space="preserve">’</w:t>
      </w:r>
      <w:r>
        <w:t xml:space="preserve">.</w:t>
      </w:r>
      <w:r>
        <w:rPr>
          <w:rStyle w:val="FootnoteReference"/>
        </w:rPr>
        <w:footnoteReference w:id="52"/>
      </w:r>
      <w:r>
        <w:t xml:space="preserve"> </w:t>
      </w:r>
      <w:r>
        <w:t xml:space="preserve">Henrich’s theses accept the constraint and turn it. A metaphysics of the elementary, which examines the presuppositions of object-determining and normative knowledge, is distinguished from a metaphysics of resolving closure, whose thoughts are</w:t>
      </w:r>
      <w:r>
        <w:t xml:space="preserve"> </w:t>
      </w:r>
      <w:r>
        <w:t xml:space="preserve">‘</w:t>
      </w:r>
      <w:r>
        <w:t xml:space="preserve">not elementary thoughts, but thoughts of a resolving closure</w:t>
      </w:r>
      <w:r>
        <w:t xml:space="preserve">’</w:t>
      </w:r>
      <w:r>
        <w:t xml:space="preserve"> </w:t>
      </w:r>
      <w:r>
        <w:t xml:space="preserve">(</w:t>
      </w:r>
      <w:r>
        <w:rPr>
          <w:iCs/>
          <w:i/>
        </w:rPr>
        <w:t xml:space="preserve">Abschluß</w:t>
      </w:r>
      <w:r>
        <w:t xml:space="preserve">), and the latter is exempted from no criticism: the fallibility of every theory of the number series</w:t>
      </w:r>
      <w:r>
        <w:t xml:space="preserve"> </w:t>
      </w:r>
      <w:r>
        <w:t xml:space="preserve">‘</w:t>
      </w:r>
      <w:r>
        <w:t xml:space="preserve">is no argument against the spontaneous generation of the series itself</w:t>
      </w:r>
      <w:r>
        <w:t xml:space="preserve">’</w:t>
      </w:r>
      <w:r>
        <w:t xml:space="preserve">, and the justification of metaphysics</w:t>
      </w:r>
      <w:r>
        <w:t xml:space="preserve"> </w:t>
      </w:r>
      <w:r>
        <w:t xml:space="preserve">‘</w:t>
      </w:r>
      <w:r>
        <w:t xml:space="preserve">does not require the claim to possess an infallible theory</w:t>
      </w:r>
      <w:r>
        <w:t xml:space="preserve">’</w:t>
      </w:r>
      <w:r>
        <w:t xml:space="preserve">. What Henrich charges is not that Habermas is fallibilist but that he stops short of the reflection which fallibilism should have forced: the theory of communicative action, he holds,</w:t>
      </w:r>
      <w:r>
        <w:t xml:space="preserve"> </w:t>
      </w:r>
      <w:r>
        <w:t xml:space="preserve">‘</w:t>
      </w:r>
      <w:r>
        <w:t xml:space="preserve">opts — albeit unwillingly — for immediacy. It regards the resources of the lifeworld, without further enquiry, as ultimately reliable and valid.</w:t>
      </w:r>
      <w:r>
        <w:t xml:space="preserve">’</w:t>
      </w:r>
      <w:r>
        <w:rPr>
          <w:rStyle w:val="FootnoteReference"/>
        </w:rPr>
        <w:footnoteReference w:id="53"/>
      </w:r>
      <w:r>
        <w:t xml:space="preserve"> </w:t>
      </w:r>
      <w:r>
        <w:t xml:space="preserve">On the two-limbed criterion Henrich’s metaphysics is not dogmatic, since it claims neither infallibility nor exemption from argument. Measured by the three respects as Habermas applies them, it would be excluded not by the first, which it satisfies, but by the second and the third, since it seeks in a doctrine of closure an orientation of conscious life which the theoretical form cannot supply and a conclusive whole which post-metaphysical thinking declines to rank; measured by Henrich’s own definition of the enterprise, as Dews shows, it violates none of the constraints Habermas sets, so that the dispute is not one the criterion can decide. The criterion can nonetheless give Henrich’s charge an address. If the lifeworld’s resources are taken as ultimately reliable without further enquiry, the immediacy lies in the categorial premise on which the reconstruction of those resources rests (§2.1.1) and in the standpoint from which the reconstruction is conducted (§2.1.3), and the charge is answered, so far as it can be, by the first of the resources examined at §2.4.1. A second observation Dews records is adopted as a limit: a critique of answers which have become implausible is not a demonstration that the domain of questions is obsolete, and nothing in what follows treats the renunciation of the three tenets as a proof that the questions they answered badly have lapsed.</w:t>
      </w:r>
      <w:r>
        <w:rPr>
          <w:rStyle w:val="FootnoteReference"/>
        </w:rPr>
        <w:footnoteReference w:id="54"/>
      </w:r>
    </w:p>
    <w:p>
      <w:pPr>
        <w:pStyle w:val="BodyText"/>
      </w:pPr>
      <w:r>
        <w:t xml:space="preserve">The criterion assigns to post-metaphysical thinking two critical tasks which do not have the same form: to be critical of the sciences with which it cooperates, and to be critical of its own commitments. Habermas separates the two procedures in the introduction to the essays of 1971, where he records that he had</w:t>
      </w:r>
      <w:r>
        <w:t xml:space="preserve"> </w:t>
      </w:r>
      <w:r>
        <w:t xml:space="preserve">‘</w:t>
      </w:r>
      <w:r>
        <w:t xml:space="preserve">not adequately distinguished posterior reconstruction [</w:t>
      </w:r>
      <w:r>
        <w:rPr>
          <w:iCs/>
          <w:i/>
        </w:rPr>
        <w:t xml:space="preserve">Nachkonstruktion</w:t>
      </w:r>
      <w:r>
        <w:t xml:space="preserve">] from reflection on oneself</w:t>
      </w:r>
      <w:r>
        <w:t xml:space="preserve">’</w:t>
      </w:r>
      <w:r>
        <w:t xml:space="preserve">. Rational reconstructions deal with anonymous rule systems with which any competent subject can comply, and so</w:t>
      </w:r>
      <w:r>
        <w:t xml:space="preserve"> </w:t>
      </w:r>
      <w:r>
        <w:t xml:space="preserve">‘</w:t>
      </w:r>
      <w:r>
        <w:t xml:space="preserve">do not encompass subjectivity, within the horizon of which alone the experience of reflection is possible</w:t>
      </w:r>
      <w:r>
        <w:t xml:space="preserve">’</w:t>
      </w:r>
      <w:r>
        <w:t xml:space="preserve">; self-reflection, by contrast, makes conscious what was unconscious</w:t>
      </w:r>
      <w:r>
        <w:t xml:space="preserve"> </w:t>
      </w:r>
      <w:r>
        <w:t xml:space="preserve">‘</w:t>
      </w:r>
      <w:r>
        <w:t xml:space="preserve">in a manner rich in practical consequences</w:t>
      </w:r>
      <w:r>
        <w:t xml:space="preserve">’</w:t>
      </w:r>
      <w:r>
        <w:t xml:space="preserve">, whereas the knowledge a reconstruction yields</w:t>
      </w:r>
      <w:r>
        <w:t xml:space="preserve"> </w:t>
      </w:r>
      <w:r>
        <w:t xml:space="preserve">‘</w:t>
      </w:r>
      <w:r>
        <w:t xml:space="preserve">has no practical consequences. By learning logic or linguistics I acquire theoretical knowledge, but in general I do not thereby change my previous practice of reasoning or speaking.</w:t>
      </w:r>
      <w:r>
        <w:t xml:space="preserve">’</w:t>
      </w:r>
      <w:r>
        <w:rPr>
          <w:rStyle w:val="FootnoteReference"/>
        </w:rPr>
        <w:footnoteReference w:id="55"/>
      </w:r>
      <w:r>
        <w:t xml:space="preserve"> </w:t>
      </w:r>
      <w:r>
        <w:t xml:space="preserve">The task of being critical of other disciplines is discharged by reconstruction, the method §2.1.1 expounds, which cooperates with the sciences by supplying hypotheses about competences and submitting them to its tests; it is a task in which the theorist’s own subjectivity is not in play. The task of being critical of its own commitments is not discharged by that method, since the commitments are not anonymous rules a competent speaker follows but the theorist’s, and what is turned upon them is reflection in the other sense, the argument turned upon its own conditions which §2.4.1 names philosophical self-reflexivity and whose three resources it costs. The two are the Kantian and the Hegelian forms of critical reflection respectively, the transcendental enquiry into conditions and the self-reflection which dissolves a false consciousness of itself, and Habermas’s programme, which draws the distinction without drawing this consequence, requires both while its method is only the first. A third form, the elenctic, which convicts a denial by its own performance and derives nothing, is not Habermas’s, and is introduced at Chapter Three §3.3.1 as the instrument of these chapters, under the licence argued there. Whether the second task can be discharged at all by a thinking whose only method is the first is the question §2.4 answers, with its cost.</w:t>
      </w:r>
    </w:p>
    <w:bookmarkStart w:id="73" w:name="X3bd3f17dc615214a4c60a8f339bec67db0b34fa"/>
    <w:p>
      <w:pPr>
        <w:pStyle w:val="Heading3"/>
      </w:pPr>
      <w:r>
        <w:t xml:space="preserve">§2.1.1 · C1 · Reconstructivism: object, method, hypothetical status, the silence of reconstruction, and the categorial premise</w:t>
      </w:r>
    </w:p>
    <w:p>
      <w:pPr>
        <w:pStyle w:val="FirstParagraph"/>
      </w:pPr>
      <w:r>
        <w:t xml:space="preserve">C1 holds that philosophy can lay claim to the structures of communicative rationality only by reconstruction: by taking as its data the competences speaking and acting subjects exercise, and rendering explicit the implicit know-how those competences instantiate. What is reconstructed is neither an empirical regularity open to inductive generalisation nor a structure of pure consciousness, but the operative competence exercised whenever a speaker acts with an orientation to reaching understanding; the reconstruction renders that knowing-how as a knowing-that. Habermas states the connection and its ground in one movement:</w:t>
      </w:r>
      <w:r>
        <w:t xml:space="preserve"> </w:t>
      </w:r>
      <w:r>
        <w:t xml:space="preserve">‘</w:t>
      </w:r>
      <w:r>
        <w:t xml:space="preserve">There is then a fundamental connection between understanding communicative actions and constructing rational interpretations</w:t>
      </w:r>
      <w:r>
        <w:t xml:space="preserve">’</w:t>
      </w:r>
      <w:r>
        <w:t xml:space="preserve">, the connection being fundamental because a two-stage procedure, grasping the course of an interaction first and measuring it against an ideal type afterwards, is unavailable.</w:t>
      </w:r>
      <w:r>
        <w:rPr>
          <w:rStyle w:val="FootnoteReference"/>
        </w:rPr>
        <w:footnoteReference w:id="56"/>
      </w:r>
      <w:r>
        <w:t xml:space="preserve"> </w:t>
      </w:r>
      <w:r>
        <w:t xml:space="preserve">The thesis governs the interpretation of communicative action, and Habermas does not extend it to the reconstruction of a competence; the extension runs by way of the datum: what formal pragmatics reconstructs is a competence exercised in actions, and an action is identifiable as communicative only under an interpretation which has already taken a position upon the claims it raises, so that no stage of the reconstruction is carried out upon a datum secured independently of such a position; the further claim, that the reconstructive procedure is itself single-staged as Habermas holds the interpretation of action to be, would not follow from the manner in which the datum is had, and nothing below rests upon it. Because the competence is one the speaker already commands, its reconstruction must be confirmed from within, by maieutic confirmation, and that confirmation is not sovereign, being one of three mutually constraining criteria, alongside convergence with developmental enquiry and explanatory power across the cognate domains.</w:t>
      </w:r>
      <w:r>
        <w:rPr>
          <w:rStyle w:val="FootnoteReference"/>
        </w:rPr>
        <w:footnoteReference w:id="57"/>
      </w:r>
    </w:p>
    <w:p>
      <w:pPr>
        <w:pStyle w:val="BodyText"/>
      </w:pPr>
      <w:r>
        <w:t xml:space="preserve">The place philosophy occupies after the renunciations is named in the essay which opens the discourse-ethics volume: philosophy,</w:t>
      </w:r>
      <w:r>
        <w:t xml:space="preserve"> </w:t>
      </w:r>
      <w:r>
        <w:t xml:space="preserve">‘</w:t>
      </w:r>
      <w:r>
        <w:t xml:space="preserve">while well advised to withdraw from the problematic roles of usher (</w:t>
      </w:r>
      <w:r>
        <w:rPr>
          <w:iCs/>
          <w:i/>
        </w:rPr>
        <w:t xml:space="preserve">Platzanweiser</w:t>
      </w:r>
      <w:r>
        <w:t xml:space="preserve">) and judge, can and ought to retain its claim to reason, provided it is content to play the more modest roles of stand-in (</w:t>
      </w:r>
      <w:r>
        <w:rPr>
          <w:iCs/>
          <w:i/>
        </w:rPr>
        <w:t xml:space="preserve">Platzhalter</w:t>
      </w:r>
      <w:r>
        <w:t xml:space="preserve">) and interpreter</w:t>
      </w:r>
      <w:r>
        <w:t xml:space="preserve">’</w:t>
      </w:r>
      <w:r>
        <w:t xml:space="preserve">. The place is held for</w:t>
      </w:r>
      <w:r>
        <w:t xml:space="preserve"> </w:t>
      </w:r>
      <w:r>
        <w:t xml:space="preserve">‘</w:t>
      </w:r>
      <w:r>
        <w:t xml:space="preserve">Empirical theories with strong universalistic claims</w:t>
      </w:r>
      <w:r>
        <w:t xml:space="preserve">’</w:t>
      </w:r>
      <w:r>
        <w:t xml:space="preserve">, whose chance of emerging</w:t>
      </w:r>
      <w:r>
        <w:t xml:space="preserve"> </w:t>
      </w:r>
      <w:r>
        <w:t xml:space="preserve">‘</w:t>
      </w:r>
      <w:r>
        <w:t xml:space="preserve">is greatest in the reconstructive sciences</w:t>
      </w:r>
      <w:r>
        <w:t xml:space="preserve">’</w:t>
      </w:r>
      <w:r>
        <w:t xml:space="preserve">, which,</w:t>
      </w:r>
      <w:r>
        <w:t xml:space="preserve"> </w:t>
      </w:r>
      <w:r>
        <w:t xml:space="preserve">‘</w:t>
      </w:r>
      <w:r>
        <w:t xml:space="preserve">Starting primarily from the intuitive knowledge of competent subjects … and secondarily from systematic knowledge handed down by culture</w:t>
      </w:r>
      <w:r>
        <w:t xml:space="preserve">’</w:t>
      </w:r>
      <w:r>
        <w:t xml:space="preserve">,</w:t>
      </w:r>
      <w:r>
        <w:t xml:space="preserve"> </w:t>
      </w:r>
      <w:r>
        <w:t xml:space="preserve">‘</w:t>
      </w:r>
      <w:r>
        <w:t xml:space="preserve">explain the presumably universal bases of rational experience and judgment, as well as of action and linguistic communication</w:t>
      </w:r>
      <w:r>
        <w:t xml:space="preserve">’</w:t>
      </w:r>
      <w:r>
        <w:t xml:space="preserve">. Reconstructive science thus enters as the discipline for which philosophy holds a place, the modality of what it explains fixed by the definition’s own adverb,</w:t>
      </w:r>
      <w:r>
        <w:t xml:space="preserve"> </w:t>
      </w:r>
      <w:r>
        <w:rPr>
          <w:iCs/>
          <w:i/>
        </w:rPr>
        <w:t xml:space="preserve">presumably</w:t>
      </w:r>
      <w:r>
        <w:t xml:space="preserve">.</w:t>
      </w:r>
      <w:r>
        <w:rPr>
          <w:rStyle w:val="FootnoteReference"/>
        </w:rPr>
        <w:footnoteReference w:id="58"/>
      </w:r>
      <w:r>
        <w:t xml:space="preserve"> </w:t>
      </w:r>
      <w:r>
        <w:t xml:space="preserve">Philosophy relinquishes the usher’s warrant, the authority to assign each science its place, whose assignments are final because the authority which draws them certifies them itself and exempts them from correction by the sciences it assigns, and takes up the stand-in’s, which holds a position open for theories whose results it neither anticipates nor certifies, and whose own results are put up for discussion as theirs are. The offices are his; the criterion which separates them, fallibilism and not any retreat from the claim to reason, is not, and what is renounced on that criterion is the office of a tribunal.</w:t>
      </w:r>
      <w:r>
        <w:rPr>
          <w:rStyle w:val="FootnoteReference"/>
        </w:rPr>
        <w:footnoteReference w:id="59"/>
      </w:r>
      <w:r>
        <w:t xml:space="preserve"> </w:t>
      </w:r>
      <w:r>
        <w:t xml:space="preserve">After metaphysics philosophy</w:t>
      </w:r>
      <w:r>
        <w:t xml:space="preserve"> </w:t>
      </w:r>
      <w:r>
        <w:t xml:space="preserve">‘</w:t>
      </w:r>
      <w:r>
        <w:t xml:space="preserve">surrenders its extraordinary status</w:t>
      </w:r>
      <w:r>
        <w:t xml:space="preserve">’</w:t>
      </w:r>
      <w:r>
        <w:t xml:space="preserve">, is</w:t>
      </w:r>
      <w:r>
        <w:t xml:space="preserve"> </w:t>
      </w:r>
      <w:r>
        <w:t xml:space="preserve">‘</w:t>
      </w:r>
      <w:r>
        <w:t xml:space="preserve">no longer in possession of an affirmative theory of the good life</w:t>
      </w:r>
      <w:r>
        <w:t xml:space="preserve">’</w:t>
      </w:r>
      <w:r>
        <w:t xml:space="preserve">, and the lifeworld to which its gaze reverts is</w:t>
      </w:r>
      <w:r>
        <w:t xml:space="preserve"> </w:t>
      </w:r>
      <w:r>
        <w:t xml:space="preserve">‘</w:t>
      </w:r>
      <w:r>
        <w:t xml:space="preserve">now present only as horizon and background</w:t>
      </w:r>
      <w:r>
        <w:t xml:space="preserve">’</w:t>
      </w:r>
      <w:r>
        <w:t xml:space="preserve"> </w:t>
      </w:r>
      <w:r>
        <w:t xml:space="preserve">and</w:t>
      </w:r>
      <w:r>
        <w:t xml:space="preserve"> </w:t>
      </w:r>
      <w:r>
        <w:t xml:space="preserve">‘</w:t>
      </w:r>
      <w:r>
        <w:t xml:space="preserve">evades the grasp of theoretical objectification</w:t>
      </w:r>
      <w:r>
        <w:t xml:space="preserve">’</w:t>
      </w:r>
      <w:r>
        <w:t xml:space="preserve">;</w:t>
      </w:r>
      <w:r>
        <w:rPr>
          <w:rStyle w:val="FootnoteReference"/>
        </w:rPr>
        <w:footnoteReference w:id="60"/>
      </w:r>
      <w:r>
        <w:t xml:space="preserve"> </w:t>
      </w:r>
      <w:r>
        <w:t xml:space="preserve">the constraint this places upon philosophy’s reflection upon itself is drawn at §2.4.1.</w:t>
      </w:r>
    </w:p>
    <w:p>
      <w:pPr>
        <w:pStyle w:val="BodyText"/>
      </w:pPr>
      <w:r>
        <w:t xml:space="preserve">The method by which that reconstructive science proceeds is best taken against its nearest rival, and Habermas separates the two by their object and not by their technique. Reconstructive procedures, he writes in 1976, are not characteristic of sciences developing nomological hypotheses about domains of observable events but of sciences which</w:t>
      </w:r>
      <w:r>
        <w:t xml:space="preserve"> </w:t>
      </w:r>
      <w:r>
        <w:t xml:space="preserve">‘</w:t>
      </w:r>
      <w:r>
        <w:t xml:space="preserve">systematically reconstruct the intuitive knowledge of competent subjects</w:t>
      </w:r>
      <w:r>
        <w:t xml:space="preserve">’</w:t>
      </w:r>
      <w:r>
        <w:t xml:space="preserve">; their data gathered by</w:t>
      </w:r>
      <w:r>
        <w:t xml:space="preserve"> </w:t>
      </w:r>
      <w:r>
        <w:t xml:space="preserve">‘</w:t>
      </w:r>
      <w:r>
        <w:t xml:space="preserve">a well-thought-out maeutic method of interrogation</w:t>
      </w:r>
      <w:r>
        <w:t xml:space="preserve">’</w:t>
      </w:r>
      <w:r>
        <w:t xml:space="preserve">. The essay on reconstruction and interpretation in the social sciences fixes the object to the same effect: formal-pragmatic analysis</w:t>
      </w:r>
      <w:r>
        <w:t xml:space="preserve"> </w:t>
      </w:r>
      <w:r>
        <w:t xml:space="preserve">‘</w:t>
      </w:r>
      <w:r>
        <w:t xml:space="preserve">focuses on the general and necessary conditions for the validity of symbolic expressions and achievements</w:t>
      </w:r>
      <w:r>
        <w:t xml:space="preserve">’</w:t>
      </w:r>
      <w:r>
        <w:t xml:space="preserve"> </w:t>
      </w:r>
      <w:r>
        <w:t xml:space="preserve">and concerns</w:t>
      </w:r>
      <w:r>
        <w:t xml:space="preserve"> </w:t>
      </w:r>
      <w:r>
        <w:t xml:space="preserve">‘</w:t>
      </w:r>
      <w:r>
        <w:t xml:space="preserve">rational reconstructions of the know-how of subjects who are capable of speech and action</w:t>
      </w:r>
      <w:r>
        <w:t xml:space="preserve">’</w:t>
      </w:r>
      <w:r>
        <w:t xml:space="preserve">, subjects who are credited with the ability to produce valid utterances and to tell, at least intuitively, valid from invalid ones.</w:t>
      </w:r>
      <w:r>
        <w:rPr>
          <w:rStyle w:val="FootnoteReference"/>
        </w:rPr>
        <w:footnoteReference w:id="61"/>
      </w:r>
      <w:r>
        <w:t xml:space="preserve"> </w:t>
      </w:r>
      <w:r>
        <w:t xml:space="preserve">The theory of argumentation</w:t>
      </w:r>
      <w:r>
        <w:t xml:space="preserve"> </w:t>
      </w:r>
      <w:r>
        <w:t xml:space="preserve">‘</w:t>
      </w:r>
      <w:r>
        <w:t xml:space="preserve">does not have to provide a derivation for such a system in the sense of a transcendental deduction</w:t>
      </w:r>
      <w:r>
        <w:t xml:space="preserve">’</w:t>
      </w:r>
      <w:r>
        <w:t xml:space="preserve">, since</w:t>
      </w:r>
      <w:r>
        <w:t xml:space="preserve"> </w:t>
      </w:r>
      <w:r>
        <w:t xml:space="preserve">‘</w:t>
      </w:r>
      <w:r>
        <w:t xml:space="preserve">a reliable procedure for testing corresponding reconstructive hypotheses suffices</w:t>
      </w:r>
      <w:r>
        <w:t xml:space="preserve">’</w:t>
      </w:r>
      <w:r>
        <w:t xml:space="preserve">; the 1981 work opens by surrendering the</w:t>
      </w:r>
      <w:r>
        <w:t xml:space="preserve"> </w:t>
      </w:r>
      <w:r>
        <w:t xml:space="preserve">‘</w:t>
      </w:r>
      <w:r>
        <w:t xml:space="preserve">transcendental-philosophical hopes for an aprioristic reconstruction of the equipment of a nonempirical species subject</w:t>
      </w:r>
      <w:r>
        <w:t xml:space="preserve">’</w:t>
      </w:r>
      <w:r>
        <w:t xml:space="preserve">, and records that an interpreter who ascribes to those he interprets the judgemental competence he claims for himself relinquishes</w:t>
      </w:r>
      <w:r>
        <w:t xml:space="preserve"> </w:t>
      </w:r>
      <w:r>
        <w:t xml:space="preserve">‘</w:t>
      </w:r>
      <w:r>
        <w:t xml:space="preserve">an immunity that was until then methodologically guaranteed</w:t>
      </w:r>
      <w:r>
        <w:t xml:space="preserve">’</w:t>
      </w:r>
      <w:r>
        <w:t xml:space="preserve">, his interpretation being exposed to the same criticism as the utterances he interprets.</w:t>
      </w:r>
      <w:r>
        <w:rPr>
          <w:rStyle w:val="FootnoteReference"/>
        </w:rPr>
        <w:footnoteReference w:id="62"/>
      </w:r>
    </w:p>
    <w:p>
      <w:pPr>
        <w:pStyle w:val="BodyText"/>
      </w:pPr>
      <w:r>
        <w:t xml:space="preserve">In the programme of justification of 1983 the identification of pragmatic presuppositions,</w:t>
      </w:r>
      <w:r>
        <w:t xml:space="preserve"> </w:t>
      </w:r>
      <w:r>
        <w:t xml:space="preserve">‘</w:t>
      </w:r>
      <w:r>
        <w:t xml:space="preserve">for which the search for performative contradictions provides a guide, relies upon a maieutic method</w:t>
      </w:r>
      <w:r>
        <w:t xml:space="preserve">’</w:t>
      </w:r>
      <w:r>
        <w:t xml:space="preserve">. It serves to make a sceptic</w:t>
      </w:r>
      <w:r>
        <w:t xml:space="preserve"> </w:t>
      </w:r>
      <w:r>
        <w:t xml:space="preserve">‘</w:t>
      </w:r>
      <w:r>
        <w:t xml:space="preserve">aware of presuppositions he knows intuitively</w:t>
      </w:r>
      <w:r>
        <w:t xml:space="preserve">’</w:t>
      </w:r>
      <w:r>
        <w:t xml:space="preserve">;</w:t>
      </w:r>
      <w:r>
        <w:t xml:space="preserve"> </w:t>
      </w:r>
      <w:r>
        <w:t xml:space="preserve">‘</w:t>
      </w:r>
      <w:r>
        <w:t xml:space="preserve">to cast this pretheoretical knowledge in an explicit form that will enable the skeptic to recognize his intuitions in this description</w:t>
      </w:r>
      <w:r>
        <w:t xml:space="preserve">’</w:t>
      </w:r>
      <w:r>
        <w:t xml:space="preserve">; and</w:t>
      </w:r>
      <w:r>
        <w:t xml:space="preserve"> </w:t>
      </w:r>
      <w:r>
        <w:t xml:space="preserve">‘</w:t>
      </w:r>
      <w:r>
        <w:t xml:space="preserve">to corroborate, through counterexamples, the proponent’s assertion that there are no alternatives to the presuppositions he has made explicit</w:t>
      </w:r>
      <w:r>
        <w:t xml:space="preserve">’</w:t>
      </w:r>
      <w:r>
        <w:t xml:space="preserve">, labelled (2a), (2b) and (2c).</w:t>
      </w:r>
      <w:r>
        <w:rPr>
          <w:rStyle w:val="FootnoteReference"/>
        </w:rPr>
        <w:footnoteReference w:id="63"/>
      </w:r>
      <w:r>
        <w:t xml:space="preserve"> </w:t>
      </w:r>
      <w:r>
        <w:t xml:space="preserve">Of the last two he says that they</w:t>
      </w:r>
      <w:r>
        <w:t xml:space="preserve"> </w:t>
      </w:r>
      <w:r>
        <w:t xml:space="preserve">‘</w:t>
      </w:r>
      <w:r>
        <w:t xml:space="preserve">contain unmistakable hypothetical elements</w:t>
      </w:r>
      <w:r>
        <w:t xml:space="preserve">’</w:t>
      </w:r>
      <w:r>
        <w:t xml:space="preserve">: the description is</w:t>
      </w:r>
      <w:r>
        <w:t xml:space="preserve"> </w:t>
      </w:r>
      <w:r>
        <w:t xml:space="preserve">‘</w:t>
      </w:r>
      <w:r>
        <w:t xml:space="preserve">a hypothetical reconstruction that can provide only a more or less correct rendering of intuitions</w:t>
      </w:r>
      <w:r>
        <w:t xml:space="preserve">’</w:t>
      </w:r>
      <w:r>
        <w:t xml:space="preserve">, and</w:t>
      </w:r>
      <w:r>
        <w:t xml:space="preserve"> </w:t>
      </w:r>
      <w:r>
        <w:t xml:space="preserve">‘</w:t>
      </w:r>
      <w:r>
        <w:t xml:space="preserve">it needs maieutic confirmation</w:t>
      </w:r>
      <w:r>
        <w:t xml:space="preserve">’</w:t>
      </w:r>
      <w:r>
        <w:t xml:space="preserve">, so that it is a proposal about the competence and not a transcript, its correctness qualified in advance as approximate, its warrant lying in elicited assent; and, hinged to the third, in the English of record, by</w:t>
      </w:r>
      <w:r>
        <w:t xml:space="preserve"> </w:t>
      </w:r>
      <w:r>
        <w:t xml:space="preserve">‘</w:t>
      </w:r>
      <w:r>
        <w:t xml:space="preserve">Similarly</w:t>
      </w:r>
      <w:r>
        <w:t xml:space="preserve">’</w:t>
      </w:r>
      <w:r>
        <w:t xml:space="preserve">, where the German has</w:t>
      </w:r>
      <w:r>
        <w:t xml:space="preserve"> </w:t>
      </w:r>
      <w:r>
        <w:rPr>
          <w:iCs/>
          <w:i/>
        </w:rPr>
        <w:t xml:space="preserve">Und</w:t>
      </w:r>
      <w:r>
        <w:t xml:space="preserve">, the assertion that no alternative to a given presupposition exists,</w:t>
      </w:r>
      <w:r>
        <w:t xml:space="preserve"> </w:t>
      </w:r>
      <w:r>
        <w:t xml:space="preserve">‘</w:t>
      </w:r>
      <w:r>
        <w:t xml:space="preserve">that it is one of the inescapable (i.e., necessary and general) presuppositions, has the status of an assumption</w:t>
      </w:r>
      <w:r>
        <w:t xml:space="preserve">’</w:t>
      </w:r>
      <w:r>
        <w:t xml:space="preserve">, which,</w:t>
      </w:r>
      <w:r>
        <w:t xml:space="preserve"> </w:t>
      </w:r>
      <w:r>
        <w:t xml:space="preserve">‘</w:t>
      </w:r>
      <w:r>
        <w:t xml:space="preserve">like a lawlike hypothesis</w:t>
      </w:r>
      <w:r>
        <w:t xml:space="preserve">’</w:t>
      </w:r>
      <w:r>
        <w:t xml:space="preserve"> </w:t>
      </w:r>
      <w:r>
        <w:t xml:space="preserve">—</w:t>
      </w:r>
      <w:r>
        <w:t xml:space="preserve"> </w:t>
      </w:r>
      <w:r>
        <w:rPr>
          <w:iCs/>
          <w:i/>
        </w:rPr>
        <w:t xml:space="preserve">Gesetzeshypothese</w:t>
      </w:r>
      <w:r>
        <w:t xml:space="preserve"> </w:t>
      </w:r>
      <w:r>
        <w:t xml:space="preserve">—</w:t>
      </w:r>
      <w:r>
        <w:t xml:space="preserve"> </w:t>
      </w:r>
      <w:r>
        <w:t xml:space="preserve">‘</w:t>
      </w:r>
      <w:r>
        <w:t xml:space="preserve">must be checked against individual cases</w:t>
      </w:r>
      <w:r>
        <w:t xml:space="preserve">’</w:t>
      </w:r>
      <w:r>
        <w:t xml:space="preserve">.</w:t>
      </w:r>
      <w:r>
        <w:rPr>
          <w:rStyle w:val="FootnoteReference"/>
        </w:rPr>
        <w:footnoteReference w:id="64"/>
      </w:r>
      <w:r>
        <w:t xml:space="preserve"> </w:t>
      </w:r>
      <w:r>
        <w:t xml:space="preserve">Habermas glosses inescapability as comprising necessity and generality, so that what falls under the status of an assumption is a conjunction with necessity as a conjunct. The test he prescribes licenses a narrower result. A lawlike hypothesis is checked against individual cases, and the individual cases of a presupposition of argumentation are argumentations, actual or attempted; such a check can establish that no argumentation has been found lacking the presupposition, not that none could have lacked it, since a presupposition holding of every arguer as a matter of fact would survive it as intact as one no arguer could lack. The necessity conjunct is thus hypothesised without being testable by the procedure assigned to it, and a cognate admission stands in 1976:</w:t>
      </w:r>
      <w:r>
        <w:t xml:space="preserve"> </w:t>
      </w:r>
      <w:r>
        <w:t xml:space="preserve">‘</w:t>
      </w:r>
      <w:r>
        <w:t xml:space="preserve">Every reconstruction of a basic conceptual system of possible experience has to be regarded as a hypothetical proposal that can be tested against new experiences</w:t>
      </w:r>
      <w:r>
        <w:t xml:space="preserve">’</w:t>
      </w:r>
      <w:r>
        <w:t xml:space="preserve">.</w:t>
      </w:r>
      <w:r>
        <w:rPr>
          <w:rStyle w:val="FootnoteReference"/>
        </w:rPr>
        <w:footnoteReference w:id="65"/>
      </w:r>
      <w:r>
        <w:t xml:space="preserve"> </w:t>
      </w:r>
      <w:r>
        <w:t xml:space="preserve">The proviso of 1983 is stated in a single passage:</w:t>
      </w:r>
    </w:p>
    <w:p>
      <w:pPr>
        <w:pStyle w:val="BodyText"/>
      </w:pPr>
      <w:r>
        <w:t xml:space="preserve">‘</w:t>
      </w:r>
      <w:r>
        <w:t xml:space="preserve">To be sure, the intuitive knowledge of rules that subjects capable of speech and action must use if they are to be able to participate in argumentation is in a certain sense not fallible. But this is not true of our reconstruction of this pretheoretical knowledge and the claim to universality that we connect with it. The certainty with which we put our knowledge of rules into practice does not extend to the truth of proposed reconstructions of presuppositions hypothesized to be general</w:t>
      </w:r>
      <w:r>
        <w:t xml:space="preserve">’</w:t>
      </w:r>
      <w:r>
        <w:t xml:space="preserve">.</w:t>
      </w:r>
      <w:r>
        <w:rPr>
          <w:rStyle w:val="FootnoteReference"/>
        </w:rPr>
        <w:footnoteReference w:id="66"/>
      </w:r>
    </w:p>
    <w:p>
      <w:pPr>
        <w:pStyle w:val="BodyText"/>
      </w:pPr>
      <w:r>
        <w:t xml:space="preserve">The concessive (</w:t>
      </w:r>
      <w:r>
        <w:t xml:space="preserve">‘</w:t>
      </w:r>
      <w:r>
        <w:t xml:space="preserve">To be sure</w:t>
      </w:r>
      <w:r>
        <w:t xml:space="preserve">’</w:t>
      </w:r>
      <w:r>
        <w:t xml:space="preserve">) marks the non-fallibility as granted, not argued; the hedge (</w:t>
      </w:r>
      <w:r>
        <w:t xml:space="preserve">‘</w:t>
      </w:r>
      <w:r>
        <w:t xml:space="preserve">in a certain sense</w:t>
      </w:r>
      <w:r>
        <w:t xml:space="preserve">’</w:t>
      </w:r>
      <w:r>
        <w:t xml:space="preserve">) withholds the sense in which it holds. The concession is then withheld from two constructions: from</w:t>
      </w:r>
      <w:r>
        <w:t xml:space="preserve"> </w:t>
      </w:r>
      <w:r>
        <w:t xml:space="preserve">‘</w:t>
      </w:r>
      <w:r>
        <w:t xml:space="preserve">our reconstruction of this pretheoretical knowledge</w:t>
      </w:r>
      <w:r>
        <w:t xml:space="preserve">’</w:t>
      </w:r>
      <w:r>
        <w:t xml:space="preserve">, and from</w:t>
      </w:r>
      <w:r>
        <w:t xml:space="preserve"> </w:t>
      </w:r>
      <w:r>
        <w:t xml:space="preserve">‘</w:t>
      </w:r>
      <w:r>
        <w:t xml:space="preserve">the claim to universality that we connect with it</w:t>
      </w:r>
      <w:r>
        <w:t xml:space="preserve">’</w:t>
      </w:r>
      <w:r>
        <w:t xml:space="preserve">. The hypothetical elements were lodged, a few sentences earlier, in substeps (2b) and (2c), and the pairing of the two constructions with the two substeps, the reconstruction with (2b) and the claim to universality with (2c), is a reading, the one the earlier sentences invite, since the first of them speaks of the description and its confirmation and the second of the assertion that no alternative exists and its check against cases. The German verb of the last sentence is</w:t>
      </w:r>
      <w:r>
        <w:t xml:space="preserve"> </w:t>
      </w:r>
      <w:r>
        <w:rPr>
          <w:iCs/>
          <w:i/>
        </w:rPr>
        <w:t xml:space="preserve">sich übertragen</w:t>
      </w:r>
      <w:r>
        <w:t xml:space="preserve">: the certainty of practice</w:t>
      </w:r>
      <w:r>
        <w:t xml:space="preserve"> </w:t>
      </w:r>
      <w:r>
        <w:t xml:space="preserve">‘</w:t>
      </w:r>
      <w:r>
        <w:t xml:space="preserve">überträgt sich nicht auf die Wahrheit von Rekonstruktionsvorschlägen für hypothetisch allgemeine Präsuppositionen</w:t>
      </w:r>
      <w:r>
        <w:t xml:space="preserve">’</w:t>
      </w:r>
      <w:r>
        <w:t xml:space="preserve">, does not transfer itself to the truth of reconstruction proposals for presuppositions hypothesised to be general. The passage from the certainty of a practice to the truth of a proposal about it is accordingly a transfer, and it is the transfer Habermas denies; the ground he gives in the sentence which follows is that reconstructions are put up for discussion as the logician’s or the linguist’s theoretical descriptions are.</w:t>
      </w:r>
      <w:r>
        <w:rPr>
          <w:rStyle w:val="FootnoteReference"/>
        </w:rPr>
        <w:footnoteReference w:id="67"/>
      </w:r>
    </w:p>
    <w:p>
      <w:pPr>
        <w:pStyle w:val="BodyText"/>
      </w:pPr>
      <w:r>
        <w:t xml:space="preserve">Description and generality-claim are advanced, warranted and tested separately, and separately liable to fail; both are propositional. Substep (2b) stands or falls by a speaker’s recognition of the description offered him, a first-personal acknowledgement; (2c) by the search for a deviant case, a third-personal check upon a generalisation. A reconstruction could render correctly what competent speakers do while the claim that all speakers must do it remained unwarranted. Habermas enumerates elsewhere the ways in which a reconstruction may fail — a false choice of examples, the obscuring and distorting of correct intuitions, the overgeneralising of individual cases — and the second answers to the description and the third to the generality-claim, a pairing he does not make.</w:t>
      </w:r>
      <w:r>
        <w:rPr>
          <w:rStyle w:val="FootnoteReference"/>
        </w:rPr>
        <w:footnoteReference w:id="68"/>
      </w:r>
      <w:r>
        <w:t xml:space="preserve"> </w:t>
      </w:r>
      <w:r>
        <w:t xml:space="preserve">Of any formal-pragmatic result it may be asked which of the two things it says — that this is the rule, or that the rule is general — is claimed.</w:t>
      </w:r>
    </w:p>
    <w:p>
      <w:pPr>
        <w:pStyle w:val="BodyText"/>
      </w:pPr>
      <w:r>
        <w:t xml:space="preserve">Reconstruction is therefore silent at both tests, and silent by construction: each is directed upon content or extension, and the modality of what is enacted is neither. A counterfactual variation of the practice must be put to a speaker for acknowledgement or surveyed as instances, falling back into one of the two; that the method has no third resource is a claim about it and not one it makes, and the demarcation of the data on which the claim rests is given at §2.1.2.</w:t>
      </w:r>
    </w:p>
    <w:p>
      <w:pPr>
        <w:pStyle w:val="BodyText"/>
      </w:pPr>
      <w:r>
        <w:t xml:space="preserve">Nor does the demonstration of performative self-contradiction escape that silence. Habermas makes the search for performative contradictions the guide of step (2) as a whole, and what the demonstration is said to prove, that the rules have no alternatives (§2.1.5), is the assertion (2c) is to corroborate; but it proceeds by showing that each attempted alternative makes use of what it would replace, and its yield, on the warning Habermas lets Schönrich state without adopting it in his own voice, is no more than quasi-empirical (Chapter Three §3.2.4). Whatever modal reach it carries is the reach of an exhibition, which convicts a denial on the occasion of its performance and derives nothing, and the licence for it is sought at Chapter Three §3.3.1. What would settle the question between a transcendental and a naturalistic reading must therefore arrive from outside reconstruction, as a premise about modal standing which the method neither furnishes nor certifies; the requirement is identified by the present reading and is not a finding of the programme under examination. Pedersen registers the difficulty as an unclarity about how the reconstructive hypothesis is to be tested, without naming its source; the tests are not indeterminate in application but silent in subject-matter.</w:t>
      </w:r>
      <w:r>
        <w:rPr>
          <w:rStyle w:val="FootnoteReference"/>
        </w:rPr>
        <w:footnoteReference w:id="69"/>
      </w:r>
      <w:r>
        <w:t xml:space="preserve"> </w:t>
      </w:r>
      <w:r>
        <w:t xml:space="preserve">Nor does that silence license the inference that the enacted inescapability is itself in doubt; the objection which presses it, and its answer, stand at §2.1.5.</w:t>
      </w:r>
    </w:p>
    <w:p>
      <w:pPr>
        <w:pStyle w:val="BodyText"/>
      </w:pPr>
      <w:r>
        <w:t xml:space="preserve">The silence of the tests rests upon a premise. What a speaker enacts in arguing and what a theorist says of it belong to different kinds. The first is a performance: that the speaker has undertaken what arguing requires, individuated by what a denial of it, performed, would undo. The second is a proposition: the statement of what he has undertaken, individuated by what would falsify it. The two are the operative and the propositional registers, named throughout by two German designations: the</w:t>
      </w:r>
      <w:r>
        <w:t xml:space="preserve"> </w:t>
      </w:r>
      <w:r>
        <w:rPr>
          <w:iCs/>
          <w:i/>
        </w:rPr>
        <w:t xml:space="preserve">Dass</w:t>
      </w:r>
      <w:r>
        <w:t xml:space="preserve"> </w:t>
      </w:r>
      <w:r>
        <w:t xml:space="preserve">for the enactment taken as enacted, the</w:t>
      </w:r>
      <w:r>
        <w:t xml:space="preserve"> </w:t>
      </w:r>
      <w:r>
        <w:rPr>
          <w:iCs/>
          <w:i/>
        </w:rPr>
        <w:t xml:space="preserve">Was</w:t>
      </w:r>
      <w:r>
        <w:t xml:space="preserve"> </w:t>
      </w:r>
      <w:r>
        <w:t xml:space="preserve">for its articulation. Chapter One §1.2.1 names the distinction the operative–propositional asymmetry, and §1.4.5, drawing the operative and the reflexive faces within the performative dimension, locates the joint at which the passage from enactment to bindingness is required. Nothing modal passes between the registers in either direction: the inescapability with which a speaker enacts a presupposition is a standing of the enactment and does not pass to the proposition which states it, and the corrigibility of the proposition licenses no inference to the corrigibility of what is enacted, the misreading C3 excludes (§2.1.5).</w:t>
      </w:r>
      <w:r>
        <w:rPr>
          <w:rStyle w:val="FootnoteReference"/>
        </w:rPr>
        <w:footnoteReference w:id="70"/>
      </w:r>
      <w:r>
        <w:t xml:space="preserve"> </w:t>
      </w:r>
      <w:r>
        <w:t xml:space="preserve">Stated as a premise — that an enactment and its description belong to different kinds — the asymmetry is referred to below as the</w:t>
      </w:r>
      <w:r>
        <w:t xml:space="preserve"> </w:t>
      </w:r>
      <w:r>
        <w:rPr>
          <w:iCs/>
          <w:i/>
        </w:rPr>
        <w:t xml:space="preserve">categorial premise</w:t>
      </w:r>
      <w:r>
        <w:t xml:space="preserve">.</w:t>
      </w:r>
      <w:r>
        <w:rPr>
          <w:rStyle w:val="FootnoteReference"/>
        </w:rPr>
        <w:footnoteReference w:id="71"/>
      </w:r>
      <w:r>
        <w:t xml:space="preserve"> </w:t>
      </w:r>
      <w:r>
        <w:t xml:space="preserve">Its ground lies in a difference of behaviour under denial, and three such behaviours have to be kept apart. A proposition meets its denial in the assertion of a negation, which is a further proposition and is assessed by the standards governing the first; the operation stays inside the propositional order and leaves that order as it was. A performative compulsion meets a second behaviour, miscarriage: no denial of the first shape reaches it, there being no negation available to assert, and one who sets out to argue while setting a presupposition of argument aside has not argued badly but has not argued. Bindingness meets a third behaviour, the withholding of compliance, which is neither the assertion of a negation nor a performance that miscarries but the refusal of a force which a norm exerts upon an agent; the validity claim raised for the norm is a proposition still, contested by negation as any other is, so that one and the same norm may be refused validity in discourse and refused obedience in action. Upon that difference the two registers are held apart as kinds and not as grades, and the holding apart owes nothing to any estimate of how reliably a reflection might reach the first. The premise is entered under a debt: the criterion under which the three behaviours individuate at all stands at Chapter Three §3.2.1.</w:t>
      </w:r>
    </w:p>
    <w:p>
      <w:pPr>
        <w:pStyle w:val="BodyText"/>
      </w:pPr>
      <w:r>
        <w:t xml:space="preserve">Two consequences are drawn from it. The first is the burden rule. Where a denial cannot be carried through without its denier enacting what he denies, nothing is thereby proved; what is settled is where the burden of proof lies, on the principle of the practice Chapter Three §3.2.1 states, in the exchange in which the denial miscarried, and the distribution so settled is one the arguer made in arguing. Its yield is operative and indexed to the occasion, and a report of the distribution is corrigible as reports are. The rule cuts in both directions, and the second direction meets an objection to the maieutic procedure entered from the side of power: that the distinction between competence and performance licenses the theorist to dismiss any recalcitrant speaker as incompetent, so that agreement counts as confirmation and disagreement as error. The burden passes to the denier only where the miscarriage of his denial is exhibited, and until it is exhibited the burden lies with the theorist, who must show that a speaker who rejects a reconstructed rule relies upon that rule in formulating the rejection; where that cannot be shown, the hypothesis is not saved by a diagnosis of incompetence but is refuted in the generality it claimed and narrows to the cases in which the showing can be made. The check upon the theory is thus the structure of the speech act and not the theorist’s charity, a reply Habermas does not make.</w:t>
      </w:r>
      <w:r>
        <w:rPr>
          <w:rStyle w:val="FootnoteReference"/>
        </w:rPr>
        <w:footnoteReference w:id="72"/>
      </w:r>
      <w:r>
        <w:t xml:space="preserve"> </w:t>
      </w:r>
      <w:r>
        <w:t xml:space="preserve">The second bears upon refutation. Refutation operates upon claims, and an enactment is not a claim; what the exhibition of a performative self-contradiction shows is that a speech act has gone unexecuted by the one who attempted it, and not that a proposition is false. Performative self-contradiction is used in these chapters in that bounded sense, of a denial which enacts in the performing what it denies in the content, and in no wider one. With it falls the reduction which would make the compulsion so exhibited a sanction laid upon would-be participants and refusable at a cost: a sanction is refused by the third behaviour, the withholding of compliance, and the denier of a presupposition of argument withholds nothing and pays nothing, having failed to argue rather than argued against a penalty. What the exhibition secures, it secures for the occasion of the denial, in the deed and for its performer; that the condition enacted holds of argument as such is a claim of another kind, a proposition about the type and not a deed of the token, and the passage from the one to the other is the first interval of the deficit (§2.1.5). What the premise claims for the enactment is distinctness from the proposition and not exemption from correction, and it is declared falsifiable under two conditions, either of which anyone may test: that negating the description of an enactment should undo the enactment, or that there should be an item at once performed and truth-apt which does not resolve into an utterance and a sentence uttered. The conditions are defended, together with the two objections the premise attracts, the inferentialist’s and the meaning-critical objection drawn from the position Apel and Kuhlmann hold, at Chapter Three §3.2.2; the individuation of the</w:t>
      </w:r>
      <w:r>
        <w:t xml:space="preserve"> </w:t>
      </w:r>
      <w:r>
        <w:rPr>
          <w:iCs/>
          <w:i/>
        </w:rPr>
        <w:t xml:space="preserve">Dass</w:t>
      </w:r>
      <w:r>
        <w:t xml:space="preserve"> </w:t>
      </w:r>
      <w:r>
        <w:t xml:space="preserve">is amended at §2.3.3 under Derrida’s argument from iterability.</w:t>
      </w:r>
    </w:p>
    <w:bookmarkEnd w:id="73"/>
    <w:bookmarkStart w:id="87" w:name="Xd167c883f2324dcce8e91d3b09be6eaf116fa59"/>
    <w:p>
      <w:pPr>
        <w:pStyle w:val="Heading3"/>
      </w:pPr>
      <w:r>
        <w:t xml:space="preserve">§2.1.2 · The demarcation of the data, the three exclusions, and the projection gap</w:t>
      </w:r>
    </w:p>
    <w:p>
      <w:pPr>
        <w:pStyle w:val="FirstParagraph"/>
      </w:pPr>
      <w:r>
        <w:t xml:space="preserve">The programme is assembled from three traditions, whose monological or empiricist premises, where they have them, it subverts: Peirce’s conception of inquiry, through Apel’s appropriation (Chapter Three §3.3.4); Chomsky’s reconstruction of an intuitive rule-consciousness; and the developmental psychology of Piaget and Kohlberg, which supplies not the foundation of the reconstruction but its indirect corroboration.</w:t>
      </w:r>
      <w:r>
        <w:rPr>
          <w:rStyle w:val="FootnoteReference"/>
        </w:rPr>
        <w:footnoteReference w:id="74"/>
      </w:r>
      <w:r>
        <w:t xml:space="preserve"> </w:t>
      </w:r>
      <w:r>
        <w:t xml:space="preserve">The definition of 1981 names a second point of departure, the systematic knowledge handed down by culture, and the demarcation concerns tests and not points of departure: what a culture transmits in its logics and grammars supplies candidate reconstructions, and a candidate is confirmed or defeated by the same two tests as any other, to which indirect corroboration adds no third. The first of three exclusions is of the sub-personal: what is reconstructed is not the grammatical competence isolated by generative linguistics, much of which a speaker exercises without being able to acknowledge its rules, and Habermas separates linguistic from communicative competence by their objects.</w:t>
      </w:r>
      <w:r>
        <w:rPr>
          <w:rStyle w:val="FootnoteReference"/>
        </w:rPr>
        <w:footnoteReference w:id="75"/>
      </w:r>
      <w:r>
        <w:t xml:space="preserve"> </w:t>
      </w:r>
      <w:r>
        <w:t xml:space="preserve">The most exacting objection to that exclusion can be drawn from Apel’s treatment of the Chomskyan material it invokes, written against Harman and Ryle: the rules of grammar are</w:t>
      </w:r>
      <w:r>
        <w:t xml:space="preserve"> </w:t>
      </w:r>
      <w:r>
        <w:t xml:space="preserve">‘</w:t>
      </w:r>
      <w:r>
        <w:t xml:space="preserve">nevertheless internalized as a component of social norms, i.e. in the sense of a normative consciousness</w:t>
      </w:r>
      <w:r>
        <w:t xml:space="preserve">’</w:t>
      </w:r>
      <w:r>
        <w:t xml:space="preserve">, every competent native speaker</w:t>
      </w:r>
      <w:r>
        <w:t xml:space="preserve"> </w:t>
      </w:r>
      <w:r>
        <w:t xml:space="preserve">‘</w:t>
      </w:r>
      <w:r>
        <w:t xml:space="preserve">can make explicit his ability to follow rules correctly, to a certain extent</w:t>
      </w:r>
      <w:r>
        <w:t xml:space="preserve">’</w:t>
      </w:r>
      <w:r>
        <w:t xml:space="preserve">, and Chomsky is right to refuse confinement to</w:t>
      </w:r>
      <w:r>
        <w:t xml:space="preserve"> </w:t>
      </w:r>
      <w:r>
        <w:t xml:space="preserve">‘</w:t>
      </w:r>
      <w:r>
        <w:t xml:space="preserve">Ryle’s disjunction between</w:t>
      </w:r>
      <w:r>
        <w:t xml:space="preserve"> </w:t>
      </w:r>
      <w:r>
        <w:t xml:space="preserve">“</w:t>
      </w:r>
      <w:r>
        <w:t xml:space="preserve">knowing how</w:t>
      </w:r>
      <w:r>
        <w:t xml:space="preserve">”</w:t>
      </w:r>
      <w:r>
        <w:t xml:space="preserve"> </w:t>
      </w:r>
      <w:r>
        <w:t xml:space="preserve">and</w:t>
      </w:r>
      <w:r>
        <w:t xml:space="preserve"> </w:t>
      </w:r>
      <w:r>
        <w:t xml:space="preserve">“</w:t>
      </w:r>
      <w:r>
        <w:t xml:space="preserve">knowing that</w:t>
      </w:r>
      <w:r>
        <w:t xml:space="preserve">”</w:t>
      </w:r>
      <w:r>
        <w:t xml:space="preserve">’</w:t>
      </w:r>
      <w:r>
        <w:t xml:space="preserve">.</w:t>
      </w:r>
      <w:r>
        <w:rPr>
          <w:rStyle w:val="FootnoteReference"/>
        </w:rPr>
        <w:footnoteReference w:id="76"/>
      </w:r>
      <w:r>
        <w:t xml:space="preserve"> </w:t>
      </w:r>
      <w:r>
        <w:t xml:space="preserve">Two levels are to be kept apart. At the first, which compresses what Habermas divides between know-how and a first-level know-that, stands the intuitive rule-knowledge of the competent speaker, a knowing-how, exercised in the production and assessment of utterances, and directed</w:t>
      </w:r>
      <w:r>
        <w:t xml:space="preserve"> </w:t>
      </w:r>
      <w:r>
        <w:rPr>
          <w:iCs/>
          <w:i/>
        </w:rPr>
        <w:t xml:space="preserve">intentione recta</w:t>
      </w:r>
      <w:r>
        <w:t xml:space="preserve"> </w:t>
      </w:r>
      <w:r>
        <w:t xml:space="preserve">upon the world spoken of, upon the object and not upon the rule by which the speaking proceeds. At the second level stands the theorist’s articulation of those rules, a knowing-that, propositional, corrigible, and directed upon the rules themselves; the interpreter who moves to the second level turns from the surface of what is said towards the rule governing it, so that, in Cooke’s rendering of Habermas’s sentence,</w:t>
      </w:r>
      <w:r>
        <w:t xml:space="preserve"> </w:t>
      </w:r>
      <w:r>
        <w:t xml:space="preserve">‘</w:t>
      </w:r>
      <w:r>
        <w:t xml:space="preserve">she no longer looks through it</w:t>
      </w:r>
      <w:r>
        <w:t xml:space="preserve"> </w:t>
      </w:r>
      <w:r>
        <w:rPr>
          <w:iCs/>
          <w:i/>
        </w:rPr>
        <w:t xml:space="preserve">intentione recta</w:t>
      </w:r>
      <w:r>
        <w:t xml:space="preserve"> </w:t>
      </w:r>
      <w:r>
        <w:t xml:space="preserve">to the world</w:t>
      </w:r>
      <w:r>
        <w:t xml:space="preserve">’</w:t>
      </w:r>
      <w:r>
        <w:t xml:space="preserve">.</w:t>
      </w:r>
      <w:r>
        <w:rPr>
          <w:rStyle w:val="FootnoteReference"/>
        </w:rPr>
        <w:footnoteReference w:id="77"/>
      </w:r>
    </w:p>
    <w:p>
      <w:pPr>
        <w:pStyle w:val="BodyText"/>
      </w:pPr>
      <w:r>
        <w:t xml:space="preserve">The exclusion therefore requires an argument, and the argument is one of object before it is one of criterion: what formal pragmatics reconstructs is the competence to reach understanding, and a rule of grammar belongs to that competence only where its following is answerable to a speaker’s acknowledgement, what is demanded at that margin being not that a speaker state a rule but that he acknowledge as his own the rule offered him.</w:t>
      </w:r>
      <w:r>
        <w:rPr>
          <w:rStyle w:val="FootnoteReference"/>
        </w:rPr>
        <w:footnoteReference w:id="78"/>
      </w:r>
      <w:r>
        <w:t xml:space="preserve"> </w:t>
      </w:r>
      <w:r>
        <w:t xml:space="preserve">Habermas works the demarcation out against Searle by name, taking over the</w:t>
      </w:r>
      <w:r>
        <w:t xml:space="preserve"> </w:t>
      </w:r>
      <w:r>
        <w:t xml:space="preserve">‘</w:t>
      </w:r>
      <w:r>
        <w:t xml:space="preserve">essential rules</w:t>
      </w:r>
      <w:r>
        <w:t xml:space="preserve">’</w:t>
      </w:r>
      <w:r>
        <w:t xml:space="preserve"> </w:t>
      </w:r>
      <w:r>
        <w:t xml:space="preserve">and the</w:t>
      </w:r>
      <w:r>
        <w:t xml:space="preserve"> </w:t>
      </w:r>
      <w:r>
        <w:t xml:space="preserve">‘</w:t>
      </w:r>
      <w:r>
        <w:t xml:space="preserve">sincerity rule</w:t>
      </w:r>
      <w:r>
        <w:t xml:space="preserve">’</w:t>
      </w:r>
      <w:r>
        <w:t xml:space="preserve"> </w:t>
      </w:r>
      <w:r>
        <w:t xml:space="preserve">rather than refusing them, and an institutional account of speech-act competence may accordingly be granted in full without disturbing the exclusion.</w:t>
      </w:r>
      <w:r>
        <w:rPr>
          <w:rStyle w:val="FootnoteReference"/>
        </w:rPr>
        <w:footnoteReference w:id="79"/>
      </w:r>
      <w:r>
        <w:t xml:space="preserve"> </w:t>
      </w:r>
      <w:r>
        <w:t xml:space="preserve">Apel’s qualification</w:t>
      </w:r>
      <w:r>
        <w:t xml:space="preserve"> </w:t>
      </w:r>
      <w:r>
        <w:t xml:space="preserve">‘</w:t>
      </w:r>
      <w:r>
        <w:t xml:space="preserve">to a certain extent</w:t>
      </w:r>
      <w:r>
        <w:t xml:space="preserve">’</w:t>
      </w:r>
      <w:r>
        <w:t xml:space="preserve"> </w:t>
      </w:r>
      <w:r>
        <w:t xml:space="preserve">concedes the criterion and marks its threshold; granted in full, it shows some grammatical rules to lie within reach of acknowledgement, which places them under the reconstruction of another competence and supplies no case of a rule of communication followed while no acknowledgement is available.</w:t>
      </w:r>
    </w:p>
    <w:p>
      <w:pPr>
        <w:pStyle w:val="BodyText"/>
      </w:pPr>
      <w:r>
        <w:t xml:space="preserve">Naturalist pressure falls upon acknowledgement, the datum of the first test. Speakers acknowledge rules they do not follow and follow rules they cannot acknowledge, and a programme resting on acknowledgement would be one about what speakers believe; Rorty’s case against the universality of the practices Habermas reconstructs runs here, treating such self-descriptions as a particular culture’s contingent vocabulary.</w:t>
      </w:r>
      <w:r>
        <w:rPr>
          <w:rStyle w:val="FootnoteReference"/>
        </w:rPr>
        <w:footnoteReference w:id="80"/>
      </w:r>
      <w:r>
        <w:t xml:space="preserve"> </w:t>
      </w:r>
      <w:r>
        <w:t xml:space="preserve">The objection would be decisive if acknowledgement were asked to certify the generality of a rule, or were sovereign over its description; it is neither, since the two tests are held together and each corrects the other: an acknowledged rule which the instances show unfollowed is defeated by the instances, a rule followed which no speaker can acknowledge falls by the first exclusion outside the competence reconstructed, and what an acknowledgement settles is that the description offered to a speaker is a description of his competence, its warrant for the content being defeasible and its silence upon the extension complete.</w:t>
      </w:r>
    </w:p>
    <w:p>
      <w:pPr>
        <w:pStyle w:val="BodyText"/>
      </w:pPr>
      <w:r>
        <w:t xml:space="preserve">The second exclusion is of the anthropological. The genealogical objection, that a historically particular argumentative culture has been mistaken for a species-universal, misidentifies the level at which invariance is asserted, the structure of positions occupiable by anyone who argues and not the incidence of arguing; a sharper form reaches past that reply, since a speaker can be asked what rule he was following, and his acknowledgement count, only where reason-giving already has authority, so that the evidential base is internal to the argumentative culture whose universality is at issue. Availability of the data only from within a reason-giving culture shows that the investigation is situated, not that its object is: the study of arithmetical competence only among calculators shows something about the enquiry and nothing about number, and whether the structure of positions an argumentative practice commands is like number in that respect is what the genealogist must argue. What the genealogist would need, and the objection does not supply, is the further claim that a situated investigation can reach only situated objects, a claim which, advanced in argument, claims for itself the unrestricted reach it denies to situated investigation as such, and whose standing falls under the analysis of denial §2.1.1 gives. The corroboration drawn from developmental psychology is open to the same charge, Piaget’s and Kohlberg’s schemes having been built upon Western subjects and culminating in a modern post-conventional morality; in its most general form the charge is Habermas’s own, entered against his programme: restrictive specifications of rationality are only proposals for definitions or descriptions of empirically widespread discursive behaviour, and neither confirms</w:t>
      </w:r>
      <w:r>
        <w:t xml:space="preserve"> </w:t>
      </w:r>
      <w:r>
        <w:t xml:space="preserve">‘</w:t>
      </w:r>
      <w:r>
        <w:t xml:space="preserve">the appropriateness of the reflexive self-understanding</w:t>
      </w:r>
      <w:r>
        <w:t xml:space="preserve">’</w:t>
      </w:r>
      <w:r>
        <w:t xml:space="preserve"> </w:t>
      </w:r>
      <w:r>
        <w:t xml:space="preserve">of a way of thinking as a whole, a dilemma he answers by the genealogy of learning processes examined at §2.4.1.</w:t>
      </w:r>
      <w:r>
        <w:rPr>
          <w:rStyle w:val="FootnoteReference"/>
        </w:rPr>
        <w:footnoteReference w:id="81"/>
      </w:r>
      <w:r>
        <w:t xml:space="preserve"> </w:t>
      </w:r>
      <w:r>
        <w:t xml:space="preserve">The reply to the developmental form is narrow, and sufficient only if the criterion it invokes is content-neutral: what is credited to the decentred structures is not a preferred ethos but a formal competence, the differentiation of the three world-relations and the uncoupling of validity-claims from social acceptance, and the criterion is neutral as to the content of a morality though not as to its mode of holding; what the reply can claim is that the uncoupling is a position reachable from within any tradition which argues about its norms, and a denial of this would have to produce a tradition whose members argue about the validity of a norm without distinguishing it from the norm’s acceptance. Pressed to the end, the evidential objection identifies not a fault in the method but the corrigibility the method builds in; its strong forms, from presence and from genealogy, are met at §2.3.1 and at Chapter One §1.4.2.</w:t>
      </w:r>
      <w:r>
        <w:rPr>
          <w:rStyle w:val="FootnoteReference"/>
        </w:rPr>
        <w:footnoteReference w:id="82"/>
      </w:r>
      <w:r>
        <w:t xml:space="preserve"> </w:t>
      </w:r>
      <w:r>
        <w:t xml:space="preserve">The exclusion leaves standing a claim indexed to a practice, and §2.1.4 shows the indexing to be Habermas’s own throughout the dated series.</w:t>
      </w:r>
    </w:p>
    <w:p>
      <w:pPr>
        <w:pStyle w:val="BodyText"/>
      </w:pPr>
      <w:r>
        <w:t xml:space="preserve">The third exclusion is of the statistical, the one most readily taken for evasion: the complaint that the idealising presuppositions are rarely satisfied measures a claim indexed to a practice against a criterion it never answered to, since the presuppositions are made rather than met, the object is the structure of positions a competence commands, and not a regularity, the data are acknowledgements and instances and not measurements, and the check against cases is a search for a defeater and not an accumulation of support. Each exclusion removes a kind of datum from the evidential base, and the base is left with a relation between positions and nothing else, which is a fact about the base and licenses nothing about the world.</w:t>
      </w:r>
    </w:p>
    <w:p>
      <w:pPr>
        <w:pStyle w:val="BodyText"/>
      </w:pPr>
      <w:r>
        <w:t xml:space="preserve">What hypothetical status amounts to in practice is stated most plainly where the reconstruction is most ambitious. Of the three ways a reconstruction may fail, the one Habermas marks as the most frequent is overgeneralisation, so that the corrigibility he concedes bears most frequently, on his own ranking, upon the scope of the reconstruction;</w:t>
      </w:r>
      <w:r>
        <w:rPr>
          <w:rStyle w:val="FootnoteReference"/>
        </w:rPr>
        <w:footnoteReference w:id="83"/>
      </w:r>
      <w:r>
        <w:t xml:space="preserve"> </w:t>
      </w:r>
      <w:r>
        <w:t xml:space="preserve">and of the system of rights he writes that no one can claim access to it in the singular apart from the interpretations history has already made available, the system</w:t>
      </w:r>
      <w:r>
        <w:t xml:space="preserve"> </w:t>
      </w:r>
      <w:r>
        <w:t xml:space="preserve">‘</w:t>
      </w:r>
      <w:r>
        <w:t xml:space="preserve">does not exist in transcendental purity</w:t>
      </w:r>
      <w:r>
        <w:t xml:space="preserve">’</w:t>
      </w:r>
      <w:r>
        <w:t xml:space="preserve">, and what can instruct a generalising reconstruction of the intuitions guiding the practice of self-legislation is two hundred years of European constitutional law.</w:t>
      </w:r>
      <w:r>
        <w:rPr>
          <w:rStyle w:val="FootnoteReference"/>
        </w:rPr>
        <w:footnoteReference w:id="84"/>
      </w:r>
      <w:r>
        <w:t xml:space="preserve"> </w:t>
      </w:r>
      <w:r>
        <w:t xml:space="preserve">On one reading of that passage, which its words permit without compelling, reconstruction works from historically available models, whose provenance is neither concealed nor apologised for; what the admission does not concede is the inference the provincialism charge draws from it, which the distinction C2 states blocks (§2.1.3). The position these chapters take, which is not Habermas’s in this form, is not intermediate between</w:t>
      </w:r>
      <w:r>
        <w:t xml:space="preserve"> </w:t>
      </w:r>
      <w:r>
        <w:rPr>
          <w:iCs/>
          <w:i/>
        </w:rPr>
        <w:t xml:space="preserve">Letztbegründung</w:t>
      </w:r>
      <w:r>
        <w:t xml:space="preserve"> </w:t>
      </w:r>
      <w:r>
        <w:t xml:space="preserve">and global fallibilism but categorially distinct from each:</w:t>
      </w:r>
      <w:r>
        <w:rPr>
          <w:rStyle w:val="FootnoteReference"/>
        </w:rPr>
        <w:footnoteReference w:id="85"/>
      </w:r>
      <w:r>
        <w:t xml:space="preserve"> </w:t>
      </w:r>
      <w:r>
        <w:t xml:space="preserve">it grounds otherwise than the first, certifying no propositional catalogue at all and conceding that every articulation of the presuppositions, Apel’s own included, remains a reconstruction answerable to the practice it renders; and it anchors otherwise than the second, since the denial of the conditions, performed in argumentation, is held to be self-defeating in the deed, whether or not any theory has correctly described what is denied, a claim whose reach C3 bounds. The cost is this: the position claims to secure the conditions against scepticism, a claim whose title is examined at Chapter Three §3.3, and does not secure the account given of them, and that is the justificatory deficit, the</w:t>
      </w:r>
      <w:r>
        <w:t xml:space="preserve"> </w:t>
      </w:r>
      <w:r>
        <w:rPr>
          <w:iCs/>
          <w:i/>
        </w:rPr>
        <w:t xml:space="preserve">Begründungsdefizit</w:t>
      </w:r>
      <w:r>
        <w:t xml:space="preserve"> </w:t>
      </w:r>
      <w:r>
        <w:t xml:space="preserve">whose name §2.1.4 takes from Habermas, in its first interval (§2.1.5), the cost of the position and not an incidental consequence of it.</w:t>
      </w:r>
    </w:p>
    <w:p>
      <w:pPr>
        <w:pStyle w:val="BodyText"/>
      </w:pPr>
      <w:r>
        <w:t xml:space="preserve">One difficulty reaches C1 at the level of its own procedure, and Habermas states it himself, in another connection. Discussing the moral point of view he grants that actually entering discourse belongs to the idea of it, since</w:t>
      </w:r>
      <w:r>
        <w:t xml:space="preserve"> </w:t>
      </w:r>
      <w:r>
        <w:t xml:space="preserve">‘</w:t>
      </w:r>
      <w:r>
        <w:t xml:space="preserve">otherwise the solipsistic character of an examination of norms undertaken</w:t>
      </w:r>
      <w:r>
        <w:t xml:space="preserve"> </w:t>
      </w:r>
      <w:r>
        <w:t xml:space="preserve">“</w:t>
      </w:r>
      <w:r>
        <w:t xml:space="preserve">in the privacy of individual reflection</w:t>
      </w:r>
      <w:r>
        <w:t xml:space="preserve">”</w:t>
      </w:r>
      <w:r>
        <w:t xml:space="preserve"> </w:t>
      </w:r>
      <w:r>
        <w:t xml:space="preserve">would reassert itself</w:t>
      </w:r>
      <w:r>
        <w:t xml:space="preserve">’</w:t>
      </w:r>
      <w:r>
        <w:t xml:space="preserve">, and he names what must be avoided, the isolated subject who takes upon himself, as</w:t>
      </w:r>
      <w:r>
        <w:t xml:space="preserve"> </w:t>
      </w:r>
      <w:r>
        <w:t xml:space="preserve">‘</w:t>
      </w:r>
      <w:r>
        <w:t xml:space="preserve">custodian of the transcendental</w:t>
      </w:r>
      <w:r>
        <w:t xml:space="preserve">’</w:t>
      </w:r>
      <w:r>
        <w:t xml:space="preserve">, the examination of norms for everyone else. For practical discourse the remedy is actual engagement; that remedy is unavailable to the reconstruction of the presuppositions of argumentation itself, which, on the charge, is conducted by a theorist alone and issues in a claim about what any arguer whatever must presuppose, a constituency no discourse actually convened could canvass; nor is the remedy supplied by the advocatory discourse</w:t>
      </w:r>
      <w:r>
        <w:t xml:space="preserve"> </w:t>
      </w:r>
      <w:r>
        <w:rPr>
          <w:iCs/>
          <w:i/>
        </w:rPr>
        <w:t xml:space="preserve">in mente</w:t>
      </w:r>
      <w:r>
        <w:t xml:space="preserve"> </w:t>
      </w:r>
      <w:r>
        <w:t xml:space="preserve">the same page allows, which stands in for a determinate set of those affected where the claim ranges over any arguer whatever.</w:t>
      </w:r>
      <w:r>
        <w:rPr>
          <w:rStyle w:val="FootnoteReference"/>
        </w:rPr>
        <w:footnoteReference w:id="86"/>
      </w:r>
      <w:r>
        <w:t xml:space="preserve"> </w:t>
      </w:r>
      <w:r>
        <w:t xml:space="preserve">A reply is available to the programme, that formal pragmatics is a fallible reconstructive science which claims no</w:t>
      </w:r>
      <w:r>
        <w:t xml:space="preserve"> </w:t>
      </w:r>
      <w:r>
        <w:rPr>
          <w:iCs/>
          <w:i/>
        </w:rPr>
        <w:t xml:space="preserve">a priori</w:t>
      </w:r>
      <w:r>
        <w:t xml:space="preserve"> </w:t>
      </w:r>
      <w:r>
        <w:t xml:space="preserve">derivation and submits its results for correction to the speakers whose competence it reconstructs, so that the theorist legislates for no one. The charge lapses for the content and not for the reach, and the distinction is what the residue consists in: what competent speakers can correct is</w:t>
      </w:r>
      <w:r>
        <w:t xml:space="preserve"> </w:t>
      </w:r>
      <w:r>
        <w:rPr>
          <w:iCs/>
          <w:i/>
        </w:rPr>
        <w:t xml:space="preserve">what</w:t>
      </w:r>
      <w:r>
        <w:t xml:space="preserve"> </w:t>
      </w:r>
      <w:r>
        <w:t xml:space="preserve">the reconstruction says they presuppose, and what no assent from them can supply is warrant for the claim that these presuppositions hold for</w:t>
      </w:r>
      <w:r>
        <w:t xml:space="preserve"> </w:t>
      </w:r>
      <w:r>
        <w:rPr>
          <w:iCs/>
          <w:i/>
        </w:rPr>
        <w:t xml:space="preserve">any</w:t>
      </w:r>
      <w:r>
        <w:t xml:space="preserve"> </w:t>
      </w:r>
      <w:r>
        <w:t xml:space="preserve">arguer, still less that they are unavoidable for him, since assent, however wide, is assent from a finite set, and the claim outruns every such set. This is, in its methodological form, what may be named the projection gap, the distance between the finite set whose assent a reconstruction can gather and the constituency over which its modal claim ranges, the</w:t>
      </w:r>
      <w:r>
        <w:t xml:space="preserve"> </w:t>
      </w:r>
      <w:r>
        <w:rPr>
          <w:iCs/>
          <w:i/>
        </w:rPr>
        <w:t xml:space="preserve">Begründungsdefizit</w:t>
      </w:r>
      <w:r>
        <w:t xml:space="preserve"> </w:t>
      </w:r>
      <w:r>
        <w:t xml:space="preserve">met at the level of the theory’s own procedure; its practical form is stated at §2.1.5 and pursued in Chapter Four.</w:t>
      </w:r>
    </w:p>
    <w:bookmarkEnd w:id="87"/>
    <w:bookmarkStart w:id="99" w:name="Xcf0a86c85f145fedd94e5d3b1c707dc2c8cdbbb"/>
    <w:p>
      <w:pPr>
        <w:pStyle w:val="Heading3"/>
      </w:pPr>
      <w:r>
        <w:t xml:space="preserve">§2.1.3 · C2 · Immanence: the displacement of the solitary subject, the relocated tension, and the confinement of Stroud’s objection</w:t>
      </w:r>
    </w:p>
    <w:p>
      <w:pPr>
        <w:pStyle w:val="FirstParagraph"/>
      </w:pPr>
      <w:r>
        <w:t xml:space="preserve">C2 generalises into a thesis about the standpoint of philosophical reflection what C1’s features jointly enforced: no such reflection occupies a standpoint beyond history from which the conditions of communicative rationality might be secured more firmly than in the practices where they are operative, an undertaking the programme makes and not a limit imposed upon it from without. Its textual centre is the programme of detranscendentalisation (§2.1), and the conditions so recovered are necessary in the weak sense §2.1.4 fixes: what is stripped away is, in a summary which is not Habermas’s wording, the apodicticity, the worldlessness and the finality the Kantian transcendental had claimed,</w:t>
      </w:r>
      <w:r>
        <w:rPr>
          <w:rStyle w:val="FootnoteReference"/>
        </w:rPr>
        <w:footnoteReference w:id="88"/>
      </w:r>
      <w:r>
        <w:t xml:space="preserve"> </w:t>
      </w:r>
      <w:r>
        <w:t xml:space="preserve">and what is not stripped away is the necessity itself, since a presupposition which cannot be set aside by anyone engaged in the practice whose presupposition it is remains necessary relatively to that practice. It is this relativised necessity, and no weaker thing, which §2.1.4 finds indexed, under five restrictions, in the predicate Habermas uses across the dated series; what the elenctic exhibition secures is narrower, a result for the occasion of a denial (§2.1.1), and whether it reaches the necessity Habermas predicates is the first interval of the deficit (§2.1.5).</w:t>
      </w:r>
    </w:p>
    <w:p>
      <w:pPr>
        <w:pStyle w:val="BodyText"/>
      </w:pPr>
      <w:r>
        <w:t xml:space="preserve">The philosophy-of-language ground of the commitment is Wittgenstein’s, and Apel takes a negative result from it first: the impossibility of a private language, which he calls a</w:t>
      </w:r>
      <w:r>
        <w:t xml:space="preserve"> </w:t>
      </w:r>
      <w:r>
        <w:t xml:space="preserve">‘</w:t>
      </w:r>
      <w:r>
        <w:t xml:space="preserve">truly revolutionary insight for all philosophical thinking</w:t>
      </w:r>
      <w:r>
        <w:t xml:space="preserve">’</w:t>
      </w:r>
      <w:r>
        <w:t xml:space="preserve"> </w:t>
      </w:r>
      <w:r>
        <w:t xml:space="preserve">and restates as the thesis that</w:t>
      </w:r>
      <w:r>
        <w:t xml:space="preserve"> </w:t>
      </w:r>
      <w:r>
        <w:t xml:space="preserve">‘</w:t>
      </w:r>
      <w:r>
        <w:t xml:space="preserve">one cannot follow a rule all by oneself, guided perhaps by introspectively accessible standards</w:t>
      </w:r>
      <w:r>
        <w:t xml:space="preserve">’</w:t>
      </w:r>
      <w:r>
        <w:t xml:space="preserve">, since a solitary rule-follower would possess no criteria for the correct use of language.</w:t>
      </w:r>
      <w:r>
        <w:rPr>
          <w:rStyle w:val="FootnoteReference"/>
        </w:rPr>
        <w:footnoteReference w:id="89"/>
      </w:r>
      <w:r>
        <w:t xml:space="preserve"> </w:t>
      </w:r>
      <w:r>
        <w:t xml:space="preserve">What the argument defeats is methodological solipsism in the form fixed at §2.1, and Apel holds that participation in a language game</w:t>
      </w:r>
      <w:r>
        <w:t xml:space="preserve"> </w:t>
      </w:r>
      <w:r>
        <w:t xml:space="preserve">‘</w:t>
      </w:r>
      <w:r>
        <w:t xml:space="preserve">replaces the methodological solipsism of attaining understanding through empathy</w:t>
      </w:r>
      <w:r>
        <w:t xml:space="preserve">’</w:t>
      </w:r>
      <w:r>
        <w:t xml:space="preserve">. The refutation is not an argument that private constitution is impossible, and its force lies in the difference; it is an observation about what the solipsist offers:</w:t>
      </w:r>
      <w:r>
        <w:t xml:space="preserve"> </w:t>
      </w:r>
      <w:r>
        <w:t xml:space="preserve">‘</w:t>
      </w:r>
      <w:r>
        <w:t xml:space="preserve">the self-understanding which the methodological solipsist seeks to offer … is itself mediated through the public rule of a language-game and the</w:t>
      </w:r>
      <w:r>
        <w:t xml:space="preserve"> </w:t>
      </w:r>
      <w:r>
        <w:t xml:space="preserve">“</w:t>
      </w:r>
      <w:r>
        <w:t xml:space="preserve">life-form</w:t>
      </w:r>
      <w:r>
        <w:t xml:space="preserve">”</w:t>
      </w:r>
      <w:r>
        <w:t xml:space="preserve"> </w:t>
      </w:r>
      <w:r>
        <w:t xml:space="preserve">that is interwoven with the latter</w:t>
      </w:r>
      <w:r>
        <w:t xml:space="preserve">’</w:t>
      </w:r>
      <w:r>
        <w:t xml:space="preserve">, so that the starting-point is already public, had under a rule the solipsist did not privately institute, what is shared being the public rule and not the experience had under it.</w:t>
      </w:r>
      <w:r>
        <w:rPr>
          <w:rStyle w:val="FootnoteReference"/>
        </w:rPr>
        <w:footnoteReference w:id="90"/>
      </w:r>
      <w:r>
        <w:t xml:space="preserve"> </w:t>
      </w:r>
      <w:r>
        <w:t xml:space="preserve">Chapter One §1.3.2 follows the consequences of the displacement for the lifeworld.</w:t>
      </w:r>
    </w:p>
    <w:p>
      <w:pPr>
        <w:pStyle w:val="BodyText"/>
      </w:pPr>
      <w:r>
        <w:t xml:space="preserve">Three questions must be put to the displacement before it is called an overcoming, and the answers are of unequal strength, the first resting upon a contested reading:</w:t>
      </w:r>
      <w:r>
        <w:rPr>
          <w:rStyle w:val="FootnoteReference"/>
        </w:rPr>
        <w:footnoteReference w:id="91"/>
      </w:r>
      <w:r>
        <w:t xml:space="preserve"> </w:t>
      </w:r>
      <w:r>
        <w:t xml:space="preserve">whether the plurality installed in place of the solitary subject is constitutive or merely aggregative; whether the theorist can reach that plurality from outside it; and whether the theory’s own procedure repeats the structure the charge condemns. The first is answered by the rule-following argument itself: were the displaced subject replaced by a sum of subjects each of whom might in principle have managed alone, solipsism would merely have been multiplied, whereas following a rule admits of mistake, and the correction of a mistake requires a standard whose application the follower does not himself certify, so that the virtual division of labour between practitioner and critic belongs to the concept of rule-following, the middle step being a reading, which an individualist account of rule-following denies; the second person is thus constitutive and not cumulative. The second is answered by the participation requirement, and the answer is where immanence shows itself a commitment of method. If meanings are accessible only from within a practice, the theorist of meaning cannot occupy the observer’s position without losing his object: an interpreter who would understand an utterance is, on Habermas’s account, a</w:t>
      </w:r>
      <w:r>
        <w:t xml:space="preserve"> </w:t>
      </w:r>
      <w:r>
        <w:rPr>
          <w:iCs/>
          <w:i/>
        </w:rPr>
        <w:t xml:space="preserve">virtual participant</w:t>
      </w:r>
      <w:r>
        <w:t xml:space="preserve">, drawn at least potentially into negotiation over the meaning and validity of what he interprets, and because he must assess the reasons he reconstructs, the standards by which he assesses them are the general structures of communication he shares with those he interprets, structures which</w:t>
      </w:r>
      <w:r>
        <w:t xml:space="preserve"> </w:t>
      </w:r>
      <w:r>
        <w:t xml:space="preserve">‘</w:t>
      </w:r>
      <w:r>
        <w:t xml:space="preserve">provide the critical means to penetrate a given context, to burst it open from within and to transcend it</w:t>
      </w:r>
      <w:r>
        <w:t xml:space="preserve">’</w:t>
      </w:r>
      <w:r>
        <w:t xml:space="preserve">, so that a capacity for critique is recovered from the immersion which was thought to preclude it.</w:t>
      </w:r>
      <w:r>
        <w:rPr>
          <w:rStyle w:val="FootnoteReference"/>
        </w:rPr>
        <w:footnoteReference w:id="92"/>
      </w:r>
      <w:r>
        <w:t xml:space="preserve"> </w:t>
      </w:r>
      <w:r>
        <w:t xml:space="preserve">Apel’s own formulation converges: the standpoint from which a third person is spoken about is a partial and not a complete objectivisation, and radical interpretation on the Quinean and Davidsonian model is to be refused, for proceeding as though a subject not yet a member of any communication community could begin framing hypotheses about others.</w:t>
      </w:r>
      <w:r>
        <w:rPr>
          <w:rStyle w:val="FootnoteReference"/>
        </w:rPr>
        <w:footnoteReference w:id="93"/>
      </w:r>
      <w:r>
        <w:t xml:space="preserve"> </w:t>
      </w:r>
      <w:r>
        <w:t xml:space="preserve">The third is answered at the close of this section, by the self-application the incoherence charge forces.</w:t>
      </w:r>
    </w:p>
    <w:p>
      <w:pPr>
        <w:pStyle w:val="BodyText"/>
      </w:pPr>
      <w:r>
        <w:t xml:space="preserve">What detranscendentalisation</w:t>
      </w:r>
      <w:r>
        <w:t xml:space="preserve"> </w:t>
      </w:r>
      <w:r>
        <w:rPr>
          <w:iCs/>
          <w:i/>
        </w:rPr>
        <w:t xml:space="preserve">does</w:t>
      </w:r>
      <w:r>
        <w:t xml:space="preserve">, as against what it gives up, Habermas states in two sentences:</w:t>
      </w:r>
      <w:r>
        <w:t xml:space="preserve"> </w:t>
      </w:r>
      <w:r>
        <w:t xml:space="preserve">‘</w:t>
      </w:r>
      <w:r>
        <w:t xml:space="preserve">With validity claims that transcend all merely local standards of evaluation, the tension between transcendental presuppositions and empirical facts now moves into the facticity of the lifeworld itself. The theory of communicative action detranscendentalizes Kant’s realm of the Intelligible by revealing the idealizing force of anticipation in the unavoidable pragmatic presuppositions of speech acts, that is, at the heart of everyday communicative practices themselves</w:t>
      </w:r>
      <w:r>
        <w:t xml:space="preserve">’</w:t>
      </w:r>
      <w:r>
        <w:t xml:space="preserve">.</w:t>
      </w:r>
      <w:r>
        <w:rPr>
          <w:rStyle w:val="FootnoteReference"/>
        </w:rPr>
        <w:footnoteReference w:id="94"/>
      </w:r>
      <w:r>
        <w:t xml:space="preserve"> </w:t>
      </w:r>
      <w:r>
        <w:t xml:space="preserve">The tension between the transcendental and the empirical is not dissolved by detranscendentalisation and is not shown to have been illusory; it is relocated, and the site to which it is relocated is the practice whose reconstruction the programme is. Immanence is accordingly a thesis about where a tension is borne and not a thesis that there is none to bear, and the bearer is the lifeworld, a domain the programme reaches only through fallible reconstruction, so that C2’s relocation delivers the tension to C1 and C3 to hold; what Habermas describes as a movement inward is, on a reading which is not his, the deficit’s provenance.</w:t>
      </w:r>
    </w:p>
    <w:p>
      <w:pPr>
        <w:pStyle w:val="BodyText"/>
      </w:pPr>
      <w:r>
        <w:t xml:space="preserve">The dilemma of long standing attends any argument of the ambitious form, and it is Stroud’s: a transcendental argument can establish at most that a subject must</w:t>
      </w:r>
      <w:r>
        <w:t xml:space="preserve"> </w:t>
      </w:r>
      <w:r>
        <w:rPr>
          <w:iCs/>
          <w:i/>
        </w:rPr>
        <w:t xml:space="preserve">believe</w:t>
      </w:r>
      <w:r>
        <w:t xml:space="preserve">, or must</w:t>
      </w:r>
      <w:r>
        <w:t xml:space="preserve"> </w:t>
      </w:r>
      <w:r>
        <w:rPr>
          <w:iCs/>
          <w:i/>
        </w:rPr>
        <w:t xml:space="preserve">presuppose</w:t>
      </w:r>
      <w:r>
        <w:t xml:space="preserve">, that such-and-such is the case if experience or discourse of a certain kind is to be possible, never that such-and-such</w:t>
      </w:r>
      <w:r>
        <w:t xml:space="preserve"> </w:t>
      </w:r>
      <w:r>
        <w:rPr>
          <w:iCs/>
          <w:i/>
        </w:rPr>
        <w:t xml:space="preserve">is</w:t>
      </w:r>
      <w:r>
        <w:t xml:space="preserve"> </w:t>
      </w:r>
      <w:r>
        <w:t xml:space="preserve">the case, and the premise which would license the passage from what must be believed to what obtains is verificationist or idealist, conceding in the licensing what the argument was to have won.</w:t>
      </w:r>
      <w:r>
        <w:rPr>
          <w:rStyle w:val="FootnoteReference"/>
        </w:rPr>
        <w:footnoteReference w:id="95"/>
      </w:r>
      <w:r>
        <w:t xml:space="preserve"> </w:t>
      </w:r>
      <w:r>
        <w:t xml:space="preserve">The reply is one Habermas does not make, and it confines the objection rather than contesting it. Stroud’s objection has purchase wherever a transcendental argument is construed as a probative inference of the shape just given, and none against the operative claim, which is no inference of that shape: the exhibition that the denial of a presupposition of argumentation is performatively self-defeating establishes no conclusion of the form</w:t>
      </w:r>
      <w:r>
        <w:t xml:space="preserve"> </w:t>
      </w:r>
      <w:r>
        <w:rPr>
          <w:iCs/>
          <w:i/>
        </w:rPr>
        <w:t xml:space="preserve">Q</w:t>
      </w:r>
      <w:r>
        <w:t xml:space="preserve"> </w:t>
      </w:r>
      <w:r>
        <w:t xml:space="preserve">at all, and where no such conclusion is drawn there is no interval between what must be believed and what obtains, and so nothing for the objection to divide. What the exhibition brings about is the miscarriage of a speech act in the deed of the one who attempts it (§2.1.1), while the theorist’s report of it stands under whatever fallibility reports stand under. The confinement accepts the second of the two alternatives such an argument faces: either the passage is made, upon a premise which concedes at the outset what the argument was to have won, or no such passage is attempted and nothing is established about what obtains; an exhibition which convicts a denier of enacting what he denies draws no conclusion about what obtains, and the title</w:t>
      </w:r>
      <w:r>
        <w:t xml:space="preserve"> </w:t>
      </w:r>
      <w:r>
        <w:rPr>
          <w:iCs/>
          <w:i/>
        </w:rPr>
        <w:t xml:space="preserve">transcendental</w:t>
      </w:r>
      <w:r>
        <w:t xml:space="preserve"> </w:t>
      </w:r>
      <w:r>
        <w:t xml:space="preserve">is not claimed for it, the word being predicated in the thesis’s own voice only of the restricted modality §2.1.4 counts. Against the critical rationalist, for whom a justification which stops has chosen its stopping-point, the arbitrary break-off of Albert’s trilemma, the burden rule of §2.1.1, on which a denial that miscarries settles where the burden of proof lies, is no break-off chosen but a distribution the arguer has already made in arguing; that the report of it is itself corrigible is the categorial premise applied to itself, and why the corrigibility opens no regress is argued at Chapter Three §3.3.3, and the confinement is completed at Chapter Three §3.3.2 from the side of signification.</w:t>
      </w:r>
      <w:r>
        <w:rPr>
          <w:rStyle w:val="FootnoteReference"/>
        </w:rPr>
        <w:footnoteReference w:id="96"/>
      </w:r>
    </w:p>
    <w:p>
      <w:pPr>
        <w:pStyle w:val="BodyText"/>
      </w:pPr>
      <w:r>
        <w:t xml:space="preserve">The confinement carries a consequence the position must not suppress, and it is where the aporia §2.4.2 states is first located. Stroud’s gap, confined at the conditions of argumentation, stands</w:t>
      </w:r>
      <w:r>
        <w:t xml:space="preserve"> </w:t>
      </w:r>
      <w:r>
        <w:rPr>
          <w:iCs/>
          <w:i/>
        </w:rPr>
        <w:t xml:space="preserve">unconfined</w:t>
      </w:r>
      <w:r>
        <w:t xml:space="preserve"> </w:t>
      </w:r>
      <w:r>
        <w:t xml:space="preserve">wherever the programme is tempted to convert the operative inescapability of a presupposition into a propositional truth about the world, and it stands with full force at the orientation towards truth: the presuppositions of argumentation are conditions the deed enacts, reachable by an exhibition conducted at the level of the deed, whereas the orientation to truth points beyond the practice to a world obtaining independently of it, and no exhibition confined to the deed can reach what by hypothesis transcends it. The exception is accordingly a corollary of the reply and no exception to it, since the confinement held because the conclusion drawn was about a deed and not about a world; followed to the point at which its own ground is absent, Stroud’s objection locates the aporia exhibited at §2.4.2, of which the present disanalogy is the anticipation and not the proof.</w:t>
      </w:r>
    </w:p>
    <w:p>
      <w:pPr>
        <w:pStyle w:val="BodyText"/>
      </w:pPr>
      <w:r>
        <w:t xml:space="preserve">Immanence in this sense is neither that of historicism, which relativises validity to particular cultural formations, nor that of Rortyan contextualism. It is a commitment of method and no thesis in the sociology of validity, and one distinction sorts it from both misreadings: the genesis of a reconstruction and the reach of what it reconstructs are separately assessable. The conditions are claimed to be universal in their operative reach, their reconstruction is immanent in its genesis, and the compatibility of the two is the substance of the commitment; what would defeat it is not the demonstration that the reconstruction has a history, which is conceded at the outset, but the demonstration that the reach of what it reconstructs is bounded by that history, a further claim the misreadings assume rather than argue. The contextualist objection, that the distinction begs the question by helping itself to the standpoint-independence immanence had renounced, fails because declining an inference, from the provenance of the models to the boundedness of what they instruct, requires no vantage outside the practice in which the inference is offered; what the genealogist would need is the additional premise §2.1.2 finds unsupplied. The refusal invites a charge of incoherence: the reconstructing philosopher’s self-description is itself a move within communicative practice, so that the theory either generates a regress of reconstructions without end or falls under its own verdict. The reply is that the self-implication is the self-application of a single commitment, and an application of that shape does not defeat what it applies, since what the verdict imposes upon the self-description is corrigibility and not falsity; the charge depends upon a failure to distinguish a series of reconstructions, each a fallible assertion about the level below it, which does regress, from the series of enactments in which those assertions are made, which does not, and why a regress of that shape is not vicious is argued at Chapter Three §3.3.3. Apel names the requirement the</w:t>
      </w:r>
      <w:r>
        <w:t xml:space="preserve"> </w:t>
      </w:r>
      <w:r>
        <w:rPr>
          <w:iCs/>
          <w:i/>
        </w:rPr>
        <w:t xml:space="preserve">Selbsteinholungsprinzip</w:t>
      </w:r>
      <w:r>
        <w:t xml:space="preserve">, the self-recuperative principle: a critical-hermeneutic reconstruction of history must be able to account for its own presuppositions of rationality as a possible and factual result of the history it reconstructs, and the principle</w:t>
      </w:r>
      <w:r>
        <w:t xml:space="preserve"> </w:t>
      </w:r>
      <w:r>
        <w:t xml:space="preserve">‘</w:t>
      </w:r>
      <w:r>
        <w:t xml:space="preserve">follows from the principle of performative self-contradiction, given the further premise that the reconstructive sciences are themselves a fact of history to be accounted for</w:t>
      </w:r>
      <w:r>
        <w:t xml:space="preserve">’</w:t>
      </w:r>
      <w:r>
        <w:t xml:space="preserve">;</w:t>
      </w:r>
      <w:r>
        <w:rPr>
          <w:rStyle w:val="FootnoteReference"/>
        </w:rPr>
        <w:footnoteReference w:id="97"/>
      </w:r>
      <w:r>
        <w:t xml:space="preserve"> </w:t>
      </w:r>
      <w:r>
        <w:t xml:space="preserve">he states it of the reconstructive sciences in his own voice, which must reconstruct progress and regress in human history</w:t>
      </w:r>
      <w:r>
        <w:t xml:space="preserve"> </w:t>
      </w:r>
      <w:r>
        <w:t xml:space="preserve">‘</w:t>
      </w:r>
      <w:r>
        <w:t xml:space="preserve">in such a way that the possibility of their own enterprise becomes intelligible as a result of history</w:t>
      </w:r>
      <w:r>
        <w:t xml:space="preserve">’</w:t>
      </w:r>
      <w:r>
        <w:t xml:space="preserve">.</w:t>
      </w:r>
      <w:r>
        <w:rPr>
          <w:rStyle w:val="FootnoteReference"/>
        </w:rPr>
        <w:footnoteReference w:id="98"/>
      </w:r>
      <w:r>
        <w:t xml:space="preserve"> </w:t>
      </w:r>
      <w:r>
        <w:t xml:space="preserve">The principle states a constraint the reconstructive programme can be read as also accepting, while the standing Apel claims for the presuppositions so recovered is declined, on the grounds set out at §2.2.3.</w:t>
      </w:r>
    </w:p>
    <w:bookmarkEnd w:id="99"/>
    <w:bookmarkStart w:id="112" w:name="Xa1d315bb159b614b3992f537387dfacc36dd115"/>
    <w:p>
      <w:pPr>
        <w:pStyle w:val="Heading3"/>
      </w:pPr>
      <w:r>
        <w:t xml:space="preserve">§2.1.4 · Weak transcendentalism: the dated series and the reservation grid</w:t>
      </w:r>
    </w:p>
    <w:p>
      <w:pPr>
        <w:pStyle w:val="FirstParagraph"/>
      </w:pPr>
      <w:r>
        <w:t xml:space="preserve">The normativity so bounded is located rather than derived; the modality under which it binds is not yet fixed. Do the presuppositions constrain a speaker as what he must do to be arguing at all, as a condition holding of any rational being in the strict Kantian sense, or as what beings of a certain constitution cannot in fact avoid?</w:t>
      </w:r>
    </w:p>
    <w:p>
      <w:pPr>
        <w:pStyle w:val="BodyText"/>
      </w:pPr>
      <w:r>
        <w:t xml:space="preserve">Habermas answers that question with a qualified predicate, and the qualification governs three things at once: the modality, the presuppositions being necessary relatively to a practice and not absolutely; the scope, the sociocultural forms of life so far known offering no functional equivalent for the practice; and the epistemic standing of the theorist’s specification, a fallible reconstruction certified by no result of the enquiry. The first two are stated together in 1991 and again in 2020, the third is drawn from the pages examined at §2.1.1, and taking the qualification to bear upon the modality alone misplaces it; nor does relativity to a practice weaken the compulsion upon the arguer within that practice, which is a claim of another order, made of the participant and not of the predicate.</w:t>
      </w:r>
      <w:r>
        <w:rPr>
          <w:rStyle w:val="FootnoteReference"/>
        </w:rPr>
        <w:footnoteReference w:id="100"/>
      </w:r>
      <w:r>
        <w:t xml:space="preserve"> </w:t>
      </w:r>
      <w:r>
        <w:t xml:space="preserve">Dating the occurrences shows the predicate in continuous service from 1976, where Habermas states the weakened conception the analytic reception of Kant makes available and declines the word, to 1992, where the necessitation it names is again held apart from what a rule of action prescribes.</w:t>
      </w:r>
      <w:r>
        <w:rPr>
          <w:rStyle w:val="FootnoteReference"/>
        </w:rPr>
        <w:footnoteReference w:id="101"/>
      </w:r>
      <w:r>
        <w:t xml:space="preserve"> </w:t>
      </w:r>
      <w:r>
        <w:t xml:space="preserve">Two occurrences carry argument and are kept in view: in 1983 the demonstration of performative contradictions is itself called</w:t>
      </w:r>
      <w:r>
        <w:t xml:space="preserve"> </w:t>
      </w:r>
      <w:r>
        <w:t xml:space="preserve">‘</w:t>
      </w:r>
      <w:r>
        <w:t xml:space="preserve">this weak form of transcendental analysis</w:t>
      </w:r>
      <w:r>
        <w:t xml:space="preserve">’</w:t>
      </w:r>
      <w:r>
        <w:t xml:space="preserve">, and in 1991 the communicative agent is subject to a</w:t>
      </w:r>
      <w:r>
        <w:t xml:space="preserve"> </w:t>
      </w:r>
      <w:r>
        <w:t xml:space="preserve">‘</w:t>
      </w:r>
      <w:r>
        <w:t xml:space="preserve">“</w:t>
      </w:r>
      <w:r>
        <w:t xml:space="preserve">must</w:t>
      </w:r>
      <w:r>
        <w:t xml:space="preserve">”</w:t>
      </w:r>
      <w:r>
        <w:t xml:space="preserve"> </w:t>
      </w:r>
      <w:r>
        <w:t xml:space="preserve">in the sense of weak transcendental necessitation, without encountering the prescriptive</w:t>
      </w:r>
      <w:r>
        <w:t xml:space="preserve"> </w:t>
      </w:r>
      <w:r>
        <w:t xml:space="preserve">“</w:t>
      </w:r>
      <w:r>
        <w:t xml:space="preserve">must</w:t>
      </w:r>
      <w:r>
        <w:t xml:space="preserve">”</w:t>
      </w:r>
      <w:r>
        <w:t xml:space="preserve"> </w:t>
      </w:r>
      <w:r>
        <w:t xml:space="preserve">of a rule of action</w:t>
      </w:r>
      <w:r>
        <w:t xml:space="preserve">’</w:t>
      </w:r>
      <w:r>
        <w:t xml:space="preserve">, a formulation which stands again in 1992.</w:t>
      </w:r>
      <w:r>
        <w:rPr>
          <w:rStyle w:val="FootnoteReference"/>
        </w:rPr>
        <w:footnoteReference w:id="102"/>
      </w:r>
      <w:r>
        <w:t xml:space="preserve"> </w:t>
      </w:r>
      <w:r>
        <w:t xml:space="preserve">The statement of 1991 of what such arguments achieve is the most explicit: lacking an equivalent for Kant’s transcendental deduction,</w:t>
      </w:r>
      <w:r>
        <w:t xml:space="preserve"> </w:t>
      </w:r>
      <w:r>
        <w:t xml:space="preserve">‘</w:t>
      </w:r>
      <w:r>
        <w:t xml:space="preserve">we are left with weak transcendental arguments in Strawson’s sense</w:t>
      </w:r>
      <w:r>
        <w:t xml:space="preserve">’</w:t>
      </w:r>
      <w:r>
        <w:t xml:space="preserve">, which</w:t>
      </w:r>
      <w:r>
        <w:t xml:space="preserve"> </w:t>
      </w:r>
      <w:r>
        <w:t xml:space="preserve">‘</w:t>
      </w:r>
      <w:r>
        <w:t xml:space="preserve">can establish only the factual inescapability</w:t>
      </w:r>
      <w:r>
        <w:t xml:space="preserve">’</w:t>
      </w:r>
      <w:r>
        <w:t xml:space="preserve"> </w:t>
      </w:r>
      <w:r>
        <w:t xml:space="preserve">of the presuppositions of a non-replaceable discursive order, and two lines below,</w:t>
      </w:r>
      <w:r>
        <w:t xml:space="preserve"> </w:t>
      </w:r>
      <w:r>
        <w:t xml:space="preserve">‘</w:t>
      </w:r>
      <w:r>
        <w:t xml:space="preserve">Because we do not in fact have a functional equivalent for rational discourses, we are left with no choice: we unavoidably accept the pragmatic presuppositions of this demanding form of communication because there is no alternative.</w:t>
      </w:r>
      <w:r>
        <w:t xml:space="preserve">’</w:t>
      </w:r>
      <w:r>
        <w:t xml:space="preserve"> </w:t>
      </w:r>
      <w:r>
        <w:t xml:space="preserve">Cronin’s</w:t>
      </w:r>
      <w:r>
        <w:t xml:space="preserve"> </w:t>
      </w:r>
      <w:r>
        <w:t xml:space="preserve">‘</w:t>
      </w:r>
      <w:r>
        <w:t xml:space="preserve">factual inescapability</w:t>
      </w:r>
      <w:r>
        <w:t xml:space="preserve">’</w:t>
      </w:r>
      <w:r>
        <w:t xml:space="preserve"> </w:t>
      </w:r>
      <w:r>
        <w:t xml:space="preserve">renders</w:t>
      </w:r>
      <w:r>
        <w:t xml:space="preserve"> </w:t>
      </w:r>
      <w:r>
        <w:rPr>
          <w:iCs/>
          <w:i/>
        </w:rPr>
        <w:t xml:space="preserve">faktische Nichtverwerfbarkeit</w:t>
      </w:r>
      <w:r>
        <w:t xml:space="preserve">, non-rejectability, and a presupposition which cannot be rejected is not thereby one which could not have been otherwise; what an argument of Strawson’s kind can establish has been contested since Stroud, whose objection is entered and confined at §2.1.3.</w:t>
      </w:r>
      <w:r>
        <w:rPr>
          <w:rStyle w:val="FootnoteReference"/>
        </w:rPr>
        <w:footnoteReference w:id="103"/>
      </w:r>
      <w:r>
        <w:t xml:space="preserve"> </w:t>
      </w:r>
      <w:r>
        <w:t xml:space="preserve">The vocabulary of 1999 states the restriction twice, the concept of the transcendental itself changing with detranscendentalisation and the</w:t>
      </w:r>
      <w:r>
        <w:t xml:space="preserve"> </w:t>
      </w:r>
      <w:r>
        <w:t xml:space="preserve">‘</w:t>
      </w:r>
      <w:r>
        <w:t xml:space="preserve">epistemisch unhintergehbare Zusammenhang</w:t>
      </w:r>
      <w:r>
        <w:t xml:space="preserve">’</w:t>
      </w:r>
      <w:r>
        <w:t xml:space="preserve"> </w:t>
      </w:r>
      <w:r>
        <w:t xml:space="preserve">of truth and justification being not to be stylised into a conceptually indissoluble one; the essay of 2011 declares all post-metaphysical approaches</w:t>
      </w:r>
      <w:r>
        <w:t xml:space="preserve"> </w:t>
      </w:r>
      <w:r>
        <w:t xml:space="preserve">‘</w:t>
      </w:r>
      <w:r>
        <w:t xml:space="preserve">“</w:t>
      </w:r>
      <w:r>
        <w:t xml:space="preserve">freestanding</w:t>
      </w:r>
      <w:r>
        <w:t xml:space="preserve">”</w:t>
      </w:r>
      <w:r>
        <w:t xml:space="preserve">, even those which employ weak transcendental arguments</w:t>
      </w:r>
      <w:r>
        <w:t xml:space="preserve">’</w:t>
      </w:r>
      <w:r>
        <w:t xml:space="preserve">; and in 2020 the modality of 1991 is restated as the absence of a substitute, the discursive examination of criticisable validity claims being</w:t>
      </w:r>
      <w:r>
        <w:t xml:space="preserve"> </w:t>
      </w:r>
      <w:r>
        <w:t xml:space="preserve">‘</w:t>
      </w:r>
      <w:r>
        <w:t xml:space="preserve">only</w:t>
      </w:r>
      <w:r>
        <w:t xml:space="preserve"> </w:t>
      </w:r>
      <w:r>
        <w:t xml:space="preserve">“</w:t>
      </w:r>
      <w:r>
        <w:t xml:space="preserve">ineluctable</w:t>
      </w:r>
      <w:r>
        <w:t xml:space="preserve">”</w:t>
      </w:r>
      <w:r>
        <w:t xml:space="preserve"> </w:t>
      </w:r>
      <w:r>
        <w:t xml:space="preserve">or</w:t>
      </w:r>
      <w:r>
        <w:t xml:space="preserve"> </w:t>
      </w:r>
      <w:r>
        <w:t xml:space="preserve">“</w:t>
      </w:r>
      <w:r>
        <w:t xml:space="preserve">unavoidable</w:t>
      </w:r>
      <w:r>
        <w:t xml:space="preserve">”</w:t>
      </w:r>
      <w:r>
        <w:t xml:space="preserve"> </w:t>
      </w:r>
      <w:r>
        <w:t xml:space="preserve">in the weaker sense that there is no functional equivalent for this practice</w:t>
      </w:r>
      <w:r>
        <w:t xml:space="preserve">’</w:t>
      </w:r>
      <w:r>
        <w:t xml:space="preserve">.</w:t>
      </w:r>
      <w:r>
        <w:rPr>
          <w:rStyle w:val="FootnoteReference"/>
        </w:rPr>
        <w:footnoteReference w:id="104"/>
      </w:r>
      <w:r>
        <w:t xml:space="preserve"> </w:t>
      </w:r>
      <w:r>
        <w:t xml:space="preserve">A counter-instance stands on the page following the Strawson passage of 1991, where</w:t>
      </w:r>
      <w:r>
        <w:t xml:space="preserve"> </w:t>
      </w:r>
      <w:r>
        <w:t xml:space="preserve">‘</w:t>
      </w:r>
      <w:r>
        <w:t xml:space="preserve">the weak transcendental proof, if we can indeed carry it out as I assume in agreement with Apel, suffices to ground the universalistic validity claim</w:t>
      </w:r>
      <w:r>
        <w:t xml:space="preserve">’</w:t>
      </w:r>
      <w:r>
        <w:t xml:space="preserve"> </w:t>
      </w:r>
      <w:r>
        <w:t xml:space="preserve">of a procedurally conceived moral principle, which might be</w:t>
      </w:r>
      <w:r>
        <w:t xml:space="preserve"> </w:t>
      </w:r>
      <w:r>
        <w:t xml:space="preserve">‘</w:t>
      </w:r>
      <w:r>
        <w:t xml:space="preserve">deduced from the normative content of factually inescapable presuppositions</w:t>
      </w:r>
      <w:r>
        <w:t xml:space="preserve">’</w:t>
      </w:r>
      <w:r>
        <w:t xml:space="preserve">;</w:t>
      </w:r>
      <w:r>
        <w:rPr>
          <w:rStyle w:val="FootnoteReference"/>
        </w:rPr>
        <w:footnoteReference w:id="105"/>
      </w:r>
      <w:r>
        <w:t xml:space="preserve"> </w:t>
      </w:r>
      <w:r>
        <w:t xml:space="preserve">the constancy claimed for the predicate and its restrictions is withheld from that sufficiency claim, whose adjudication against the statement of 2020 stands at §2.1.5.</w:t>
      </w:r>
    </w:p>
    <w:p>
      <w:pPr>
        <w:pStyle w:val="BodyText"/>
      </w:pPr>
      <w:r>
        <w:t xml:space="preserve">The predicate is restricted five times. Inescapability is borne by a genitive in the sentence of 1983 which introduces the arguments,</w:t>
      </w:r>
      <w:r>
        <w:t xml:space="preserve"> </w:t>
      </w:r>
      <w:r>
        <w:t xml:space="preserve">‘</w:t>
      </w:r>
      <w:r>
        <w:t xml:space="preserve">aimed at demonstrating that the presuppositions of relevant practices are inescapable</w:t>
      </w:r>
      <w:r>
        <w:t xml:space="preserve">’</w:t>
      </w:r>
      <w:r>
        <w:t xml:space="preserve">, the presuppositions being individuated from the outset as the presuppositions of a practice, whose boundary the clause of 1983 quoted at Chapter One §1.5.3 marks from outside; it is restricted a second time to discourses</w:t>
      </w:r>
      <w:r>
        <w:t xml:space="preserve"> </w:t>
      </w:r>
      <w:r>
        <w:t xml:space="preserve">‘</w:t>
      </w:r>
      <w:r>
        <w:t xml:space="preserve">so general that it is impossible to replace them by functional equivalents</w:t>
      </w:r>
      <w:r>
        <w:t xml:space="preserve">’</w:t>
      </w:r>
      <w:r>
        <w:t xml:space="preserve">; a third time in the passage which names the</w:t>
      </w:r>
      <w:r>
        <w:t xml:space="preserve"> </w:t>
      </w:r>
      <w:r>
        <w:rPr>
          <w:iCs/>
          <w:i/>
        </w:rPr>
        <w:t xml:space="preserve">Faktum der Vernunft</w:t>
      </w:r>
      <w:r>
        <w:t xml:space="preserve">, where the conditions are</w:t>
      </w:r>
      <w:r>
        <w:t xml:space="preserve"> </w:t>
      </w:r>
      <w:r>
        <w:t xml:space="preserve">‘</w:t>
      </w:r>
      <w:r>
        <w:t xml:space="preserve">inescapable</w:t>
      </w:r>
      <w:r>
        <w:t xml:space="preserve"> </w:t>
      </w:r>
      <w:r>
        <w:rPr>
          <w:iCs/>
          <w:i/>
        </w:rPr>
        <w:t xml:space="preserve">for us</w:t>
      </w:r>
      <w:r>
        <w:t xml:space="preserve">’</w:t>
      </w:r>
      <w:r>
        <w:t xml:space="preserve">; a fourth time temporally, in Habermas’s gloss on what makes Putnam’s indispensability argument weak, and transferred to the presuppositions of argumentation by a step he does not take, where what is claimed of a presupposition is not that it is</w:t>
      </w:r>
      <w:r>
        <w:t xml:space="preserve"> </w:t>
      </w:r>
      <w:r>
        <w:t xml:space="preserve">‘</w:t>
      </w:r>
      <w:r>
        <w:t xml:space="preserve">unrevisable or necessary, but that it is — for the time being — unavoidable</w:t>
      </w:r>
      <w:r>
        <w:t xml:space="preserve">’</w:t>
      </w:r>
      <w:r>
        <w:t xml:space="preserve">; and a fifth time where the demonstration is most exposed, what the weak transcendental argument establishes being</w:t>
      </w:r>
      <w:r>
        <w:t xml:space="preserve"> </w:t>
      </w:r>
      <w:r>
        <w:t xml:space="preserve">‘</w:t>
      </w:r>
      <w:r>
        <w:t xml:space="preserve">indeed conditional on the constancy of this life-form</w:t>
      </w:r>
      <w:r>
        <w:t xml:space="preserve">’</w:t>
      </w:r>
      <w:r>
        <w:t xml:space="preserve">. Indexed to a practice, to a practice without substitute, to a form of life, to a time, and to the constancy of that form of life, the predicate is executed across the dated series with a single exception, the sentence of 1991 adjudicated at §2.1.5; and a presupposition unavoidable for the time being is not a</w:t>
      </w:r>
      <w:r>
        <w:t xml:space="preserve"> </w:t>
      </w:r>
      <w:r>
        <w:rPr>
          <w:iCs/>
          <w:i/>
        </w:rPr>
        <w:t xml:space="preserve">Faktum</w:t>
      </w:r>
      <w:r>
        <w:t xml:space="preserve"> </w:t>
      </w:r>
      <w:r>
        <w:t xml:space="preserve">in Kant’s sense, which is indexed to no time. Four of the five indices restrict the scope of the claim; the remaining index, to a time, restricts its standing; and the tensions the commitments generate together (§2.1.5) concern an inescapability so indexed, and not an unrestricted necessity.</w:t>
      </w:r>
      <w:r>
        <w:rPr>
          <w:rStyle w:val="FootnoteReference"/>
        </w:rPr>
        <w:footnoteReference w:id="106"/>
      </w:r>
    </w:p>
    <w:p>
      <w:pPr>
        <w:pStyle w:val="BodyText"/>
      </w:pPr>
      <w:r>
        <w:t xml:space="preserve">Because modal status is to be adjudicated, the modal vocabulary is reserved.</w:t>
      </w:r>
      <w:r>
        <w:t xml:space="preserve"> </w:t>
      </w:r>
      <w:r>
        <w:rPr>
          <w:iCs/>
          <w:i/>
        </w:rPr>
        <w:t xml:space="preserve">Unvermeidlich</w:t>
      </w:r>
      <w:r>
        <w:t xml:space="preserve">, unavoidable, is reserved to Habermas’s weaker modality;</w:t>
      </w:r>
      <w:r>
        <w:t xml:space="preserve"> </w:t>
      </w:r>
      <w:r>
        <w:rPr>
          <w:iCs/>
          <w:i/>
        </w:rPr>
        <w:t xml:space="preserve">unhintergehbar</w:t>
      </w:r>
      <w:r>
        <w:t xml:space="preserve"> </w:t>
      </w:r>
      <w:r>
        <w:t xml:space="preserve">and its cognates to the contested apodictic thesis of Apel and Kuhlmann, and none of them is used of Habermas’s position. The reservation is a rule of usage, and what it reserves is the unqualified predicate and not the word, since Habermas writes the word, with the qualifier</w:t>
      </w:r>
      <w:r>
        <w:t xml:space="preserve"> </w:t>
      </w:r>
      <w:r>
        <w:rPr>
          <w:iCs/>
          <w:i/>
        </w:rPr>
        <w:t xml:space="preserve">epistemisch</w:t>
      </w:r>
      <w:r>
        <w:t xml:space="preserve">, in the sentence of 1999 quoted above, and his own formula recommends the rule: transcendental analysis, after the pragmatic deflation of the Kantian approach, seeks</w:t>
      </w:r>
      <w:r>
        <w:t xml:space="preserve"> </w:t>
      </w:r>
      <w:r>
        <w:t xml:space="preserve">‘</w:t>
      </w:r>
      <w:r>
        <w:t xml:space="preserve">presumptively universal, but only de facto inescapable, conditions</w:t>
      </w:r>
      <w:r>
        <w:t xml:space="preserve">’</w:t>
      </w:r>
      <w:r>
        <w:t xml:space="preserve">, every qualifier of which is a restriction. The claim on which the rule rests, that Habermas’s own predicate is, from 1976, everywhere the restricted one, is falsifiable, and the three candidates the note examines, of 1974, 1999 and 2019, each carry the first restriction, the earliest hedging its predicate besides and preceding the weakened conception it would falsify; none falsifies the rule.</w:t>
      </w:r>
      <w:r>
        <w:rPr>
          <w:rStyle w:val="FootnoteReference"/>
        </w:rPr>
        <w:footnoteReference w:id="107"/>
      </w:r>
    </w:p>
    <w:p>
      <w:pPr>
        <w:pStyle w:val="BodyText"/>
      </w:pPr>
      <w:r>
        <w:t xml:space="preserve">A second pair requires the same discipline:</w:t>
      </w:r>
      <w:r>
        <w:t xml:space="preserve"> </w:t>
      </w:r>
      <w:r>
        <w:t xml:space="preserve">‘</w:t>
      </w:r>
      <w:r>
        <w:t xml:space="preserve">quasi-transcendental</w:t>
      </w:r>
      <w:r>
        <w:t xml:space="preserve">’</w:t>
      </w:r>
      <w:r>
        <w:t xml:space="preserve"> </w:t>
      </w:r>
      <w:r>
        <w:t xml:space="preserve">and</w:t>
      </w:r>
      <w:r>
        <w:t xml:space="preserve"> </w:t>
      </w:r>
      <w:r>
        <w:t xml:space="preserve">‘</w:t>
      </w:r>
      <w:r>
        <w:t xml:space="preserve">weakly transcendental</w:t>
      </w:r>
      <w:r>
        <w:t xml:space="preserve">’</w:t>
      </w:r>
      <w:r>
        <w:t xml:space="preserve"> </w:t>
      </w:r>
      <w:r>
        <w:t xml:space="preserve">are not synonyms. The one occurrence of</w:t>
      </w:r>
      <w:r>
        <w:t xml:space="preserve"> </w:t>
      </w:r>
      <w:r>
        <w:t xml:space="preserve">‘</w:t>
      </w:r>
      <w:r>
        <w:t xml:space="preserve">quasi-transcendental necessity</w:t>
      </w:r>
      <w:r>
        <w:t xml:space="preserve">’</w:t>
      </w:r>
      <w:r>
        <w:t xml:space="preserve"> </w:t>
      </w:r>
      <w:r>
        <w:t xml:space="preserve">in Habermas’s own voice in the discourse-ethics volume renders</w:t>
      </w:r>
      <w:r>
        <w:t xml:space="preserve"> </w:t>
      </w:r>
      <w:r>
        <w:rPr>
          <w:iCs/>
          <w:i/>
        </w:rPr>
        <w:t xml:space="preserve">eine gleichsam transzendentale Nötigung</w:t>
      </w:r>
      <w:r>
        <w:t xml:space="preserve">, an as-it-were transcendental necessitation, a hedge in the German having become a term of art in the English, and the hedge is no single occurrence: in 1974 Habermas assumes for every speech act</w:t>
      </w:r>
      <w:r>
        <w:t xml:space="preserve"> </w:t>
      </w:r>
      <w:r>
        <w:t xml:space="preserve">‘</w:t>
      </w:r>
      <w:r>
        <w:t xml:space="preserve">eine nicht hintergehbare, gleichsam transzendental nötigende Geltungsbasis</w:t>
      </w:r>
      <w:r>
        <w:t xml:space="preserve">’</w:t>
      </w:r>
      <w:r>
        <w:t xml:space="preserve">, in 1980 he holds that participants in discourse are</w:t>
      </w:r>
      <w:r>
        <w:t xml:space="preserve"> </w:t>
      </w:r>
      <w:r>
        <w:t xml:space="preserve">‘</w:t>
      </w:r>
      <w:r>
        <w:t xml:space="preserve">in einem gleichsam transzendentalen Sinne genötigt</w:t>
      </w:r>
      <w:r>
        <w:t xml:space="preserve">’</w:t>
      </w:r>
      <w:r>
        <w:t xml:space="preserve"> </w:t>
      </w:r>
      <w:r>
        <w:t xml:space="preserve">to suppose the demands of discourse sufficiently met, and in 1973 he had undertaken the burden of proof for the quasi-transcendental character he ascribed to the rule system of universal pragmatics, in the sentence Chapter One §1.5.1 displays. Where the word stands unhedged in his own voice it characterises a principle, an approach or a set of conditions, Davidson’s principle of charity having</w:t>
      </w:r>
      <w:r>
        <w:t xml:space="preserve"> </w:t>
      </w:r>
      <w:r>
        <w:t xml:space="preserve">‘</w:t>
      </w:r>
      <w:r>
        <w:t xml:space="preserve">a quasi-transcendental status</w:t>
      </w:r>
      <w:r>
        <w:t xml:space="preserve">’</w:t>
      </w:r>
      <w:r>
        <w:t xml:space="preserve"> </w:t>
      </w:r>
      <w:r>
        <w:t xml:space="preserve">and Peirce’s indefinite community supplying</w:t>
      </w:r>
      <w:r>
        <w:t xml:space="preserve"> </w:t>
      </w:r>
      <w:r>
        <w:t xml:space="preserve">‘</w:t>
      </w:r>
      <w:r>
        <w:t xml:space="preserve">the quasi-transcendental enabling conditions for criticism of claims to truth</w:t>
      </w:r>
      <w:r>
        <w:t xml:space="preserve">’</w:t>
      </w:r>
      <w:r>
        <w:t xml:space="preserve">; it is absent from</w:t>
      </w:r>
      <w:r>
        <w:t xml:space="preserve"> </w:t>
      </w:r>
      <w:r>
        <w:rPr>
          <w:iCs/>
          <w:i/>
        </w:rPr>
        <w:t xml:space="preserve">Between Facts and Norms</w:t>
      </w:r>
      <w:r>
        <w:t xml:space="preserve">; and it grades a necessitation, in Cronin’s English, once, in the sentence of 2020 displayed at §2.1.5.</w:t>
      </w:r>
      <w:r>
        <w:rPr>
          <w:rStyle w:val="FootnoteReference"/>
        </w:rPr>
        <w:footnoteReference w:id="108"/>
      </w:r>
      <w:r>
        <w:t xml:space="preserve"> </w:t>
      </w:r>
      <w:r>
        <w:t xml:space="preserve">Apel uses the word in both directions, approvingly of Peirce and of the preunderstanding of the lifeworld, pejoratively of the</w:t>
      </w:r>
      <w:r>
        <w:t xml:space="preserve"> </w:t>
      </w:r>
      <w:r>
        <w:rPr>
          <w:iCs/>
          <w:i/>
        </w:rPr>
        <w:t xml:space="preserve">Tractatus</w:t>
      </w:r>
      <w:r>
        <w:t xml:space="preserve">;</w:t>
      </w:r>
      <w:r>
        <w:rPr>
          <w:rStyle w:val="FootnoteReference"/>
        </w:rPr>
        <w:footnoteReference w:id="109"/>
      </w:r>
      <w:r>
        <w:t xml:space="preserve"> </w:t>
      </w:r>
      <w:r>
        <w:t xml:space="preserve">in neither author does the word, where it stands beside a modal predicate, grade the modality without a hedge, save in the English of 2020, which the translation alone cannot settle.</w:t>
      </w:r>
      <w:r>
        <w:t xml:space="preserve"> </w:t>
      </w:r>
      <w:r>
        <w:rPr>
          <w:iCs/>
          <w:i/>
        </w:rPr>
        <w:t xml:space="preserve">Weakly transcendental</w:t>
      </w:r>
      <w:r>
        <w:t xml:space="preserve"> </w:t>
      </w:r>
      <w:r>
        <w:t xml:space="preserve">is accordingly written wherever the modality is predicated, while</w:t>
      </w:r>
      <w:r>
        <w:t xml:space="preserve"> </w:t>
      </w:r>
      <w:r>
        <w:rPr>
          <w:iCs/>
          <w:i/>
        </w:rPr>
        <w:t xml:space="preserve">weak transcendental argument</w:t>
      </w:r>
      <w:r>
        <w:t xml:space="preserve"> </w:t>
      </w:r>
      <w:r>
        <w:t xml:space="preserve">is retained as Habermas’s own name for the argument-type of Strawson’s kind, and the one sentence of 2020 in which the prefix bears argumentative weight is read at §2.1.5.</w:t>
      </w:r>
    </w:p>
    <w:p>
      <w:pPr>
        <w:pStyle w:val="BodyText"/>
      </w:pPr>
      <w:r>
        <w:t xml:space="preserve">What Kuhlmann states, and Apel presses with him in the passage Habermas displays in order to refuse it, is not a higher degree of certainty within the reconstructive mode but a claim that something falls outside it, placed by Apel among the conditions of the reconstructive sciences (§2.2.1), and taken up at Chapter Three §3.2.4.</w:t>
      </w:r>
      <w:r>
        <w:rPr>
          <w:rStyle w:val="FootnoteReference"/>
        </w:rPr>
        <w:footnoteReference w:id="110"/>
      </w:r>
      <w:r>
        <w:t xml:space="preserve"> </w:t>
      </w:r>
      <w:r>
        <w:t xml:space="preserve">The modality so fixed is one term of a deficit not yet derived, designated in anticipation the</w:t>
      </w:r>
      <w:r>
        <w:t xml:space="preserve"> </w:t>
      </w:r>
      <w:r>
        <w:rPr>
          <w:iCs/>
          <w:i/>
        </w:rPr>
        <w:t xml:space="preserve">Begründungsdefizit</w:t>
      </w:r>
      <w:r>
        <w:t xml:space="preserve">, the justificatory deficit. The word is Habermas’s twice over in the volume of 1983: of the shortfall which opens</w:t>
      </w:r>
      <w:r>
        <w:t xml:space="preserve"> </w:t>
      </w:r>
      <w:r>
        <w:t xml:space="preserve">‘</w:t>
      </w:r>
      <w:r>
        <w:t xml:space="preserve">from the perspective of transcendental philosophy</w:t>
      </w:r>
      <w:r>
        <w:t xml:space="preserve">’</w:t>
      </w:r>
      <w:r>
        <w:t xml:space="preserve"> </w:t>
      </w:r>
      <w:r>
        <w:t xml:space="preserve">when the transcendental philosopher, turned modest, tests his reconstructions against counterexamples and acts, in the English,</w:t>
      </w:r>
      <w:r>
        <w:t xml:space="preserve"> </w:t>
      </w:r>
      <w:r>
        <w:t xml:space="preserve">‘</w:t>
      </w:r>
      <w:r>
        <w:t xml:space="preserve">like a hypothesis-testing scientist</w:t>
      </w:r>
      <w:r>
        <w:t xml:space="preserve">’</w:t>
      </w:r>
      <w:r>
        <w:t xml:space="preserve">; and of the point at which Tugendhat’s chain of argument breaks off.</w:t>
      </w:r>
      <w:r>
        <w:rPr>
          <w:rStyle w:val="FootnoteReference"/>
        </w:rPr>
        <w:footnoteReference w:id="111"/>
      </w:r>
      <w:r>
        <w:t xml:space="preserve"> </w:t>
      </w:r>
      <w:r>
        <w:t xml:space="preserve">The application of the word to both intervals §2.1.5 names, the first answering to the former use and the second to the latter, is the thesis’s.</w:t>
      </w:r>
    </w:p>
    <w:bookmarkEnd w:id="112"/>
    <w:bookmarkStart w:id="117" w:name="c3-fallibilism-and-the-three-tensions"/>
    <w:p>
      <w:pPr>
        <w:pStyle w:val="Heading3"/>
      </w:pPr>
      <w:r>
        <w:t xml:space="preserve">§2.1.5 · C3 · Fallibilism, and the three tensions</w:t>
      </w:r>
    </w:p>
    <w:p>
      <w:pPr>
        <w:pStyle w:val="FirstParagraph"/>
      </w:pPr>
      <w:r>
        <w:t xml:space="preserve">C3 holds that the propositional yield of any reconstructive enterprise, formal pragmatics not excepted, remains in principle revisable. Its textual registration against Apel is the point at which Habermas confronts Apel’s demand: the presuppositions cannot be denied from within argumentation, since any attempt to deny them enacts them, yet the demonstration of this inescapability is not the justification of the presuppositions, in the sentence which delimits the demonstration:</w:t>
      </w:r>
      <w:r>
        <w:t xml:space="preserve"> </w:t>
      </w:r>
      <w:r>
        <w:t xml:space="preserve">‘</w:t>
      </w:r>
      <w:r>
        <w:t xml:space="preserve">The fact that there are no alternatives to these rules of argumentation is what is being proved; the rules themselves are not being justified.</w:t>
      </w:r>
      <w:r>
        <w:t xml:space="preserve">’</w:t>
      </w:r>
      <w:r>
        <w:rPr>
          <w:rStyle w:val="FootnoteReference"/>
        </w:rPr>
        <w:footnoteReference w:id="113"/>
      </w:r>
      <w:r>
        <w:t xml:space="preserve"> </w:t>
      </w:r>
      <w:r>
        <w:t xml:space="preserve">The discrimination the argument needs is carried in the sentence’s grammar, and the German is the safer ground for the first clause, the second being fixed by the sentence which follows it: what is there said to be proved is</w:t>
      </w:r>
      <w:r>
        <w:t xml:space="preserve"> </w:t>
      </w:r>
      <w:r>
        <w:rPr>
          <w:iCs/>
          <w:i/>
        </w:rPr>
        <w:t xml:space="preserve">die Alternativenlosigkeit dieser Regeln für die Argumentationspraxis</w:t>
      </w:r>
      <w:r>
        <w:t xml:space="preserve"> </w:t>
      </w:r>
      <w:r>
        <w:t xml:space="preserve">— a state of the rules, and so the sort of item a proposition states, and one already indexed to the practice of argumentation; what is said not to be justified is</w:t>
      </w:r>
      <w:r>
        <w:t xml:space="preserve"> </w:t>
      </w:r>
      <w:r>
        <w:rPr>
          <w:iCs/>
          <w:i/>
        </w:rPr>
        <w:t xml:space="preserve">diese selbst</w:t>
      </w:r>
      <w:r>
        <w:t xml:space="preserve">, whose antecedent the next sentence, on the participants’ having accepted</w:t>
      </w:r>
      <w:r>
        <w:t xml:space="preserve"> </w:t>
      </w:r>
      <w:r>
        <w:rPr>
          <w:iCs/>
          <w:i/>
        </w:rPr>
        <w:t xml:space="preserve">diese Regeln</w:t>
      </w:r>
      <w:r>
        <w:t xml:space="preserve"> </w:t>
      </w:r>
      <w:r>
        <w:t xml:space="preserve">as a fact of reason, fixes as the rules themselves, as followed, and rules as followed are not items a proposition states, on the ground §2.1.1 supplies. The two governing verbs are thus given objects of different categories within a single sentence, and upon that assignment the withholding is intelligible rather than merely stipulated, since justification is a relation in which a norm stands to grounds, and the demonstration that a norm has no available alternative furnishes no ground for the norm but reports upon its standing; the reading of the grammar is offered as a reading, and nothing in the argument requires that Habermas drew the distinction under those terms, only that the sentence he wrote observes it.</w:t>
      </w:r>
    </w:p>
    <w:p>
      <w:pPr>
        <w:pStyle w:val="BodyText"/>
      </w:pPr>
      <w:r>
        <w:t xml:space="preserve">C3 is thus not the thesis that the conditions of rationality are uncertain, the misreading the language of hypothetical status invites, but the thesis that the philosopher’s articulation of those conditions is corrigible, even where the conditions themselves lie operatively beyond denial. Three items are run together in that misreading, and separating them fixes what the commitment concedes and what it does not: the standing of the conditions, which C3 leaves untouched; the undoing, on each occasion of denial, of the denial by its own performance, which is no item of knowledge, any report of it standing under the fallibility reports stand under; and the correctness of any given statement of their content, where alone fallibility is conceded. A reading of C3 conceding the first would leave the instrument of these chapters nothing to defend; one conceding the second would leave the exhibition nothing to exhibit; one declining the third would be</w:t>
      </w:r>
      <w:r>
        <w:t xml:space="preserve"> </w:t>
      </w:r>
      <w:r>
        <w:rPr>
          <w:iCs/>
          <w:i/>
        </w:rPr>
        <w:t xml:space="preserve">Letztbegründung</w:t>
      </w:r>
      <w:r>
        <w:t xml:space="preserve"> </w:t>
      </w:r>
      <w:r>
        <w:t xml:space="preserve">under another name. C3, so read, concedes the third alone.</w:t>
      </w:r>
    </w:p>
    <w:p>
      <w:pPr>
        <w:pStyle w:val="BodyText"/>
      </w:pPr>
      <w:r>
        <w:t xml:space="preserve">An objection runs upon that concession, and it is entered against the instrument used in these chapters rather than against Habermas’s programme: if the theorist’s reconstruction of the presuppositions is fallible, then the elenctic force of exhibiting a performative self-contradiction is fallible too, and the sceptic is not caught, the presupposition being open to misidentification, to description in terms the sceptic may reasonably reject, or to mistake for a parochial feature of one argumentative culture. The reply turns upon what the sceptic’s denial undoes, and it is not one Habermas gives. What it undoes is not a proposition of the theorist’s but his own performance (§2.1.1): he denies, in argument, a presupposition without which his denial would not be an argument, and the undoing occurs</w:t>
      </w:r>
      <w:r>
        <w:t xml:space="preserve"> </w:t>
      </w:r>
      <w:r>
        <w:rPr>
          <w:iCs/>
          <w:i/>
        </w:rPr>
        <w:t xml:space="preserve">in actu</w:t>
      </w:r>
      <w:r>
        <w:t xml:space="preserve">, in the performance and for its performer, whether or not any theorist is present to describe it and whether or not the description, if offered, is correct. A better description would not make the undoing more secure, there being no degrees in a performance not performed, nor would a worse one make it less secure; the theorist’s failures are failures to identify which presupposition is at work, and not failures which restore a vacated position to the sceptic. The sceptic would have to show not that the theorist’s description is inaccurate, but that there is a way of arguing which does not undertake what the description was attempting to state, which is the possibility substep (2c) exists to test, and it concerns the extension of the presupposition and not the standing of the compulsion where the presupposition holds; a sceptic who produced such a case would have narrowed the claim, not shown that arguing without the presuppositions of argument is something one might do badly rather than something one does not do. Operative irrefutability does not, therefore, depend upon descriptive infallibility: the term is used of an enactment in the sense that no performed denial of it succeeds, and not in the sense in which a proposition resists refutation, refutation being, upon the criterion §2.1.1 states, an operation upon claims. The cognate objection against the asymmetry itself, that a distinction reachable only under corrigible description cannot be occupied, is met at Chapter Three §3.2.2. The concession this requires is nevertheless real, and it falls upon the argument of these chapters and not upon Habermas: what the argument establishes is negative, that descriptive fallibility does not defeat operative irrefutability, and it does not establish that operative irrefutability holds, nor what its title would be if it did, nor whether the exhibition supposed to display it succeeds in displaying anything. Those three questions are handed to Chapter Three §3.3, where the elenctic</w:t>
      </w:r>
      <w:r>
        <w:t xml:space="preserve"> </w:t>
      </w:r>
      <w:r>
        <w:rPr>
          <w:iCs/>
          <w:i/>
        </w:rPr>
        <w:t xml:space="preserve">Aufweis</w:t>
      </w:r>
      <w:r>
        <w:t xml:space="preserve"> </w:t>
      </w:r>
      <w:r>
        <w:t xml:space="preserve">is developed and the debt so entered is discharged or is not; and the deficit named below does not depend upon the discharge, since its second interval would stand even if the</w:t>
      </w:r>
      <w:r>
        <w:t xml:space="preserve"> </w:t>
      </w:r>
      <w:r>
        <w:rPr>
          <w:iCs/>
          <w:i/>
        </w:rPr>
        <w:t xml:space="preserve">Aufweis</w:t>
      </w:r>
      <w:r>
        <w:t xml:space="preserve"> </w:t>
      </w:r>
      <w:r>
        <w:t xml:space="preserve">failed entirely.</w:t>
      </w:r>
      <w:r>
        <w:rPr>
          <w:rStyle w:val="FootnoteReference"/>
        </w:rPr>
        <w:footnoteReference w:id="114"/>
      </w:r>
    </w:p>
    <w:p>
      <w:pPr>
        <w:pStyle w:val="BodyText"/>
      </w:pPr>
      <w:r>
        <w:t xml:space="preserve">The coherence of the programme has been contested from two opposed directions, and one distinction, with the demarcation of §2.1.2, answers both. The circularity charge holds that a reconstruction of the presuppositions of argumentation is itself an argument, and so presupposes what it sets out to exhibit; the reply concedes the premise, since the reconstruction</w:t>
      </w:r>
      <w:r>
        <w:t xml:space="preserve"> </w:t>
      </w:r>
      <w:r>
        <w:rPr>
          <w:iCs/>
          <w:i/>
        </w:rPr>
        <w:t xml:space="preserve">enacts</w:t>
      </w:r>
      <w:r>
        <w:t xml:space="preserve"> </w:t>
      </w:r>
      <w:r>
        <w:t xml:space="preserve">the presuppositions it articulates, and enactment is not entailment. The second charge runs in the contrary direction, holding the programme to be empiricism in transcendental dress, and is met by the demarcation of data entered at §2.1.2; whether a restriction of that shape is principled or expedient is the question C3 must answer, and the demand for a restriction is Apel’s, as is the</w:t>
      </w:r>
      <w:r>
        <w:t xml:space="preserve"> </w:t>
      </w:r>
      <w:r>
        <w:rPr>
          <w:iCs/>
          <w:i/>
        </w:rPr>
        <w:t xml:space="preserve">form</w:t>
      </w:r>
      <w:r>
        <w:t xml:space="preserve"> </w:t>
      </w:r>
      <w:r>
        <w:t xml:space="preserve">of the restriction, in the metacritique of fallibilism examined at §2.2.2; the two restrictions are compared at §2.2.3.</w:t>
      </w:r>
    </w:p>
    <w:p>
      <w:pPr>
        <w:pStyle w:val="BodyText"/>
      </w:pPr>
      <w:r>
        <w:t xml:space="preserve">The three commitments so stated individuate the programme. Each is defensible upon grounds which do not appeal to the other two, whether or not Habermas himself holds them as distinct theses; separate defensibility is not logical independence, since immanence follows from reconstructivism by way of access (§2.2.3) and has nonetheless a ground of its own, the unavailability of an external court, which appeals to no reconstructive premise. What follows depends upon that separate defensibility: were any of the three sustained only by the support of its neighbours, a deficit derived from the three together would be an artefact of that mutual support and no consequence of the commitments. Each is affirmed by Habermas in his own voice at the loci cited above; whether any of the three could be surrendered with the enterprise remaining post-metaphysical is not settled by those loci, and no answer to it is claimed. C3 in particular marks the programme off not from incoherence but from Apel, and whether it follows from the other two is examined at §2.2.3.</w:t>
      </w:r>
    </w:p>
    <w:p>
      <w:pPr>
        <w:pStyle w:val="BodyText"/>
      </w:pPr>
      <w:r>
        <w:t xml:space="preserve">Held together, the three commitments generate three tensions, one for each, and each is internal, arising from what the programme holds on purpose and not from anything an opponent supplies. The tension of the relation belongs to reconstructivism. The object of the reconstruction is a competence exercised, and the exercise of a presupposition of argument is, on the testimony of both programmes, not to be set aside by anyone who argues, while the yield of the reconstruction is a description put forward for discussion as a logician’s is, which has, in the clause Habermas himself supplies,</w:t>
      </w:r>
      <w:r>
        <w:t xml:space="preserve"> </w:t>
      </w:r>
      <w:r>
        <w:t xml:space="preserve">‘</w:t>
      </w:r>
      <w:r>
        <w:t xml:space="preserve">only hypothetical status</w:t>
      </w:r>
      <w:r>
        <w:t xml:space="preserve">’</w:t>
      </w:r>
      <w:r>
        <w:t xml:space="preserve">.</w:t>
      </w:r>
      <w:r>
        <w:rPr>
          <w:rStyle w:val="FootnoteReference"/>
        </w:rPr>
        <w:footnoteReference w:id="115"/>
      </w:r>
      <w:r>
        <w:t xml:space="preserve"> </w:t>
      </w:r>
      <w:r>
        <w:t xml:space="preserve">The programme is thus committed to an inescapability it can specify only fallibly, and no route the method commands carries the standing of what is enacted across to the account of it: the route of description is closed by the categorial premise, and the route of self-application, on which a science reconstructing its own competence would close the interval between the performance and its reconstruction, is closed by fallibilism applied reflexively, since a certification of the token does not reach the type (Chapter Three §3.2.3). The tension is not a contradiction, the premise assigning the two standings to different kinds. It opens the first interval of the deficit, the passage from what an enactment secures, operatively and on the occasion of a denial, to a proposition about the presuppositions of argument as such, a passage which crosses both the line between the registers and the line between token and type. Apel claims for strict reflection an access of another kind which would make it (§2.2.3), and Chapter Three adjudicates the claim. The tension of the standpoint belongs to immanence. The reconstruction is conducted from within the practice whose conditions it renders, and claims for them a reach which no evidence gathered from within can certify; this is the projection gap of §2.1.2, and it has a practical as well as a methodological form, since the community actually arguing is always finite and the universality claimed for a norm justified in its discourse is not. It shows where the reconstruction is asked to account for its own possibility as a result of what it reconstructs (§2.1.3, §2.4.1), and where the exhibition of a performative self-contradiction requires that a denial be recognisable as the denial of what the denying enacts (§2.3.3); what survives the provincialism and genealogical charges is a claim indexed to a practice, whose indexing §2.1.4 counts.</w:t>
      </w:r>
    </w:p>
    <w:p>
      <w:pPr>
        <w:pStyle w:val="BodyText"/>
      </w:pPr>
      <w:r>
        <w:t xml:space="preserve">The tension of the grade belongs to fallibilism. Every articulation of the presuppositions is revisable, and the programme nevertheless undertakes to justify a principle of universalisation whose validity is to underwrite the bindingness of the norms it tests (Chapter One §1.5.3). What the reconstruction can confer upon a norm is the grade its tests confer, a hypothesis corroborated by recognition and by the absence of a counterexample; what the deontological undertaking requires is a</w:t>
      </w:r>
      <w:r>
        <w:t xml:space="preserve"> </w:t>
      </w:r>
      <w:r>
        <w:rPr>
          <w:iCs/>
          <w:i/>
        </w:rPr>
        <w:t xml:space="preserve">Sollgeltung</w:t>
      </w:r>
      <w:r>
        <w:t xml:space="preserve">, the mode of validity attaching to norms, which no corroboration confers. Neither the standing of what a speaker enacts nor the grade of what the theorist states of it passes to the norm, since a norm’s bindingness is a third kind of item, refused by the withholding of compliance; and the interval is reached also on the route of the illocutionary bond, which uses none of the three commitments, a rightness claim warranting that reasons for a norm’s validity can be produced and thereby deferring to a validity it does not institute (Chapter One §1.2.2, §1.5.4). Habermas states the result himself in 2020, as a division of labour and not as a deficit. Having traced the mode of the normative validity of moral statements to the binding sense and integrative force of social norms, in the sentence Chapter Three §3.1.3 quotes in part, he writes on the same page:</w:t>
      </w:r>
      <w:r>
        <w:t xml:space="preserve"> </w:t>
      </w:r>
      <w:r>
        <w:t xml:space="preserve">‘</w:t>
      </w:r>
      <w:r>
        <w:t xml:space="preserve">The quasi-transcendental necessitation of unavoidable presuppositions of argumentation alone cannot generate morally binding force. This force belongs instead to the norms that are introduced into moral–practical discourses because they have become problematic</w:t>
      </w:r>
      <w:r>
        <w:t xml:space="preserve">’</w:t>
      </w:r>
      <w:r>
        <w:t xml:space="preserve">.</w:t>
      </w:r>
      <w:r>
        <w:rPr>
          <w:rStyle w:val="FootnoteReference"/>
        </w:rPr>
        <w:footnoteReference w:id="116"/>
      </w:r>
      <w:r>
        <w:t xml:space="preserve"> </w:t>
      </w:r>
      <w:r>
        <w:t xml:space="preserve">In the English the prefix stands beside a necessitation; whether the German hedges it as</w:t>
      </w:r>
      <w:r>
        <w:t xml:space="preserve"> </w:t>
      </w:r>
      <w:r>
        <w:rPr>
          <w:iCs/>
          <w:i/>
        </w:rPr>
        <w:t xml:space="preserve">gleichsam</w:t>
      </w:r>
      <w:r>
        <w:t xml:space="preserve"> </w:t>
      </w:r>
      <w:r>
        <w:t xml:space="preserve">hedges the</w:t>
      </w:r>
      <w:r>
        <w:t xml:space="preserve"> </w:t>
      </w:r>
      <w:r>
        <w:rPr>
          <w:iCs/>
          <w:i/>
        </w:rPr>
        <w:t xml:space="preserve">Nötigung</w:t>
      </w:r>
      <w:r>
        <w:t xml:space="preserve"> </w:t>
      </w:r>
      <w:r>
        <w:t xml:space="preserve">at MCCA 203 is not settled by the translation, and nothing in the argument turns upon it, since the sentence denies the necessitation the power to generate binding force whatever its grade. The sentence of 1991 displayed at §2.1.4, on the sufficiency of the weak transcendental proof, is not withdrawn by it: that sentence concerns the universality of the principle, and what the statement of 2020 withholds is the derivation of the ought’s bindingness from the presuppositions, so that the two fall on either side of the interval; the pairing is a reading and not a statement of his. The deficit so reached is its second interval, and it is handed to Chapter Four with the question where, if not in the presuppositions of argument, the bindingness of a norm is constituted, and whether the architecture</w:t>
      </w:r>
      <w:r>
        <w:t xml:space="preserve"> </w:t>
      </w:r>
      <w:r>
        <w:rPr>
          <w:iCs/>
          <w:i/>
        </w:rPr>
        <w:t xml:space="preserve">Faktizität und Geltung</w:t>
      </w:r>
      <w:r>
        <w:t xml:space="preserve"> </w:t>
      </w:r>
      <w:r>
        <w:t xml:space="preserve">builds upon the discourse principle supplies it.</w:t>
      </w:r>
    </w:p>
    <w:p>
      <w:pPr>
        <w:pStyle w:val="BodyText"/>
      </w:pPr>
      <w:r>
        <w:t xml:space="preserve">The assignment of the tensions to the commitments is not a mnemonic, and its criterion is this: each tension is resolved, while the programme’s claim stands, only by weakening the commitment to which it is assigned. The tension of the relation is resolved by admitting an access of another kind, strict reflection, which surrenders the exclusiveness reconstructivism asserts and is Apel’s course; the tension of the standpoint by admitting a standpoint beyond the practice from which the reach of its conditions might be certified, which surrenders immanence; the tension of the grade by exempting the ground of the principle from revision, which surrenders fallibilism and is again Apel’s course, in the</w:t>
      </w:r>
      <w:r>
        <w:t xml:space="preserve"> </w:t>
      </w:r>
      <w:r>
        <w:rPr>
          <w:iCs/>
          <w:i/>
        </w:rPr>
        <w:t xml:space="preserve">Letztbegründung</w:t>
      </w:r>
      <w:r>
        <w:t xml:space="preserve"> </w:t>
      </w:r>
      <w:r>
        <w:t xml:space="preserve">of the principle of ethics, though it removes the hypothetical grade of the ground while leaving the interval to bindingness, which the categorial route and the route of the illocutionary bond reach without it. Since each commitment presupposes the other two (§2.1), the loss of one does not leave the others as they were, and a programme holding the three on purpose can take none of the three courses without ceasing to be the programme; a fourth course, the withdrawal of the deontological undertaking itself, is excluded by the same proviso, since it withdraws the claim the criterion holds fixed, and is examined in Chapter Four. The programme is left to sustain the tensions from within. The two critiques which press them hardest, Apel’s and Derrida’s, are examined at §2.2 and §2.3, and the resources with which Habermas sustains the tensions at §2.4.</w:t>
      </w:r>
    </w:p>
    <w:bookmarkEnd w:id="117"/>
    <w:bookmarkEnd w:id="118"/>
    <w:bookmarkStart w:id="150" w:name="X6f8d6db7df478adfee3d811ffbeaeaa2566b1b1"/>
    <w:p>
      <w:pPr>
        <w:pStyle w:val="Heading2"/>
      </w:pPr>
      <w:r>
        <w:t xml:space="preserve">§2.2 · Apel’s Critique of the Detranscendentalised Programme, and Habermas’s Replies</w:t>
      </w:r>
    </w:p>
    <w:p>
      <w:pPr>
        <w:pStyle w:val="FirstParagraph"/>
      </w:pPr>
      <w:r>
        <w:t xml:space="preserve">Apel’s critique is the most serious the programme meets, and its seriousness is owed to its coming from the ally rather than the opponent: it shares the paradigm of language, the participant’s standpoint and the exhibition of performative self-contradiction, and it contests what the programme makes of them. It is entered on four fronts: against the standing of the language game whose norms cannot be denied from outside it, against the status of the reconstruction which states those norms, against the reach the programme claims for its results, and against the fallibilism under which the statement of those results is placed. Habermas’s replies are dated from 1983 to 2003, and what the critique establishes against the programme, and what it does not, is adjudicated at §2.2.3.</w:t>
      </w:r>
    </w:p>
    <w:bookmarkStart w:id="126" w:name="X33d38471945e299bb61c213e2f8b50be1674b04"/>
    <w:p>
      <w:pPr>
        <w:pStyle w:val="Heading3"/>
      </w:pPr>
      <w:r>
        <w:t xml:space="preserve">§2.2.1 · The charge: the transcendental language game, two kinds of reconstruction, and the reach of the results</w:t>
      </w:r>
    </w:p>
    <w:p>
      <w:pPr>
        <w:pStyle w:val="FirstParagraph"/>
      </w:pPr>
      <w:r>
        <w:t xml:space="preserve">The first front is opened where the displacement of the solitary subject (§2.1.3) is first called an overcoming. From the impossibility of a position outside the language game Apel infers, in two passages which are read together, the standing of that game as transcendental:</w:t>
      </w:r>
      <w:r>
        <w:t xml:space="preserve"> </w:t>
      </w:r>
      <w:r>
        <w:t xml:space="preserve">‘</w:t>
      </w:r>
      <w:r>
        <w:t xml:space="preserve">One cannot decide to affirm or negate the norms of the transcendental language-game from a position outside the language-game</w:t>
      </w:r>
      <w:r>
        <w:t xml:space="preserve">’</w:t>
      </w:r>
      <w:r>
        <w:t xml:space="preserve">, and</w:t>
      </w:r>
      <w:r>
        <w:t xml:space="preserve"> </w:t>
      </w:r>
      <w:r>
        <w:t xml:space="preserve">‘</w:t>
      </w:r>
      <w:r>
        <w:t xml:space="preserve">The negation of this constitutes the basic error of methodological solipsism</w:t>
      </w:r>
      <w:r>
        <w:t xml:space="preserve">’</w:t>
      </w:r>
      <w:r>
        <w:t xml:space="preserve">; where the</w:t>
      </w:r>
      <w:r>
        <w:t xml:space="preserve"> </w:t>
      </w:r>
      <w:r>
        <w:rPr>
          <w:iCs/>
          <w:i/>
        </w:rPr>
        <w:t xml:space="preserve">Investigations</w:t>
      </w:r>
      <w:r>
        <w:t xml:space="preserve"> </w:t>
      </w:r>
      <w:r>
        <w:t xml:space="preserve">disperses the public into a plurality of incommensurable language games, Apel asks in which game the thesis of that plurality is advanced, and answers,</w:t>
      </w:r>
      <w:r>
        <w:t xml:space="preserve"> </w:t>
      </w:r>
      <w:r>
        <w:t xml:space="preserve">‘</w:t>
      </w:r>
      <w:r>
        <w:t xml:space="preserve">I will call this institution the transcendental language game</w:t>
      </w:r>
      <w:r>
        <w:t xml:space="preserve">’</w:t>
      </w:r>
      <w:r>
        <w:t xml:space="preserve">.</w:t>
      </w:r>
      <w:r>
        <w:rPr>
          <w:rStyle w:val="FootnoteReference"/>
        </w:rPr>
        <w:footnoteReference w:id="119"/>
      </w:r>
      <w:r>
        <w:t xml:space="preserve"> </w:t>
      </w:r>
      <w:r>
        <w:t xml:space="preserve">The same step governs his answer to every detranscendentalising argument. Of Heidegger’s he holds that what makes the constitution of meaning possible is to be held apart from what makes possible the justification of validity claims, of knowledge or of norms, and he locates in the detranscendentalising arguments themselves a paradox which bears upon any programme whose result is advanced as universally valid:</w:t>
      </w:r>
      <w:r>
        <w:t xml:space="preserve"> </w:t>
      </w:r>
      <w:r>
        <w:t xml:space="preserve">‘</w:t>
      </w:r>
      <w:r>
        <w:t xml:space="preserve">the universal validity claim of the detranscendentalization arguments themselves is not compatible with the propositional content of these arguments</w:t>
      </w:r>
      <w:r>
        <w:t xml:space="preserve">’</w:t>
      </w:r>
      <w:r>
        <w:t xml:space="preserve">. An argument concluding that no claim escapes its historical horizon is advanced as escaping the horizon of its advancing, or else it is one horizon-bound utterance among others and has established nothing general; Apel directs the paradox at Heidegger, and it bears upon Habermas as well.</w:t>
      </w:r>
      <w:r>
        <w:rPr>
          <w:rStyle w:val="FootnoteReference"/>
        </w:rPr>
        <w:footnoteReference w:id="120"/>
      </w:r>
    </w:p>
    <w:p>
      <w:pPr>
        <w:pStyle w:val="BodyText"/>
      </w:pPr>
      <w:r>
        <w:t xml:space="preserve">The second front concerns the status of the reconstruction. Apel accepts the description of reconstructive science and denies the epistemic settlement attached to it. He divides the reconstructive process in two, an</w:t>
      </w:r>
      <w:r>
        <w:t xml:space="preserve"> </w:t>
      </w:r>
      <w:r>
        <w:rPr>
          <w:iCs/>
          <w:i/>
        </w:rPr>
        <w:t xml:space="preserve">a priori</w:t>
      </w:r>
      <w:r>
        <w:t xml:space="preserve"> </w:t>
      </w:r>
      <w:r>
        <w:t xml:space="preserve">ascertainment of features of discursive rationality, taken to be</w:t>
      </w:r>
      <w:r>
        <w:t xml:space="preserve"> </w:t>
      </w:r>
      <w:r>
        <w:t xml:space="preserve">‘</w:t>
      </w:r>
      <w:r>
        <w:t xml:space="preserve">normative conditions of the possibility of the empirical-historical reconstruction of human competencies in the social sciences</w:t>
      </w:r>
      <w:r>
        <w:t xml:space="preserve">’</w:t>
      </w:r>
      <w:r>
        <w:t xml:space="preserve">, and that reconstruction, a division he draws while setting aside, by his own statement, whether there are areas of non-discernibility between the two, and he places the self-accountability he postulates among what makes the reconstructive sciences possible and not among what they could establish, an exemption stated in his own words: the self-accountability of discursive rationality</w:t>
      </w:r>
      <w:r>
        <w:t xml:space="preserve"> </w:t>
      </w:r>
      <w:r>
        <w:t xml:space="preserve">‘</w:t>
      </w:r>
      <w:r>
        <w:t xml:space="preserve">does not belong, I consider, to the possible empirical results of the reconstructive sciences but to the conditions of their possibility</w:t>
      </w:r>
      <w:r>
        <w:t xml:space="preserve">’</w:t>
      </w:r>
      <w:r>
        <w:t xml:space="preserve">.</w:t>
      </w:r>
      <w:r>
        <w:rPr>
          <w:rStyle w:val="FootnoteReference"/>
        </w:rPr>
        <w:footnoteReference w:id="121"/>
      </w:r>
    </w:p>
    <w:p>
      <w:pPr>
        <w:pStyle w:val="BodyText"/>
      </w:pPr>
      <w:r>
        <w:t xml:space="preserve">Against the programme’s own procedure the charge has three limbs: that it declines to distinguish</w:t>
      </w:r>
      <w:r>
        <w:t xml:space="preserve"> </w:t>
      </w:r>
      <w:r>
        <w:t xml:space="preserve">‘</w:t>
      </w:r>
      <w:r>
        <w:t xml:space="preserve">the transcendental-pragmatic reconstruction of the ultimate presuppositions of argumentation</w:t>
      </w:r>
      <w:r>
        <w:t xml:space="preserve">’</w:t>
      </w:r>
      <w:r>
        <w:t xml:space="preserve"> </w:t>
      </w:r>
      <w:r>
        <w:t xml:space="preserve">from</w:t>
      </w:r>
      <w:r>
        <w:t xml:space="preserve"> </w:t>
      </w:r>
      <w:r>
        <w:t xml:space="preserve">‘</w:t>
      </w:r>
      <w:r>
        <w:t xml:space="preserve">an empirical-hypothetical reconstruction of cultural evolution or concrete history</w:t>
      </w:r>
      <w:r>
        <w:t xml:space="preserve">’</w:t>
      </w:r>
      <w:r>
        <w:t xml:space="preserve">; that the proposal to test the presuppositions empirically, by questioning competent speakers, is incoherent,</w:t>
      </w:r>
      <w:r>
        <w:t xml:space="preserve"> </w:t>
      </w:r>
      <w:r>
        <w:t xml:space="preserve">‘</w:t>
      </w:r>
      <w:r>
        <w:t xml:space="preserve">for in order even to understand what</w:t>
      </w:r>
      <w:r>
        <w:t xml:space="preserve"> </w:t>
      </w:r>
      <w:r>
        <w:t xml:space="preserve">“</w:t>
      </w:r>
      <w:r>
        <w:t xml:space="preserve">empirical testing</w:t>
      </w:r>
      <w:r>
        <w:t xml:space="preserve">”</w:t>
      </w:r>
      <w:r>
        <w:t xml:space="preserve"> </w:t>
      </w:r>
      <w:r>
        <w:t xml:space="preserve">is supposed to mean, one must at least presuppose the validity of those presuppositions of argumentation</w:t>
      </w:r>
      <w:r>
        <w:t xml:space="preserve">’</w:t>
      </w:r>
      <w:r>
        <w:t xml:space="preserve">; and that the programme’s appeals to modesty, which are to be identified, though Apel does not identify them, with the offices of stand-in and interpreter, conflate methodological with sociological or psychological categories.</w:t>
      </w:r>
      <w:r>
        <w:rPr>
          <w:rStyle w:val="FootnoteReference"/>
        </w:rPr>
        <w:footnoteReference w:id="122"/>
      </w:r>
      <w:r>
        <w:t xml:space="preserve"> </w:t>
      </w:r>
      <w:r>
        <w:t xml:space="preserve">His defence of his own argument bears upon the difficulty §2.1.2 names the projection gap, though it is not addressed to it in those terms: he holds his transcendental-pragmatic argument untouched by the</w:t>
      </w:r>
      <w:r>
        <w:t xml:space="preserve"> </w:t>
      </w:r>
      <w:r>
        <w:t xml:space="preserve">‘</w:t>
      </w:r>
      <w:r>
        <w:t xml:space="preserve">de-transcendentalization</w:t>
      </w:r>
      <w:r>
        <w:t xml:space="preserve">’</w:t>
      </w:r>
      <w:r>
        <w:t xml:space="preserve"> </w:t>
      </w:r>
      <w:r>
        <w:t xml:space="preserve">he attributes to Rorty, on the ground that, unlike Strawson’s, it concerns not the propositional content of arguments nor the categorial schemes of knowledge but the performative part of the argument by which validity claims are raised, adding that even were every transcendental argument about categorial schemes relativised, the speech act of raising that question would lay claim to the presuppositions at issue.</w:t>
      </w:r>
      <w:r>
        <w:rPr>
          <w:rStyle w:val="FootnoteReference"/>
        </w:rPr>
        <w:footnoteReference w:id="123"/>
      </w:r>
    </w:p>
    <w:p>
      <w:pPr>
        <w:pStyle w:val="BodyText"/>
      </w:pPr>
      <w:r>
        <w:t xml:space="preserve">The third front is the reach of the programme’s results. Apel’s charge, stated at Chapter One §1.6.3 and expounded by Kettner, is that Habermas can decline strictly reflexive arguments only at the price of inconsistency, and that the primacy claims of the theory of communicative action, advanced with sociological methods alone, founder upon openly strategic action, the derivative status of purely strategic bargaining being provable only within argumentative discourse.</w:t>
      </w:r>
      <w:r>
        <w:rPr>
          <w:rStyle w:val="FootnoteReference"/>
        </w:rPr>
        <w:footnoteReference w:id="124"/>
      </w:r>
      <w:r>
        <w:t xml:space="preserve"> </w:t>
      </w:r>
      <w:r>
        <w:t xml:space="preserve">Behind the charge stands a disagreement over the floor, the level of practice below which no exit from the presuppositions is available, and Apel’s floor is wider than Habermas’s: he holds the presupposition of an unlimited communication community to be undertaken not in argumentation alone but</w:t>
      </w:r>
      <w:r>
        <w:t xml:space="preserve"> </w:t>
      </w:r>
      <w:r>
        <w:t xml:space="preserve">‘</w:t>
      </w:r>
      <w:r>
        <w:t xml:space="preserve">in any argument, indeed in any human word</w:t>
      </w:r>
      <w:r>
        <w:t xml:space="preserve">’</w:t>
      </w:r>
      <w:r>
        <w:t xml:space="preserve">, and, in his own qualification,</w:t>
      </w:r>
      <w:r>
        <w:t xml:space="preserve"> </w:t>
      </w:r>
      <w:r>
        <w:t xml:space="preserve">‘</w:t>
      </w:r>
      <w:r>
        <w:t xml:space="preserve">with any action that is to be intelligible</w:t>
      </w:r>
      <w:r>
        <w:t xml:space="preserve">’</w:t>
      </w:r>
      <w:r>
        <w:t xml:space="preserve">.</w:t>
      </w:r>
      <w:r>
        <w:rPr>
          <w:rStyle w:val="FootnoteReference"/>
        </w:rPr>
        <w:footnoteReference w:id="125"/>
      </w:r>
    </w:p>
    <w:bookmarkEnd w:id="126"/>
    <w:bookmarkStart w:id="139" w:name="Xb3632543922896625d98eaa7fab956ad18ed362"/>
    <w:p>
      <w:pPr>
        <w:pStyle w:val="Heading3"/>
      </w:pPr>
      <w:r>
        <w:t xml:space="preserve">§2.2.2 · The metacritique of fallibilism, and the replies of 1983, 1991 and 2003</w:t>
      </w:r>
    </w:p>
    <w:p>
      <w:pPr>
        <w:pStyle w:val="FirstParagraph"/>
      </w:pPr>
      <w:r>
        <w:t xml:space="preserve">The fourth front is the sharpest, since it is entered with the instrument both programmes share. The self-application of the fallibilism principle, Apel argues, leads to a paradox on the pattern of the liar:</w:t>
      </w:r>
      <w:r>
        <w:t xml:space="preserve"> </w:t>
      </w:r>
      <w:r>
        <w:t xml:space="preserve">‘</w:t>
      </w:r>
      <w:r>
        <w:t xml:space="preserve">If the</w:t>
      </w:r>
      <w:r>
        <w:t xml:space="preserve"> </w:t>
      </w:r>
      <w:r>
        <w:t xml:space="preserve">“</w:t>
      </w:r>
      <w:r>
        <w:t xml:space="preserve">Fallibilism</w:t>
      </w:r>
      <w:r>
        <w:t xml:space="preserve">”</w:t>
      </w:r>
      <w:r>
        <w:t xml:space="preserve"> </w:t>
      </w:r>
      <w:r>
        <w:t xml:space="preserve">principle is itself fallible, it is to just that extent not fallible and vice versa</w:t>
      </w:r>
      <w:r>
        <w:t xml:space="preserve">’</w:t>
      </w:r>
      <w:r>
        <w:t xml:space="preserve">; what the argument concludes is not that fallibilism is false but that the principle of fallibilism, and with it the principle of criticism it underwrites, are meaningful and valid only under a restriction entered at the outset, so that at least some evidence is withheld from possible criticism, namely the evidence upon which the principles are themselves grounded.</w:t>
      </w:r>
      <w:r>
        <w:rPr>
          <w:rStyle w:val="FootnoteReference"/>
        </w:rPr>
        <w:footnoteReference w:id="127"/>
      </w:r>
      <w:r>
        <w:t xml:space="preserve"> </w:t>
      </w:r>
      <w:r>
        <w:t xml:space="preserve">Fallibilism is examined at length in the essay where Apel submits critical rationalism to metacritique, under a disclaimer which governs how the dispute must be read: his purpose is not to question the principle of critical examination but to examine the inner connection Albert asserts between the impossibility of a fundamental grounding and the programme of rational criticism, a connection which can be taken as one between criticism and unrestricted fallibilism.</w:t>
      </w:r>
      <w:r>
        <w:rPr>
          <w:rStyle w:val="FootnoteReference"/>
        </w:rPr>
        <w:footnoteReference w:id="128"/>
      </w:r>
      <w:r>
        <w:t xml:space="preserve"> </w:t>
      </w:r>
      <w:r>
        <w:t xml:space="preserve">A discrimination follows which Apel’s own statement leaves implicit: the exemption the paradox forces need be no exemption from criticism, only from the assumption of possible falsity, which a defender of critical examination may withhold without withdrawing that principle.</w:t>
      </w:r>
    </w:p>
    <w:p>
      <w:pPr>
        <w:pStyle w:val="BodyText"/>
      </w:pPr>
      <w:r>
        <w:t xml:space="preserve">What the metacritique targets is not the fallibilism C3 holds, and the point is documented on Habermas’s side before it is pressed from Apel’s. In 1983 Habermas records that Apel</w:t>
      </w:r>
      <w:r>
        <w:t xml:space="preserve"> </w:t>
      </w:r>
      <w:r>
        <w:t xml:space="preserve">‘</w:t>
      </w:r>
      <w:r>
        <w:t xml:space="preserve">has subjected fallibilism to an illuminating metacritique</w:t>
      </w:r>
      <w:r>
        <w:t xml:space="preserve">’</w:t>
      </w:r>
      <w:r>
        <w:t xml:space="preserve">, and he reconstructs the result himself: Apel</w:t>
      </w:r>
      <w:r>
        <w:t xml:space="preserve"> </w:t>
      </w:r>
      <w:r>
        <w:t xml:space="preserve">‘</w:t>
      </w:r>
      <w:r>
        <w:t xml:space="preserve">uncovers a performative contradiction in the objection raised by the</w:t>
      </w:r>
      <w:r>
        <w:t xml:space="preserve"> </w:t>
      </w:r>
      <w:r>
        <w:t xml:space="preserve">“</w:t>
      </w:r>
      <w:r>
        <w:t xml:space="preserve">consistent fallibilist,</w:t>
      </w:r>
      <w:r>
        <w:t xml:space="preserve">”</w:t>
      </w:r>
      <w:r>
        <w:t xml:space="preserve">’</w:t>
      </w:r>
      <w:r>
        <w:t xml:space="preserve"> </w:t>
      </w:r>
      <w:r>
        <w:t xml:space="preserve">since</w:t>
      </w:r>
      <w:r>
        <w:t xml:space="preserve"> </w:t>
      </w:r>
      <w:r>
        <w:t xml:space="preserve">‘</w:t>
      </w:r>
      <w:r>
        <w:t xml:space="preserve">even the consistent fallibilist has already accepted as valid a minimum number of unavoidable rules of criticism</w:t>
      </w:r>
      <w:r>
        <w:t xml:space="preserve">’</w:t>
      </w:r>
      <w:r>
        <w:t xml:space="preserve">.</w:t>
      </w:r>
      <w:r>
        <w:rPr>
          <w:rStyle w:val="FootnoteReference"/>
        </w:rPr>
        <w:footnoteReference w:id="129"/>
      </w:r>
      <w:r>
        <w:t xml:space="preserve"> </w:t>
      </w:r>
      <w:r>
        <w:t xml:space="preserve">The fallibilism C3 states is accordingly not the pan-critical fallibilism of Albert, Bartley and Radnitzky, which both parties reject in the same terms; it is the restriction of fallibility to</w:t>
      </w:r>
      <w:r>
        <w:t xml:space="preserve"> </w:t>
      </w:r>
      <w:r>
        <w:t xml:space="preserve">‘</w:t>
      </w:r>
      <w:r>
        <w:t xml:space="preserve">our reconstruction</w:t>
      </w:r>
      <w:r>
        <w:t xml:space="preserve">’</w:t>
      </w:r>
      <w:r>
        <w:t xml:space="preserve">, in the sentence displayed at §2.1.1, and what remains in dispute between them is whether that restriction is stable. Apel’s own line is drawn in 1975 and held thereafter: at the level of philosophical reflection one may formulate</w:t>
      </w:r>
      <w:r>
        <w:t xml:space="preserve"> </w:t>
      </w:r>
      <w:r>
        <w:t xml:space="preserve">‘</w:t>
      </w:r>
      <w:r>
        <w:t xml:space="preserve">a fallibilism proviso as virtually universal doubt with regard to the paradigmatic evidence of all possible language games, except for the philosophical language game of doubt</w:t>
      </w:r>
      <w:r>
        <w:t xml:space="preserve">’</w:t>
      </w:r>
      <w:r>
        <w:t xml:space="preserve">, and in 1992 the principle of fallibilism, which is said to hold</w:t>
      </w:r>
      <w:r>
        <w:t xml:space="preserve"> </w:t>
      </w:r>
      <w:r>
        <w:t xml:space="preserve">‘</w:t>
      </w:r>
      <w:r>
        <w:t xml:space="preserve">for all empirical and categorial knowledge-claims</w:t>
      </w:r>
      <w:r>
        <w:t xml:space="preserve">’</w:t>
      </w:r>
      <w:r>
        <w:t xml:space="preserve">,</w:t>
      </w:r>
      <w:r>
        <w:t xml:space="preserve"> </w:t>
      </w:r>
      <w:r>
        <w:t xml:space="preserve">‘</w:t>
      </w:r>
      <w:r>
        <w:t xml:space="preserve">reaches its limits, when we reflect on the necessary presuppositions of argumentative discourse</w:t>
      </w:r>
      <w:r>
        <w:t xml:space="preserve">’</w:t>
      </w:r>
      <w:r>
        <w:t xml:space="preserve">.</w:t>
      </w:r>
      <w:r>
        <w:rPr>
          <w:rStyle w:val="FootnoteReference"/>
        </w:rPr>
        <w:footnoteReference w:id="130"/>
      </w:r>
      <w:r>
        <w:t xml:space="preserve"> </w:t>
      </w:r>
      <w:r>
        <w:t xml:space="preserve">The charge against Habermas is dated between 1986 and 1989 and is aimed at the procedure §2.1.1 examines. In a note of 1986 the thought of an empirical testing of the presuppositions, which the second limb of the charge at §2.2.1 declares incoherent, is declared unintelligible, since any test would presuppose them, so that a correction of their explication</w:t>
      </w:r>
      <w:r>
        <w:t xml:space="preserve"> </w:t>
      </w:r>
      <w:r>
        <w:t xml:space="preserve">‘</w:t>
      </w:r>
      <w:r>
        <w:t xml:space="preserve">kann daher nur den Charakter einer Selbst-Korrektur haben</w:t>
      </w:r>
      <w:r>
        <w:t xml:space="preserve">’</w:t>
      </w:r>
      <w:r>
        <w:t xml:space="preserve">, can only have the character of a self-correction, and the radicality of the transcendental question is not to be relaxed</w:t>
      </w:r>
      <w:r>
        <w:t xml:space="preserve"> </w:t>
      </w:r>
      <w:r>
        <w:t xml:space="preserve">‘</w:t>
      </w:r>
      <w:r>
        <w:t xml:space="preserve">zugunsten halb empirischer und insofern schwacher transzendentaler Argumente</w:t>
      </w:r>
      <w:r>
        <w:t xml:space="preserve">’</w:t>
      </w:r>
      <w:r>
        <w:t xml:space="preserve">, in favour of half-empirical and to that extent weak transcendental arguments;</w:t>
      </w:r>
      <w:r>
        <w:rPr>
          <w:rStyle w:val="FootnoteReference"/>
        </w:rPr>
        <w:footnoteReference w:id="131"/>
      </w:r>
      <w:r>
        <w:t xml:space="preserve"> </w:t>
      </w:r>
      <w:r>
        <w:t xml:space="preserve">in the same year the principle determining the rules of discourse is denied</w:t>
      </w:r>
      <w:r>
        <w:t xml:space="preserve"> </w:t>
      </w:r>
      <w:r>
        <w:t xml:space="preserve">‘</w:t>
      </w:r>
      <w:r>
        <w:t xml:space="preserve">the status of a discursive hypothesis — only provisionally without alternatives, but essentially fallible</w:t>
      </w:r>
      <w:r>
        <w:t xml:space="preserve">’</w:t>
      </w:r>
      <w:r>
        <w:t xml:space="preserve">, and Habermas is charged with</w:t>
      </w:r>
      <w:r>
        <w:t xml:space="preserve"> </w:t>
      </w:r>
      <w:r>
        <w:t xml:space="preserve">‘</w:t>
      </w:r>
      <w:r>
        <w:t xml:space="preserve">a false modesty, understandable indeed in view of dominant relativism and skepticism</w:t>
      </w:r>
      <w:r>
        <w:t xml:space="preserve">’</w:t>
      </w:r>
      <w:r>
        <w:t xml:space="preserve">;</w:t>
      </w:r>
      <w:r>
        <w:rPr>
          <w:rStyle w:val="FootnoteReference"/>
        </w:rPr>
        <w:footnoteReference w:id="132"/>
      </w:r>
      <w:r>
        <w:t xml:space="preserve"> </w:t>
      </w:r>
      <w:r>
        <w:t xml:space="preserve">in 1989 the charge is generalised, Habermas having,</w:t>
      </w:r>
      <w:r>
        <w:t xml:space="preserve"> </w:t>
      </w:r>
      <w:r>
        <w:t xml:space="preserve">‘</w:t>
      </w:r>
      <w:r>
        <w:t xml:space="preserve">in spite of apparent reservations</w:t>
      </w:r>
      <w:r>
        <w:t xml:space="preserve">’</w:t>
      </w:r>
      <w:r>
        <w:t xml:space="preserve">,</w:t>
      </w:r>
      <w:r>
        <w:t xml:space="preserve"> </w:t>
      </w:r>
      <w:r>
        <w:t xml:space="preserve">‘</w:t>
      </w:r>
      <w:r>
        <w:rPr>
          <w:iCs/>
          <w:i/>
        </w:rPr>
        <w:t xml:space="preserve">de facto</w:t>
      </w:r>
      <w:r>
        <w:t xml:space="preserve"> </w:t>
      </w:r>
      <w:r>
        <w:t xml:space="preserve">accepted the unrestricted and thus self-applicable principle of fallibilism held by the late Popperians</w:t>
      </w:r>
      <w:r>
        <w:t xml:space="preserve">’</w:t>
      </w:r>
      <w:r>
        <w:t xml:space="preserve">, the presuppositions being</w:t>
      </w:r>
      <w:r>
        <w:t xml:space="preserve"> </w:t>
      </w:r>
      <w:r>
        <w:t xml:space="preserve">‘</w:t>
      </w:r>
      <w:r>
        <w:t xml:space="preserve">necessary and universally valid only insofar as they have proven themselves up to now to be without alternatives</w:t>
      </w:r>
      <w:r>
        <w:t xml:space="preserve">’</w:t>
      </w:r>
      <w:r>
        <w:t xml:space="preserve">.</w:t>
      </w:r>
      <w:r>
        <w:rPr>
          <w:rStyle w:val="FootnoteReference"/>
        </w:rPr>
        <w:footnoteReference w:id="133"/>
      </w:r>
      <w:r>
        <w:t xml:space="preserve"> </w:t>
      </w:r>
      <w:r>
        <w:t xml:space="preserve">The sharpest statement stands in a note of the same essay, and it turns the instrument §2.1.1 fixes against the restriction C3 draws: the philosophical statements which explicate fallibilism can be corrected as explications,</w:t>
      </w:r>
      <w:r>
        <w:t xml:space="preserve"> </w:t>
      </w:r>
      <w:r>
        <w:t xml:space="preserve">‘</w:t>
      </w:r>
      <w:r>
        <w:t xml:space="preserve">But they are infallible precisely insofar as they state necessary presuppositions of the principle of fallibilism</w:t>
      </w:r>
      <w:r>
        <w:t xml:space="preserve">’</w:t>
      </w:r>
      <w:r>
        <w:t xml:space="preserve">; and of Habermas’s sentence of 1986 that</w:t>
      </w:r>
      <w:r>
        <w:t xml:space="preserve"> </w:t>
      </w:r>
      <w:r>
        <w:t xml:space="preserve">‘</w:t>
      </w:r>
      <w:r>
        <w:t xml:space="preserve">There are no meta-discourses in the sense that a higher discourse is able to prescribe rules for a subordinate discourse. Argumentation games do not form a hierarchy</w:t>
      </w:r>
      <w:r>
        <w:t xml:space="preserve">’</w:t>
      </w:r>
      <w:r>
        <w:t xml:space="preserve">, Apel asks:</w:t>
      </w:r>
      <w:r>
        <w:t xml:space="preserve"> </w:t>
      </w:r>
      <w:r>
        <w:t xml:space="preserve">‘</w:t>
      </w:r>
      <w:r>
        <w:t xml:space="preserve">Might he have noticed that this sentence claims exactly what he denies and thus that he falls into a performative self-contradiction?</w:t>
      </w:r>
      <w:r>
        <w:t xml:space="preserve">’</w:t>
      </w:r>
      <w:r>
        <w:rPr>
          <w:rStyle w:val="FootnoteReference"/>
        </w:rPr>
        <w:footnoteReference w:id="134"/>
      </w:r>
    </w:p>
    <w:p>
      <w:pPr>
        <w:pStyle w:val="BodyText"/>
      </w:pPr>
      <w:r>
        <w:t xml:space="preserve">Habermas’s reply, in 1991, proceeds by redescription and not by refutation. Under Apel’s transformation of philosophy, transcendental reflection is said to uncover a realm of knowledge</w:t>
      </w:r>
      <w:r>
        <w:t xml:space="preserve"> </w:t>
      </w:r>
      <w:r>
        <w:t xml:space="preserve">‘</w:t>
      </w:r>
      <w:r>
        <w:t xml:space="preserve">which, itself infallible, accounts for the presuppositions of fallibilism and thereby satisfies the conditions of an ultimate grounding</w:t>
      </w:r>
      <w:r>
        <w:t xml:space="preserve">’</w:t>
      </w:r>
      <w:r>
        <w:t xml:space="preserve">; the talk of ultimate justification</w:t>
      </w:r>
      <w:r>
        <w:t xml:space="preserve"> </w:t>
      </w:r>
      <w:r>
        <w:t xml:space="preserve">‘</w:t>
      </w:r>
      <w:r>
        <w:t xml:space="preserve">suggests a residual foundationalism limited to the analysis of transcendental conditions</w:t>
      </w:r>
      <w:r>
        <w:t xml:space="preserve">’</w:t>
      </w:r>
      <w:r>
        <w:t xml:space="preserve">, and philosophy becomes</w:t>
      </w:r>
      <w:r>
        <w:t xml:space="preserve"> </w:t>
      </w:r>
      <w:r>
        <w:t xml:space="preserve">‘</w:t>
      </w:r>
      <w:r>
        <w:t xml:space="preserve">the final haven of certainties that are otherwise unavailable on the assumptions of a generalized fallibilism</w:t>
      </w:r>
      <w:r>
        <w:t xml:space="preserve">’</w:t>
      </w:r>
      <w:r>
        <w:t xml:space="preserve"> </w:t>
      </w:r>
      <w:r>
        <w:t xml:space="preserve">— in the German,</w:t>
      </w:r>
      <w:r>
        <w:t xml:space="preserve"> </w:t>
      </w:r>
      <w:r>
        <w:t xml:space="preserve">‘</w:t>
      </w:r>
      <w:r>
        <w:t xml:space="preserve">unter dem allgemein gewordenen Fallibilismusvorbehalt</w:t>
      </w:r>
      <w:r>
        <w:t xml:space="preserve">’</w:t>
      </w:r>
      <w:r>
        <w:t xml:space="preserve">, under a fallibilism proviso become general, the proviso being Apel’s word of 1975 before it is Habermas’s. The refusal rests on one ground, that</w:t>
      </w:r>
      <w:r>
        <w:t xml:space="preserve"> </w:t>
      </w:r>
      <w:r>
        <w:t xml:space="preserve">‘</w:t>
      </w:r>
      <w:r>
        <w:t xml:space="preserve">there is no hierarchical gradation between discourses and corresponding metadiscourses</w:t>
      </w:r>
      <w:r>
        <w:t xml:space="preserve">’</w:t>
      </w:r>
      <w:r>
        <w:t xml:space="preserve">, and it concludes that an ultimate justification of ethics</w:t>
      </w:r>
      <w:r>
        <w:t xml:space="preserve"> </w:t>
      </w:r>
      <w:r>
        <w:t xml:space="preserve">‘</w:t>
      </w:r>
      <w:r>
        <w:t xml:space="preserve">is neither possible nor necessary</w:t>
      </w:r>
      <w:r>
        <w:t xml:space="preserve">’</w:t>
      </w:r>
      <w:r>
        <w:t xml:space="preserve">.</w:t>
      </w:r>
      <w:r>
        <w:rPr>
          <w:rStyle w:val="FootnoteReference"/>
        </w:rPr>
        <w:footnoteReference w:id="135"/>
      </w:r>
      <w:r>
        <w:t xml:space="preserve"> </w:t>
      </w:r>
      <w:r>
        <w:t xml:space="preserve">The ground is aimed at a hierarchy Apel had disclaimed in the parenthesis which precedes, on the same page, the sentence of 1975 quoted above, what he claims being that two classes of statement differ in principle and not that discourses form a ladder, so that the reply of 1991 meets the note of 1989 at one point only, the no-hierarchy sentence which the note charges with self-contradiction, and meets it by restating the sentence.</w:t>
      </w:r>
    </w:p>
    <w:p>
      <w:pPr>
        <w:pStyle w:val="BodyText"/>
      </w:pPr>
      <w:r>
        <w:t xml:space="preserve">The replies of 1983 and of 2003 bracket that of 1991. In 1983 Habermas credits Apel with having found in argumentation as such a reference point as basic to the analysis of unavoidable rules as the</w:t>
      </w:r>
      <w:r>
        <w:t xml:space="preserve"> </w:t>
      </w:r>
      <w:r>
        <w:t xml:space="preserve">‘</w:t>
      </w:r>
      <w:r>
        <w:t xml:space="preserve">I think</w:t>
      </w:r>
      <w:r>
        <w:t xml:space="preserve">’</w:t>
      </w:r>
      <w:r>
        <w:t xml:space="preserve"> </w:t>
      </w:r>
      <w:r>
        <w:t xml:space="preserve">is to the philosophy of reflection, and diagnoses the counter-programme’s claim later in the same essay: Apel</w:t>
      </w:r>
      <w:r>
        <w:t xml:space="preserve"> </w:t>
      </w:r>
      <w:r>
        <w:t xml:space="preserve">‘</w:t>
      </w:r>
      <w:r>
        <w:t xml:space="preserve">bases the transcendental-pragmatic claim to ultimate justification, if I understand him correctly, on the equation of propositional truth with the experience of certitude</w:t>
      </w:r>
      <w:r>
        <w:t xml:space="preserve">’</w:t>
      </w:r>
      <w:r>
        <w:t xml:space="preserve">, an equation possible, he continues, only on the premises of a philosophy of consciousness. Apel disowns the grounds the diagnosis imputes to him, and the diagnosis is entered as his and not as a verdict; it is adjudicated, with the disavowal, at Chapter Three §3.2.4.</w:t>
      </w:r>
      <w:r>
        <w:rPr>
          <w:rStyle w:val="FootnoteReference"/>
        </w:rPr>
        <w:footnoteReference w:id="136"/>
      </w:r>
      <w:r>
        <w:t xml:space="preserve"> </w:t>
      </w:r>
      <w:r>
        <w:t xml:space="preserve">In the reply of 2003 Habermas records that the universal validity of (U) is</w:t>
      </w:r>
      <w:r>
        <w:t xml:space="preserve"> </w:t>
      </w:r>
      <w:r>
        <w:t xml:space="preserve">‘</w:t>
      </w:r>
      <w:r>
        <w:t xml:space="preserve">derived</w:t>
      </w:r>
      <w:r>
        <w:t xml:space="preserve">’</w:t>
      </w:r>
      <w:r>
        <w:t xml:space="preserve">, the verb standing in his own quotation marks, from the content of the presuppositions of argumentation, and, as Chapter Three §3.1.2 displays, that in this he follows Apel’s nondeductive model of justification by the uncovering of a sceptic’s performative contradictions; and he locates the disagreement in one sentence:</w:t>
      </w:r>
      <w:r>
        <w:t xml:space="preserve"> </w:t>
      </w:r>
      <w:r>
        <w:t xml:space="preserve">‘</w:t>
      </w:r>
      <w:r>
        <w:t xml:space="preserve">The point of contention between Apel and me is not this justification move but its status in a nonfoundational game of justification.</w:t>
      </w:r>
      <w:r>
        <w:t xml:space="preserve">’</w:t>
      </w:r>
      <w:r>
        <w:t xml:space="preserve"> </w:t>
      </w:r>
      <w:r>
        <w:t xml:space="preserve">Nine pages later the status is fixed. The transcendental-pragmatic argument, to which Apel accords the role of an ultimate justification,</w:t>
      </w:r>
      <w:r>
        <w:t xml:space="preserve"> </w:t>
      </w:r>
      <w:r>
        <w:t xml:space="preserve">‘</w:t>
      </w:r>
      <w:r>
        <w:t xml:space="preserve">has in reality the status of a presumptively infallible, and at any rate discursively nontestable, reassurance. If it were an argument, it would be located in a linguistic context that offers as many opportunities for criticism as it has facets.</w:t>
      </w:r>
      <w:r>
        <w:t xml:space="preserve">’</w:t>
      </w:r>
      <w:r>
        <w:rPr>
          <w:rStyle w:val="FootnoteReference"/>
        </w:rPr>
        <w:footnoteReference w:id="137"/>
      </w:r>
      <w:r>
        <w:t xml:space="preserve"> </w:t>
      </w:r>
      <w:r>
        <w:t xml:space="preserve">What Habermas denies the transcendental-pragmatic argument, so long as it is accorded Apel’s role, is the standing of an argument at all: what remains is a reassurance, presumptively infallible and discursively untestable. The refusal has a constructive counterpart in the theory of meaning: Habermas takes over Peirce’s triadic conception of the sign as it stands and orders the plurality of games by the double structure of the speech act, expounded at Chapter One §1.2.1, rather than by a game of higher order, declining not the unavailability of an exterior, which he affirms, but the inference from that unavailability to a transcendental standing for what is exhibited within it.</w:t>
      </w:r>
      <w:r>
        <w:rPr>
          <w:rStyle w:val="FootnoteReference"/>
        </w:rPr>
        <w:footnoteReference w:id="138"/>
      </w:r>
    </w:p>
    <w:bookmarkEnd w:id="139"/>
    <w:bookmarkStart w:id="149" w:name="Xe37aafea4bf9ebce6120150b46f79e6f19d8186"/>
    <w:p>
      <w:pPr>
        <w:pStyle w:val="Heading3"/>
      </w:pPr>
      <w:r>
        <w:t xml:space="preserve">§2.2.3 · The adjudication: the space immanence leaves, the yield-question, and what the critique establishes</w:t>
      </w:r>
    </w:p>
    <w:p>
      <w:pPr>
        <w:pStyle w:val="FirstParagraph"/>
      </w:pPr>
      <w:r>
        <w:t xml:space="preserve">The first front is met by a distinction. The inference to a transcendental language game conflates two claims, and only one of them is carried by the argument from which they are drawn. The claim that there is no position outside the language game from which its norms might be affirmed or denied is established by the rule-following considerations so far as they reach, what they exclude being a standpoint answerable to no practice whatever and not a standpoint taken within some other practice; the claim that the game whose norms cannot be denied from outside is therefore</w:t>
      </w:r>
      <w:r>
        <w:t xml:space="preserve"> </w:t>
      </w:r>
      <w:r>
        <w:rPr>
          <w:iCs/>
          <w:i/>
        </w:rPr>
        <w:t xml:space="preserve">transcendental</w:t>
      </w:r>
      <w:r>
        <w:t xml:space="preserve">, its rules stating conditions of possibility rather than the constitutive features of one historically achieved practice, is a further claim, which the argument from the impossibility of a private language does not reach. Nor is it carried by the question in which game the thesis of plurality is advanced: that question convicts the pluralist of claiming a reach his thesis denies, an exhibition within the practice in which he argues, and what it yields, on the ground §2.1.1 gives, is a result in the deed, not the proposition that the game so exhibited is transcendental. A practice may be inescapable and still be a practice; what excludes the alternative is not shown by the impossibility of getting behind the practice in order to look. The distinction between an inescapability of that kind and a transcendental necessity is what the modal dispute of this section and of Chapter Three turns upon, and it is drawn in the philosophy of language, before any question of ethics arises.</w:t>
      </w:r>
    </w:p>
    <w:p>
      <w:pPr>
        <w:pStyle w:val="BodyText"/>
      </w:pPr>
      <w:r>
        <w:t xml:space="preserve">The replies entered against the three limbs are offered on the programme’s behalf and not drawn from it, and the second is taken first. It is conceded, under a restriction which is the whole of the concession: no empirical finding could confirm or disconfirm the presuppositions</w:t>
      </w:r>
      <w:r>
        <w:t xml:space="preserve"> </w:t>
      </w:r>
      <w:r>
        <w:rPr>
          <w:iCs/>
          <w:i/>
        </w:rPr>
        <w:t xml:space="preserve">as enacted</w:t>
      </w:r>
      <w:r>
        <w:t xml:space="preserve">, and the procedure Habermas describes asks none to. What the three criteria certify is the articulation, the hypothetical elements being the two he himself lodges in substeps (2b) and (2c), and no empirical finding bears upon the presuppositions as enacted in either direction, not because corroboration is weak but because an enactment is not the kind of item a finding confirms or refutes; the criteria so construed are no test of the presuppositions but a constraint upon their statement, and the incoherence Apel alleges does not arise. The first limb is met by relocating the line it demands rather than by drawing it: on the categorial premise (§2.1.1), what is reconstructed fallibly is the</w:t>
      </w:r>
      <w:r>
        <w:t xml:space="preserve"> </w:t>
      </w:r>
      <w:r>
        <w:rPr>
          <w:iCs/>
          <w:i/>
        </w:rPr>
        <w:t xml:space="preserve">Was</w:t>
      </w:r>
      <w:r>
        <w:t xml:space="preserve"> </w:t>
      </w:r>
      <w:r>
        <w:t xml:space="preserve">and what is exhibited elenctically is the</w:t>
      </w:r>
      <w:r>
        <w:t xml:space="preserve"> </w:t>
      </w:r>
      <w:r>
        <w:rPr>
          <w:iCs/>
          <w:i/>
        </w:rPr>
        <w:t xml:space="preserve">Dass</w:t>
      </w:r>
      <w:r>
        <w:t xml:space="preserve">, and Apel’s distinction between two kinds of reconstruction is thereby declined, not granted; that answer is available to a reconstruction of the programme and not, without more, to its letter, since Habermas nowhere draws the line in Apel’s terms, so that against the letter the charge holds as a demand rather than a refutation. The third limb alleges a conflation of categories which is a fault in an argument and not in an author, and it would succeed if the two offices were distinguished by their manner; they are not, stand-in and usher being separated by finality against provisionality, a term of method which carries no sociology with it, and what Apel has identified is narrower, that the doctrine’s usual statements foreground the posture and leave the methodological content to be supplied, which is C3’s office.</w:t>
      </w:r>
      <w:r>
        <w:rPr>
          <w:rStyle w:val="FootnoteReference"/>
        </w:rPr>
        <w:footnoteReference w:id="140"/>
      </w:r>
    </w:p>
    <w:p>
      <w:pPr>
        <w:pStyle w:val="BodyText"/>
      </w:pPr>
      <w:r>
        <w:t xml:space="preserve">Apel’s defence of the performative locus is met in the same way. The distinction is correct and is adopted; the inference drawn from it is not. What the performative locus would secure, on the ground §2.1.1 states and within the limit C3 enters, is that an arguer cannot, while arguing, repudiate what arguing requires, an operative irrefutability in the sense C3 fixes and §2.1.1 grounds; what it does not secure is the propositional claim that the presuppositions so exhibited are the presuppositions of argument as such, a claim made in a proposition, by a theorist, which stands under whatever fallibility propositions stand under. The asymmetry between an enacted</w:t>
      </w:r>
      <w:r>
        <w:t xml:space="preserve"> </w:t>
      </w:r>
      <w:r>
        <w:rPr>
          <w:iCs/>
          <w:i/>
        </w:rPr>
        <w:t xml:space="preserve">Dass</w:t>
      </w:r>
      <w:r>
        <w:t xml:space="preserve"> </w:t>
      </w:r>
      <w:r>
        <w:t xml:space="preserve">and its propositional articulation therefore tells, in this application, against the philosopher from whom it is taken. Nothing in this shows the reconstruction false; the conclusion is that its warrant cannot be of the kind the reconstruction itself supplies, since a claim about what cannot be repudiated in performance is not established by a description of performances, however competent, and what an exhibition which the one addressed carries out establishes is of another kind, so that the claim about the type is warranted on neither route, which is the first interval of the deficit (§2.1.5). The exhibition so named shares its grammar with Apel’s</w:t>
      </w:r>
      <w:r>
        <w:t xml:space="preserve"> </w:t>
      </w:r>
      <w:r>
        <w:rPr>
          <w:iCs/>
          <w:i/>
        </w:rPr>
        <w:t xml:space="preserve">Aufweis</w:t>
      </w:r>
      <w:r>
        <w:t xml:space="preserve">, the exhibition he sets apart from demonstration, and parts from it at the yield: what the addressee’s own performance establishes is operative and indexed to the occasion of its enactment, and the elenctic route claims nothing propositional from it in the theorist’s person, where the transcendental-pragmatic route reads a</w:t>
      </w:r>
      <w:r>
        <w:t xml:space="preserve"> </w:t>
      </w:r>
      <w:r>
        <w:rPr>
          <w:iCs/>
          <w:i/>
        </w:rPr>
        <w:t xml:space="preserve">Letztbegründung</w:t>
      </w:r>
      <w:r>
        <w:t xml:space="preserve"> </w:t>
      </w:r>
      <w:r>
        <w:t xml:space="preserve">off the same exhibition. Nor is that reading rescued, so far as reconstructive science reaches, by taking the propositions of strict reflection for the enactment’s own self-explication rather than a description of it, since an explication put to the tests of recognition and counterexample stands under them whatever its parentage, and neither test discriminates the modality claimed for it (§2.1.1); whether an explication reached by strict reflection may claim an exemption from the tests is taken up below, where the two restrictions are compared. The elenctic route is the one this argument leaves standing, and Chapter Three takes it up at §3.3 as a route in its own right and not as a repair offered to Habermas.</w:t>
      </w:r>
    </w:p>
    <w:p>
      <w:pPr>
        <w:pStyle w:val="BodyText"/>
      </w:pPr>
      <w:r>
        <w:t xml:space="preserve">What the replies leave standing is reached most directly through the three commitments, by asking whether fallibilism follows from immanence. Reconstructivism carries immanence with it, the entailment being conceptual and grounded in the requirement, Habermas’s own under C2, that the interpreter take up a participant’s perspective: a reconstructive science cannot conduct its reconstruction from a standpoint transcending the practices whose structure it renders explicit, since the dimension it reconstructs is the dimension of validity, and validity is accessible only from within the performative attitude. The claim is one of access and not of warrant. Were the object a competence whose deliverances could be exhaustively specified in non-normative terms, an observational route might be open; the object of formal-pragmatic reconstruction is the capacity to raise criticisable validity-claims and to discriminate the reasons which would redeem them, and that capacity cannot be reconstructed without reconstructing the validity-dimension which is its point, so that the entailment is conditional upon the normativity of the reconstructed object. It is the formal-pragmatic version of the repudiation of an extra-practical standpoint which Apel presses against methodological solipsism, and that repudiation is what the counterexample below depends upon.</w:t>
      </w:r>
    </w:p>
    <w:p>
      <w:pPr>
        <w:pStyle w:val="BodyText"/>
      </w:pPr>
      <w:r>
        <w:t xml:space="preserve">The passage from immanence to fallibilism does not hold, and showing this is not the examination of an inference Habermas states as such. The diagnosis of 1983 displayed at §2.2.2 is the nearest candidate, an argument from the pragmatic turn to the standing of what is claimed within it. In the loci examined the inference from immanence to fallibilism is nowhere stated as premise and conclusion; where</w:t>
      </w:r>
      <w:r>
        <w:t xml:space="preserve"> </w:t>
      </w:r>
      <w:r>
        <w:rPr>
          <w:iCs/>
          <w:i/>
        </w:rPr>
        <w:t xml:space="preserve">Theory of Communicative Action</w:t>
      </w:r>
      <w:r>
        <w:t xml:space="preserve"> </w:t>
      </w:r>
      <w:r>
        <w:t xml:space="preserve">opens, the two stand within two pages of each other, connected across those pages by no inference, an expression meeting the precondition of rationality when it embodies knowledge which is fallible and therewith open to objective assessment, and it being constitutive of an utterance’s rationality that the speaker raises a criticisable validity claim.</w:t>
      </w:r>
      <w:r>
        <w:rPr>
          <w:rStyle w:val="FootnoteReference"/>
        </w:rPr>
        <w:footnoteReference w:id="141"/>
      </w:r>
      <w:r>
        <w:t xml:space="preserve"> </w:t>
      </w:r>
      <w:r>
        <w:t xml:space="preserve">Fallibility is not derived from criticisability; the two are given together. A sentence of the afterword of 2022 reads as though fallibilism were derived from detranscendentalisation, the detranscendentalisation of Kant’s moral theory meaning, beyond the surrender of the epistemic force of a priori insight,</w:t>
      </w:r>
      <w:r>
        <w:t xml:space="preserve"> </w:t>
      </w:r>
      <w:r>
        <w:t xml:space="preserve">‘</w:t>
      </w:r>
      <w:r>
        <w:t xml:space="preserve">die Anerkennung der Fallibilität von Ergebnissen einer diskursiven Willensbildung</w:t>
      </w:r>
      <w:r>
        <w:t xml:space="preserve">’</w:t>
      </w:r>
      <w:r>
        <w:t xml:space="preserve">;</w:t>
      </w:r>
      <w:r>
        <w:rPr>
          <w:rStyle w:val="FootnoteReference"/>
        </w:rPr>
        <w:footnoteReference w:id="142"/>
      </w:r>
      <w:r>
        <w:t xml:space="preserve"> </w:t>
      </w:r>
      <w:r>
        <w:t xml:space="preserve">its scope is the results of will-formation, claims raised and decided within the practice, and what it derives is the fallibility of what autonomous subjects decide in discourse, which no party disputes, and not C3. To hold that no standpoint outside discursive practice is available, and to hold that every claim raised within it remains open to revision, are accordingly not two theses Habermas connects but one thesis about what it is for anything to count as a validity claim. What that thesis does not contain is C3, which concerns not the claims raised within the practice but the reconstruction of what the raising presupposes; whether that yield inherits the fallibility of what is raised is the question which follows, and it is open because the presuppositions are not themselves validity claims in Habermas’s sense. Habermas’s ground for immanence is the unavailability of an external court before which a claim’s fitness might be certified independently of its being raised, contested and redeemed within the practice; that ground forecloses a standpoint</w:t>
      </w:r>
      <w:r>
        <w:t xml:space="preserve"> </w:t>
      </w:r>
      <w:r>
        <w:rPr>
          <w:iCs/>
          <w:i/>
        </w:rPr>
        <w:t xml:space="preserve">external</w:t>
      </w:r>
      <w:r>
        <w:t xml:space="preserve"> </w:t>
      </w:r>
      <w:r>
        <w:t xml:space="preserve">to practice and leaves untouched a possibility lying between such a standpoint and the bare claim that nothing internal could be apodictic, an internal and reflexive apodictic grounding, executed from within argumentation by a strict reflection upon what any denial of a condition performatively enacts. To rule it out requires the stronger premise that no apodictic grounding of any kind is available, internal or external, a premise which is critical rationalism’s on the reading proposed and which exceeds the ground Habermas states.</w:t>
      </w:r>
    </w:p>
    <w:p>
      <w:pPr>
        <w:pStyle w:val="BodyText"/>
      </w:pPr>
      <w:r>
        <w:t xml:space="preserve">Apel occupies that space. He affirms immanence in Habermas’s own sense, so far as that sense is the unavailability of an exterior, holding that no position outside the transcendental language-game is available from which its norms could be affirmed or negated (§2.2.1); he does not affirm it as the standpoint of a reconstruction whose yield is graded hypothetical, which is what the commitment is in Habermas’s method (§2.1). Where the two part is over what falls within it. Habermas’s criticisable validity claim is something a speaker</w:t>
      </w:r>
      <w:r>
        <w:t xml:space="preserve"> </w:t>
      </w:r>
      <w:r>
        <w:rPr>
          <w:iCs/>
          <w:i/>
        </w:rPr>
        <w:t xml:space="preserve">raises</w:t>
      </w:r>
      <w:r>
        <w:t xml:space="preserve">, a determinate proposition put forward for a hearer’s acceptance or rejection, revisable because that is what putting something forward for acceptance or rejection means; what Apel’s transcendental-pragmatic</w:t>
      </w:r>
      <w:r>
        <w:t xml:space="preserve"> </w:t>
      </w:r>
      <w:r>
        <w:rPr>
          <w:iCs/>
          <w:i/>
        </w:rPr>
        <w:t xml:space="preserve">Aufweis</w:t>
      </w:r>
      <w:r>
        <w:t xml:space="preserve"> </w:t>
      </w:r>
      <w:r>
        <w:t xml:space="preserve">discloses is not a claim of that kind but the condition of there being any claim-raising at all, the reciprocal structure a speaker and hearer must already occupy for anything to be put forward as acceptable-or-rejectable, which on his account is not itself raised for acceptance or rejection but exhibited in the raising. Apel’s position is accordingly not a denial of Habermas’s thesis that validity claims are constitutively fallible; it is the claim that not everything operative within discursive practice is a validity claim in that sense. Whether that claim is sound is what the categorial premise §2.1.1 states exists to test, and nothing in this section anticipates the result: what the counterexample requires is narrower than truth, since an entailment is defeated by a position which affirms its antecedent and denies its consequent without contradiction, and Apel’s architecture shows the position to be consistent, unless the diagnosis of 1983 recorded at §2.2.2 succeeds, which is not taken for a verdict. The counterexample reaches C3 itself, and not the presuppositions alone, because Apel withholds fallibility also from the explication which states them, so far as it adequately explicates the performative evidence, a proviso which makes the certainty of the explication conditional upon an adequacy the explication does not itself certify; and a position which withholds fallibility from a class of explications withholds it still, whatever it concedes of each formulation, as Apel concedes in the passage Chapter Three §3.2.3 displays.</w:t>
      </w:r>
    </w:p>
    <w:p>
      <w:pPr>
        <w:pStyle w:val="BodyText"/>
      </w:pPr>
      <w:r>
        <w:t xml:space="preserve">The counterexample is strengthened, and the disagreement narrowed, by the architecture Apel gives his own ethics, whose terms are taken as he states them. In</w:t>
      </w:r>
      <w:r>
        <w:t xml:space="preserve"> </w:t>
      </w:r>
      <w:r>
        <w:rPr>
          <w:iCs/>
          <w:i/>
        </w:rPr>
        <w:t xml:space="preserve">Teil A</w:t>
      </w:r>
      <w:r>
        <w:t xml:space="preserve"> </w:t>
      </w:r>
      <w:r>
        <w:t xml:space="preserve">the principle of ethics is to be anchored, in accordance with the intention of a transcendental-pragmatic ultimate grounding, in the ideal communication community which any arguer indisputably presupposes and counterfactually anticipates; in</w:t>
      </w:r>
      <w:r>
        <w:t xml:space="preserve"> </w:t>
      </w:r>
      <w:r>
        <w:rPr>
          <w:iCs/>
          <w:i/>
        </w:rPr>
        <w:t xml:space="preserve">Teil B</w:t>
      </w:r>
      <w:r>
        <w:t xml:space="preserve"> </w:t>
      </w:r>
      <w:r>
        <w:t xml:space="preserve">the task is to take express account of the counterfactual character of that necessary anticipation, as a problem for an ethics of responsibility related to history.</w:t>
      </w:r>
      <w:r>
        <w:rPr>
          <w:rStyle w:val="FootnoteReference"/>
        </w:rPr>
        <w:footnoteReference w:id="143"/>
      </w:r>
      <w:r>
        <w:t xml:space="preserve"> </w:t>
      </w:r>
      <w:r>
        <w:t xml:space="preserve">Two precisions follow from his own terms:</w:t>
      </w:r>
      <w:r>
        <w:t xml:space="preserve"> </w:t>
      </w:r>
      <w:r>
        <w:rPr>
          <w:iCs/>
          <w:i/>
        </w:rPr>
        <w:t xml:space="preserve">Teil B</w:t>
      </w:r>
      <w:r>
        <w:t xml:space="preserve"> </w:t>
      </w:r>
      <w:r>
        <w:t xml:space="preserve">is itself a part of the</w:t>
      </w:r>
      <w:r>
        <w:t xml:space="preserve"> </w:t>
      </w:r>
      <w:r>
        <w:rPr>
          <w:iCs/>
          <w:i/>
        </w:rPr>
        <w:t xml:space="preserve">grounding</w:t>
      </w:r>
      <w:r>
        <w:t xml:space="preserve">, a</w:t>
      </w:r>
      <w:r>
        <w:t xml:space="preserve"> </w:t>
      </w:r>
      <w:r>
        <w:rPr>
          <w:iCs/>
          <w:i/>
        </w:rPr>
        <w:t xml:space="preserve">Begründungsteil</w:t>
      </w:r>
      <w:r>
        <w:t xml:space="preserve">, and not the counterpart to grounding, and Apel distinguishes its problem, the history-related application of the ethics of communication, from the familiar problem of applying moral norms. Apel therefore occupies the space the inference denies, and occupies it where the inference denies it, affirming immanence, withholding fallibility from what claim-raising presupposes, and locating the residue of contingency in a second part of the grounding, so that the disagreement stands exhibited as one about</w:t>
      </w:r>
      <w:r>
        <w:t xml:space="preserve"> </w:t>
      </w:r>
      <w:r>
        <w:rPr>
          <w:iCs/>
          <w:i/>
        </w:rPr>
        <w:t xml:space="preserve">where a restriction falls</w:t>
      </w:r>
      <w:r>
        <w:t xml:space="preserve"> </w:t>
      </w:r>
      <w:r>
        <w:t xml:space="preserve">rather than about whether there is one. He withholds his strongest predicate at one point, in the case of experimental action and by contrast with the existence of language, in the sentence the note displays;</w:t>
      </w:r>
      <w:r>
        <w:rPr>
          <w:rStyle w:val="FootnoteReference"/>
        </w:rPr>
        <w:footnoteReference w:id="144"/>
      </w:r>
      <w:r>
        <w:t xml:space="preserve"> </w:t>
      </w:r>
      <w:r>
        <w:t xml:space="preserve">the passage does not show the restriction to be warranted, but records that the party who withholds fallibility from the presuppositions of argument himself marks where his own certainties end, and marks it within his own position and not along a scale joining it to Habermas’s.</w:t>
      </w:r>
    </w:p>
    <w:p>
      <w:pPr>
        <w:pStyle w:val="BodyText"/>
      </w:pPr>
      <w:r>
        <w:t xml:space="preserve">Why, then, should Habermas hold fallibilism at all, if immanence does not entail it? Because reconstructions are, on his own account at MCCA 32, theoretical knowledge, and stand under the tests such knowledge stands under: the commitment is substantive, a considered position answerable to reasons, and not a deduction from immanence. A reading of a connective corroborates this without being a premise the argument requires: the three characteristics of reconstructions Habermas notes, a critical function, a constructive role and the standing of a theoretical knowledge which competes with knowledge of other kinds, are what has</w:t>
      </w:r>
      <w:r>
        <w:t xml:space="preserve"> </w:t>
      </w:r>
      <w:r>
        <w:t xml:space="preserve">‘</w:t>
      </w:r>
      <w:r>
        <w:t xml:space="preserve">occasionally led philosophers to burden certain reconstructions with claims to ultimate justification</w:t>
      </w:r>
      <w:r>
        <w:t xml:space="preserve">’</w:t>
      </w:r>
      <w:r>
        <w:t xml:space="preserve">, and he concludes,</w:t>
      </w:r>
      <w:r>
        <w:t xml:space="preserve"> </w:t>
      </w:r>
      <w:r>
        <w:t xml:space="preserve">‘</w:t>
      </w:r>
      <w:r>
        <w:rPr>
          <w:iCs/>
          <w:i/>
        </w:rPr>
        <w:t xml:space="preserve">For this reason</w:t>
      </w:r>
      <w:r>
        <w:t xml:space="preserve"> </w:t>
      </w:r>
      <w:r>
        <w:t xml:space="preserve">it is important to see</w:t>
      </w:r>
      <w:r>
        <w:t xml:space="preserve">’</w:t>
      </w:r>
      <w:r>
        <w:t xml:space="preserve"> </w:t>
      </w:r>
      <w:r>
        <w:t xml:space="preserve">that all rational reconstructions have hypothetical status only.</w:t>
      </w:r>
      <w:r>
        <w:rPr>
          <w:rStyle w:val="FootnoteReference"/>
        </w:rPr>
        <w:footnoteReference w:id="145"/>
      </w:r>
      <w:r>
        <w:t xml:space="preserve"> </w:t>
      </w:r>
      <w:r>
        <w:t xml:space="preserve">What the connective supplies is a danger against which the hypothetical status must be insisted upon, and no premise from which it follows. The objection that would defeat C3, that unrestricted fallibilism must apply to itself, does not reach a fallibilism restricted to the reconstruction (§2.2.2), and the form it takes against Kuhlmann is adjudicated at Chapter Three §3.3.3.</w:t>
      </w:r>
      <w:r>
        <w:rPr>
          <w:rStyle w:val="FootnoteReference"/>
        </w:rPr>
        <w:footnoteReference w:id="146"/>
      </w:r>
    </w:p>
    <w:p>
      <w:pPr>
        <w:pStyle w:val="BodyText"/>
      </w:pPr>
      <w:r>
        <w:t xml:space="preserve">C3 stands to C1 and C2, then, in a relation close enough to be mistaken for entailment without being one, and the relation leaves open a question which entailment would have closed. Jointly, C1 and C2 leave open a question they cannot themselves decide, and it is the question on which Apel’s critique turns, the yield-question: granted that reconstruction proceeds immanently and reflexively, what modal status, if any, does it confer upon the presuppositions it exhibits? Two answers are available to parties who share the result of the argument from performative self-contradiction, each coherent and each immanent, Habermas’s that the reflexive</w:t>
      </w:r>
      <w:r>
        <w:t xml:space="preserve"> </w:t>
      </w:r>
      <w:r>
        <w:rPr>
          <w:iCs/>
          <w:i/>
        </w:rPr>
        <w:t xml:space="preserve">Aufweis</w:t>
      </w:r>
      <w:r>
        <w:t xml:space="preserve"> </w:t>
      </w:r>
      <w:r>
        <w:t xml:space="preserve">yields no more than fallible reconstruction, Apel’s that some evidence must be withheld from the assumption of possible falsity; C3 is the Habermas-side resolution, and Heath fixes the same division at the level of the grounding strategy.</w:t>
      </w:r>
      <w:r>
        <w:rPr>
          <w:rStyle w:val="FootnoteReference"/>
        </w:rPr>
        <w:footnoteReference w:id="147"/>
      </w:r>
      <w:r>
        <w:t xml:space="preserve"> </w:t>
      </w:r>
      <w:r>
        <w:t xml:space="preserve">To frame the yield-question is to record that the two parties disagree over the modal status of the</w:t>
      </w:r>
      <w:r>
        <w:t xml:space="preserve"> </w:t>
      </w:r>
      <w:r>
        <w:rPr>
          <w:iCs/>
          <w:i/>
        </w:rPr>
        <w:t xml:space="preserve">Aufweis</w:t>
      </w:r>
      <w:r>
        <w:t xml:space="preserve">, and not to assert the matter objectively undetermined; the objection that the framing begs the question mistakes dialectical for ontological openness. A third answer, constructed for the purpose and attributed to no critic, is available and is not taken: that the reflexive</w:t>
      </w:r>
      <w:r>
        <w:t xml:space="preserve"> </w:t>
      </w:r>
      <w:r>
        <w:rPr>
          <w:iCs/>
          <w:i/>
        </w:rPr>
        <w:t xml:space="preserve">Aufweis</w:t>
      </w:r>
      <w:r>
        <w:t xml:space="preserve"> </w:t>
      </w:r>
      <w:r>
        <w:t xml:space="preserve">yields nothing modal at all, performative self-contradiction being a rhetorical embarrassment and no impossibility. This is not a variant of Habermas’s answer but the denial of what both parties share, since it withholds from the operative register the inescapability which is the one thing they do not dispute; it is refused at §2.1.1, where the compulsion is shown to be no sanction refusable at a cost, and the constructive labour of Chapter Three §3.3 is accordingly a condition of the diagnosis and not an addition to it.</w:t>
      </w:r>
    </w:p>
    <w:p>
      <w:pPr>
        <w:pStyle w:val="BodyText"/>
      </w:pPr>
      <w:r>
        <w:t xml:space="preserve">A restriction is required by both parties, Apel’s metacritique forcing one upon any fallibilism which states itself (§2.2.2), so that the charge of</w:t>
      </w:r>
      <w:r>
        <w:t xml:space="preserve"> </w:t>
      </w:r>
      <w:r>
        <w:rPr>
          <w:iCs/>
          <w:i/>
        </w:rPr>
        <w:t xml:space="preserve">ad hoc</w:t>
      </w:r>
      <w:r>
        <w:t xml:space="preserve"> </w:t>
      </w:r>
      <w:r>
        <w:t xml:space="preserve">exemption cannot be levelled on the ground that a restriction is drawn at all, but only against the principle upon which each restriction is drawn. Apel withholds a class of</w:t>
      </w:r>
      <w:r>
        <w:t xml:space="preserve"> </w:t>
      </w:r>
      <w:r>
        <w:rPr>
          <w:iCs/>
          <w:i/>
        </w:rPr>
        <w:t xml:space="preserve">evidence</w:t>
      </w:r>
      <w:r>
        <w:t xml:space="preserve">, propositional material exempted from the assumption of possible falsity, and thereby keeps the excluded item inside the category to which fallibility could intelligibly attach, which is why he must then explain how a proposition comes to be immune; C3, as reconstructed, withholds no evidence at all, what falls outside being the enactment, which on the categorial ground §2.1.1 states is not evidence and not a proposition, and so not the kind of item an exemption could be granted to or withheld from. The difference is categorial and not one of extent, and it is what separates the two positions upon the yield of the</w:t>
      </w:r>
      <w:r>
        <w:t xml:space="preserve"> </w:t>
      </w:r>
      <w:r>
        <w:rPr>
          <w:iCs/>
          <w:i/>
        </w:rPr>
        <w:t xml:space="preserve">Aufweis</w:t>
      </w:r>
      <w:r>
        <w:t xml:space="preserve">. The parties, both having restricted fallibility, divide over whether the restriction Habermas draws, to the reconstruction as against the practice reconstructed, survives the submission of universal-pragmatic statements to the two tests §2.1.1 examines. Apel’s answer is that it does not, since the tests presuppose what they would test, and the note of 1989 gives the answer its strongest form: a statement which explicates a necessary presupposition inherits the standing of what it explicates, and a fallibilism which withholds that standing from its own statements says of them what it denies of them. The answer C3 gives, reconstructed beyond Habermas’s letter, is that the inheritance is the point at issue and not a premise: a statement which explicates a presupposition is put up for discussion as any statement is, and what the exhibition of a denial’s self-defeat secures is the enactment and not the statement, on the categorial ground §2.1.1 supplies. Whether an explication reached by strict reflection can be exempted from the tests without being exempted from argument, which is what Apel’s</w:t>
      </w:r>
      <w:r>
        <w:t xml:space="preserve"> </w:t>
      </w:r>
      <w:r>
        <w:t xml:space="preserve">‘</w:t>
      </w:r>
      <w:r>
        <w:t xml:space="preserve">insofar as</w:t>
      </w:r>
      <w:r>
        <w:t xml:space="preserve">’</w:t>
      </w:r>
      <w:r>
        <w:t xml:space="preserve"> </w:t>
      </w:r>
      <w:r>
        <w:t xml:space="preserve">requires, is the transfer question of Chapter Three §3.2.3 and §3.3.3; the charge is entered as Apel states it, its target is the propositional statement of the refusal and not the refusal as enacted, and it is adjudicated there.</w:t>
      </w:r>
    </w:p>
    <w:p>
      <w:pPr>
        <w:pStyle w:val="BodyText"/>
      </w:pPr>
      <w:r>
        <w:t xml:space="preserve">The third front is met where it has purchase. The exhibition of a performative self-contradiction operates within discourse: its verdicts fall upon performances of denial, and a performance of denial is available only where someone argues. The priority of communicative over strategic action in its general form, which Chapter One §1.4.1 bounds, is a thesis about language at large, and the openly strategic actor, using language without even a pretence of an orientation to reaching understanding, performs no denial within discourse upon which the exhibition could operate; Habermas’s own answer to the actor who declines communicative action, the factual observation Chapter One §1.6.2 records him offering in place of a conceptual argument, concedes that what closes that exit is not the exhibition. The denier of the priority is another matter, since whoever denies it in argument argues; what his defeat secures, upon the categorial premise §2.1.1 states, is the operative result and not the proposition he denies. This is the point beyond which, on Apel’s conclusion as Chapter One §1.6.3 displays it, universal pragmatics on its own cannot reach, the strict reflection that conclusion requires being conducted, in Kettner’s exposition, from within argumentative discourse, and by an argument Habermas’s method does not employ. The refusal carries a cost. The priority thesis stands, on Apel’s own terms, undischarged by confutation alone, a debt which recurs wherever the</w:t>
      </w:r>
      <w:r>
        <w:t xml:space="preserve"> </w:t>
      </w:r>
      <w:r>
        <w:rPr>
          <w:iCs/>
          <w:i/>
        </w:rPr>
        <w:t xml:space="preserve">Selbsteinholungsprinzip</w:t>
      </w:r>
      <w:r>
        <w:t xml:space="preserve"> </w:t>
      </w:r>
      <w:r>
        <w:t xml:space="preserve">requires a reconstruction to render its own possibility intelligible as an outcome of what it reconstructs.</w:t>
      </w:r>
      <w:r>
        <w:rPr>
          <w:rStyle w:val="FootnoteReference"/>
        </w:rPr>
        <w:footnoteReference w:id="148"/>
      </w:r>
      <w:r>
        <w:t xml:space="preserve"> </w:t>
      </w:r>
      <w:r>
        <w:t xml:space="preserve">On Apel’s wider floor (§2.2.1) the openly strategic actor leaves argumentation and remains bound by its presuppositions, and the debt just entered would be discharged by the wider scope rather than owed. Where Habermas places the floor is displayed at Chapter One §1.6.2 from MCCA 99–101; which of the two floors holds is a question Chapter Three states at §3.3.6 and declares open there. Neither the reply §2.3.3 gives to Derrida’s argument, which rests upon a thin requirement of recognisability, nor the parasitism thesis as Chapter One §1.4.1 bounds it, which establishes a dependence case by case, depends upon the debt: what Apel’s objection leaves undischarged is the general priority of the communicative over the strategic, which neither of them asserts or needs. Nor is the debt one-sided, since Apel discharges the office by a reflection whose availability is the matter in dispute between the programmes; a debt which one party cannot discharge and the other discharges by a means the first does not accept as discharging it marks a disagreement about what discharge would be.</w:t>
      </w:r>
    </w:p>
    <w:p>
      <w:pPr>
        <w:pStyle w:val="BodyText"/>
      </w:pPr>
      <w:r>
        <w:t xml:space="preserve">Apel’s critique, so adjudicated, establishes two things against the programme. Against its letter, the first limb holds as a demand rather than a refutation, since Habermas nowhere draws the line between the reconstruction and what is reconstructed in the terms the critique requires; and the priority of communicative over strategic action is left undischarged by confutation alone. It does not establish that an explication of the presuppositions inherits the standing of what it explicates, which is the point at issue between the programmes and not a premise either may assume; and it does not show the programme incoherent, since the restriction C3 draws falls upon a different kind of item from the restriction Apel draws. The yield-question so localised bears upon the first interval of the deficit, which on Habermas’s answer is not crossed and on Apel’s is crossed by an access whose existence is in dispute, and it is handed to Chapter Three, where that access is tested and the elenctic route is taken up on its own terms.</w:t>
      </w:r>
    </w:p>
    <w:bookmarkEnd w:id="149"/>
    <w:bookmarkEnd w:id="150"/>
    <w:bookmarkStart w:id="164" w:name="X693a5a55ca27599a645190bd09bba201ab061ce"/>
    <w:p>
      <w:pPr>
        <w:pStyle w:val="Heading2"/>
      </w:pPr>
      <w:r>
        <w:t xml:space="preserve">§2.3 · Derrida’s Critique of Logocentrism and of the Metaphysics of Presence, Habermas’s Reply, and the Concession It Forces</w:t>
      </w:r>
    </w:p>
    <w:p>
      <w:pPr>
        <w:pStyle w:val="FirstParagraph"/>
      </w:pPr>
      <w:r>
        <w:t xml:space="preserve">Derrida’s critique reaches the programme at two levels. The first is general, a critique of the privilege of presence and of the voice which, conducted against Husserl and against Austin, would reach any reconstruction that takes a competence to be present to its articulation; the second is specific, an argument from iterability which tests a requirement the elenctic exhibition makes on its own behalf. Habermas replied to the first in the lectures of 1985 (§2.3.2); the second, which his reply does not reach, forces a concession, stated with its cost at §2.3.3.</w:t>
      </w:r>
    </w:p>
    <w:bookmarkStart w:id="156" w:name="Xb8ebb82063df30dacca89c9dc31ec0397d66e60"/>
    <w:p>
      <w:pPr>
        <w:pStyle w:val="Heading3"/>
      </w:pPr>
      <w:r>
        <w:t xml:space="preserve">§2.3.1 · Logocentrism in two senses, the critique of presence, and the argument from iterability</w:t>
      </w:r>
    </w:p>
    <w:p>
      <w:pPr>
        <w:pStyle w:val="FirstParagraph"/>
      </w:pPr>
      <w:r>
        <w:t xml:space="preserve">The fourth theme of post-metaphysical thinking carries a word which Derrida also uses (§2.1), and in another sense: for him logocentrism names</w:t>
      </w:r>
      <w:r>
        <w:t xml:space="preserve"> </w:t>
      </w:r>
      <w:r>
        <w:t xml:space="preserve">‘</w:t>
      </w:r>
      <w:r>
        <w:t xml:space="preserve">the metaphysics of phonetic writing</w:t>
      </w:r>
      <w:r>
        <w:t xml:space="preserve">’</w:t>
      </w:r>
      <w:r>
        <w:t xml:space="preserve">, the privilege of presence and of the voice, and it is not set aside by a turn from theory to practice, since on his account practice too proceeds by iterable marks. The two senses are held apart throughout, though the two charges share a form, which neither author names, each convicting a confinement of reason or of sense to one of its dimensions.</w:t>
      </w:r>
      <w:r>
        <w:rPr>
          <w:rStyle w:val="FootnoteReference"/>
        </w:rPr>
        <w:footnoteReference w:id="151"/>
      </w:r>
    </w:p>
    <w:p>
      <w:pPr>
        <w:pStyle w:val="BodyText"/>
      </w:pPr>
      <w:r>
        <w:t xml:space="preserve">The critique of presence is conducted first against the theory of meaning in which methodological solipsism has its most exact form (§2.1). In</w:t>
      </w:r>
      <w:r>
        <w:t xml:space="preserve"> </w:t>
      </w:r>
      <w:r>
        <w:rPr>
          <w:iCs/>
          <w:i/>
        </w:rPr>
        <w:t xml:space="preserve">Speech and Phenomena</w:t>
      </w:r>
      <w:r>
        <w:t xml:space="preserve"> </w:t>
      </w:r>
      <w:r>
        <w:t xml:space="preserve">Derrida takes as his target the investigation on expression and meaning which opens the second volume of the</w:t>
      </w:r>
      <w:r>
        <w:t xml:space="preserve"> </w:t>
      </w:r>
      <w:r>
        <w:rPr>
          <w:iCs/>
          <w:i/>
        </w:rPr>
        <w:t xml:space="preserve">Logical Investigations</w:t>
      </w:r>
      <w:r>
        <w:t xml:space="preserve">, and what he finds there is stated by Habermas as Derrida’s central objection: Husserl was blinded by the fundamental idea of Western metaphysics,</w:t>
      </w:r>
      <w:r>
        <w:t xml:space="preserve"> </w:t>
      </w:r>
      <w:r>
        <w:t xml:space="preserve">‘</w:t>
      </w:r>
      <w:r>
        <w:t xml:space="preserve">that the ideal nature of self-identical meaning is only guaranteed by the living presence of the unmediated, intuitively accessible, actual experience in the interiority of a transcendental subjectivity purified of all empirical associations</w:t>
      </w:r>
      <w:r>
        <w:t xml:space="preserve">’</w:t>
      </w:r>
      <w:r>
        <w:t xml:space="preserve">. The presence so invoked is, on Derrida’s argument, constituted by what it was to exclude, the retentions and protentions in which every actual experience is embedded and the representative function of the sign, so that a difference which is also a deferral,</w:t>
      </w:r>
      <w:r>
        <w:t xml:space="preserve"> </w:t>
      </w:r>
      <w:r>
        <w:rPr>
          <w:iCs/>
          <w:i/>
        </w:rPr>
        <w:t xml:space="preserve">différance</w:t>
      </w:r>
      <w:r>
        <w:t xml:space="preserve">, stands at the source of the identity it was to secure; and the privilege of the voice which hears itself speak, in which sense seems present to itself without passing through anything outside, is on this account the privilege logocentrism and phonocentrism share.</w:t>
      </w:r>
      <w:r>
        <w:rPr>
          <w:rStyle w:val="FootnoteReference"/>
        </w:rPr>
        <w:footnoteReference w:id="152"/>
      </w:r>
      <w:r>
        <w:t xml:space="preserve"> </w:t>
      </w:r>
      <w:r>
        <w:t xml:space="preserve">‘</w:t>
      </w:r>
      <w:r>
        <w:t xml:space="preserve">Signature Event Context</w:t>
      </w:r>
      <w:r>
        <w:t xml:space="preserve">’</w:t>
      </w:r>
      <w:r>
        <w:t xml:space="preserve"> </w:t>
      </w:r>
      <w:r>
        <w:t xml:space="preserve">generalises the argument from the voice to the mark.</w:t>
      </w:r>
    </w:p>
    <w:p>
      <w:pPr>
        <w:pStyle w:val="BodyText"/>
      </w:pPr>
      <w:r>
        <w:t xml:space="preserve">The argument begins from the mark, which is what it is only in being repeatable: a written communication</w:t>
      </w:r>
      <w:r>
        <w:t xml:space="preserve"> </w:t>
      </w:r>
      <w:r>
        <w:t xml:space="preserve">‘</w:t>
      </w:r>
      <w:r>
        <w:t xml:space="preserve">must be repeatable — iterable — in the absolute absence of the addressee or of the empirically determinable set of addressees</w:t>
      </w:r>
      <w:r>
        <w:t xml:space="preserve">’</w:t>
      </w:r>
      <w:r>
        <w:t xml:space="preserve">, and a mark</w:t>
      </w:r>
      <w:r>
        <w:t xml:space="preserve"> </w:t>
      </w:r>
      <w:r>
        <w:t xml:space="preserve">‘</w:t>
      </w:r>
      <w:r>
        <w:t xml:space="preserve">is constituted, in its identity as a mark, by its iterability in the absence of whoever, and therefore ultimately in the absence of every empirically determinable</w:t>
      </w:r>
      <w:r>
        <w:t xml:space="preserve"> </w:t>
      </w:r>
      <w:r>
        <w:t xml:space="preserve">“</w:t>
      </w:r>
      <w:r>
        <w:t xml:space="preserve">subject.</w:t>
      </w:r>
      <w:r>
        <w:t xml:space="preserve">”</w:t>
      </w:r>
      <w:r>
        <w:t xml:space="preserve">’</w:t>
      </w:r>
      <w:r>
        <w:t xml:space="preserve"> </w:t>
      </w:r>
      <w:r>
        <w:t xml:space="preserve">The argument is generalised from writing to every element of spoken language: the unity of a signifying form</w:t>
      </w:r>
      <w:r>
        <w:t xml:space="preserve"> </w:t>
      </w:r>
      <w:r>
        <w:t xml:space="preserve">‘</w:t>
      </w:r>
      <w:r>
        <w:t xml:space="preserve">is constituted only by its iterability, by the possibility of being repeated in the absence not only of its referent, which goes without saying, but of a determined signified or current intention of signification</w:t>
      </w:r>
      <w:r>
        <w:t xml:space="preserve">’</w:t>
      </w:r>
      <w:r>
        <w:t xml:space="preserve">, and</w:t>
      </w:r>
      <w:r>
        <w:t xml:space="preserve"> </w:t>
      </w:r>
      <w:r>
        <w:t xml:space="preserve">‘</w:t>
      </w:r>
      <w:r>
        <w:t xml:space="preserve">given this structure of iteration, the intention which animates utterance will never be completely present in itself and its content</w:t>
      </w:r>
      <w:r>
        <w:t xml:space="preserve">’</w:t>
      </w:r>
      <w:r>
        <w:t xml:space="preserve">.</w:t>
      </w:r>
      <w:r>
        <w:rPr>
          <w:rStyle w:val="FootnoteReference"/>
        </w:rPr>
        <w:footnoteReference w:id="153"/>
      </w:r>
      <w:r>
        <w:t xml:space="preserve"> </w:t>
      </w:r>
      <w:r>
        <w:t xml:space="preserve">Derrida’s target is Austin’s exclusion of the non-serious, the uses of language Austin sets aside as</w:t>
      </w:r>
      <w:r>
        <w:t xml:space="preserve"> </w:t>
      </w:r>
      <w:r>
        <w:t xml:space="preserve">‘</w:t>
      </w:r>
      <w:r>
        <w:t xml:space="preserve">not seriously</w:t>
      </w:r>
      <w:r>
        <w:t xml:space="preserve">’</w:t>
      </w:r>
      <w:r>
        <w:t xml:space="preserve"> </w:t>
      </w:r>
      <w:r>
        <w:t xml:space="preserve">meant and</w:t>
      </w:r>
      <w:r>
        <w:t xml:space="preserve"> </w:t>
      </w:r>
      <w:r>
        <w:t xml:space="preserve">‘</w:t>
      </w:r>
      <w:r>
        <w:t xml:space="preserve">in ways parasitic upon its normal use — ways which fall under the doctrine of the etiolations of language</w:t>
      </w:r>
      <w:r>
        <w:t xml:space="preserve">’</w:t>
      </w:r>
      <w:r>
        <w:t xml:space="preserve">, and his complaint is that what is thereby excluded is what Austin</w:t>
      </w:r>
      <w:r>
        <w:t xml:space="preserve"> </w:t>
      </w:r>
      <w:r>
        <w:t xml:space="preserve">‘</w:t>
      </w:r>
      <w:r>
        <w:t xml:space="preserve">nevertheless recognizes as the possibility to which every utterance is open</w:t>
      </w:r>
      <w:r>
        <w:t xml:space="preserve">’</w:t>
      </w:r>
      <w:r>
        <w:t xml:space="preserve">. The conclusion is drawn on the side of success and not of failure:</w:t>
      </w:r>
      <w:r>
        <w:t xml:space="preserve"> </w:t>
      </w:r>
      <w:r>
        <w:t xml:space="preserve">‘</w:t>
      </w:r>
      <w:r>
        <w:t xml:space="preserve">a successful performative is necessarily an</w:t>
      </w:r>
      <w:r>
        <w:t xml:space="preserve"> </w:t>
      </w:r>
      <w:r>
        <w:t xml:space="preserve">“</w:t>
      </w:r>
      <w:r>
        <w:t xml:space="preserve">impure</w:t>
      </w:r>
      <w:r>
        <w:t xml:space="preserve">”</w:t>
      </w:r>
      <w:r>
        <w:t xml:space="preserve"> </w:t>
      </w:r>
      <w:r>
        <w:t xml:space="preserve">performative</w:t>
      </w:r>
      <w:r>
        <w:t xml:space="preserve">’</w:t>
      </w:r>
      <w:r>
        <w:t xml:space="preserve">, and the</w:t>
      </w:r>
      <w:r>
        <w:t xml:space="preserve"> </w:t>
      </w:r>
      <w:r>
        <w:t xml:space="preserve">‘</w:t>
      </w:r>
      <w:r>
        <w:t xml:space="preserve">relative purity</w:t>
      </w:r>
      <w:r>
        <w:t xml:space="preserve">’</w:t>
      </w:r>
      <w:r>
        <w:t xml:space="preserve"> </w:t>
      </w:r>
      <w:r>
        <w:t xml:space="preserve">Austin allows</w:t>
      </w:r>
      <w:r>
        <w:t xml:space="preserve"> </w:t>
      </w:r>
      <w:r>
        <w:t xml:space="preserve">‘</w:t>
      </w:r>
      <w:r>
        <w:t xml:space="preserve">is not constructed against citationality or iterability, but against other kinds of iteration within a general iterability</w:t>
      </w:r>
      <w:r>
        <w:t xml:space="preserve">’</w:t>
      </w:r>
      <w:r>
        <w:t xml:space="preserve">. In place of the exclusion he proposes</w:t>
      </w:r>
      <w:r>
        <w:t xml:space="preserve"> </w:t>
      </w:r>
      <w:r>
        <w:t xml:space="preserve">‘</w:t>
      </w:r>
      <w:r>
        <w:t xml:space="preserve">a differential typology of forms of iteration</w:t>
      </w:r>
      <w:r>
        <w:t xml:space="preserve">’</w:t>
      </w:r>
      <w:r>
        <w:t xml:space="preserve">, within which</w:t>
      </w:r>
      <w:r>
        <w:t xml:space="preserve"> </w:t>
      </w:r>
      <w:r>
        <w:t xml:space="preserve">‘</w:t>
      </w:r>
      <w:r>
        <w:t xml:space="preserve">the category of intention will not disappear; it will have its place, but from this place it will no longer be able to govern the entire scene and the entire system of utterances</w:t>
      </w:r>
      <w:r>
        <w:t xml:space="preserve">’</w:t>
      </w:r>
      <w:r>
        <w:t xml:space="preserve">.</w:t>
      </w:r>
      <w:r>
        <w:rPr>
          <w:rStyle w:val="FootnoteReference"/>
        </w:rPr>
        <w:footnoteReference w:id="154"/>
      </w:r>
      <w:r>
        <w:t xml:space="preserve"> </w:t>
      </w:r>
      <w:r>
        <w:t xml:space="preserve">Near its close the essay enters a disclaimer: Derrida will not conclude that</w:t>
      </w:r>
      <w:r>
        <w:t xml:space="preserve"> </w:t>
      </w:r>
      <w:r>
        <w:t xml:space="preserve">‘</w:t>
      </w:r>
      <w:r>
        <w:t xml:space="preserve">there is no effect of the performative, no effect of ordinary language, no effect of presence and of speech acts</w:t>
      </w:r>
      <w:r>
        <w:t xml:space="preserve">’</w:t>
      </w:r>
      <w:r>
        <w:t xml:space="preserve">; these effects</w:t>
      </w:r>
      <w:r>
        <w:t xml:space="preserve"> </w:t>
      </w:r>
      <w:r>
        <w:t xml:space="preserve">‘</w:t>
      </w:r>
      <w:r>
        <w:t xml:space="preserve">do not exclude what is generally opposed to them term by term, but on the contrary presuppose it … as the general space of their possibility</w:t>
      </w:r>
      <w:r>
        <w:t xml:space="preserve">’</w:t>
      </w:r>
      <w:r>
        <w:t xml:space="preserve">.</w:t>
      </w:r>
      <w:r>
        <w:rPr>
          <w:rStyle w:val="FootnoteReference"/>
        </w:rPr>
        <w:footnoteReference w:id="155"/>
      </w:r>
    </w:p>
    <w:p>
      <w:pPr>
        <w:pStyle w:val="BodyText"/>
      </w:pPr>
      <w:r>
        <w:t xml:space="preserve">Turned upon the programme, the critique of presence takes a general form. The charge against presence, that to explicate a competence is to posit a plenitude awaiting articulation, delivers, pressed to its conclusion, the thesis argued above rather than displacing it: the thesis that the enactment is reachable only under a corrigible articulation of it, which is the</w:t>
      </w:r>
      <w:r>
        <w:t xml:space="preserve"> </w:t>
      </w:r>
      <w:r>
        <w:rPr>
          <w:iCs/>
          <w:i/>
        </w:rPr>
        <w:t xml:space="preserve">Begründungsdefizit</w:t>
      </w:r>
      <w:r>
        <w:t xml:space="preserve"> </w:t>
      </w:r>
      <w:r>
        <w:t xml:space="preserve">in its first interval, and the further claim the charge would need, that the enactment is nothing apart from its articulation, falls under the analysis of denial at §2.1.1.</w:t>
      </w:r>
    </w:p>
    <w:bookmarkEnd w:id="156"/>
    <w:bookmarkStart w:id="160" w:name="X0f537faca39fa4507f697fb689cd928765c9ac1"/>
    <w:p>
      <w:pPr>
        <w:pStyle w:val="Heading3"/>
      </w:pPr>
      <w:r>
        <w:t xml:space="preserve">§2.3.2 · Habermas’s reply: the nodal point, the performative contradiction of a totalising critique, and the defence of normal speech</w:t>
      </w:r>
    </w:p>
    <w:p>
      <w:pPr>
        <w:pStyle w:val="FirstParagraph"/>
      </w:pPr>
      <w:r>
        <w:t xml:space="preserve">Habermas’s reply to the critique of presence is entered in the lectures of 1985, and it is directed first at where the critique begins. Derrida, he holds, does not begin where the philosophies of language and of consciousness part company,</w:t>
      </w:r>
      <w:r>
        <w:t xml:space="preserve"> </w:t>
      </w:r>
      <w:r>
        <w:t xml:space="preserve">‘</w:t>
      </w:r>
      <w:r>
        <w:t xml:space="preserve">that is, the point where the paradigm of linguistic philosophy separates from that of philosophy of consciousness and renders the identity of meaning dependent upon the intersubjective practice of employing rules of meaning</w:t>
      </w:r>
      <w:r>
        <w:t xml:space="preserve">’</w:t>
      </w:r>
      <w:r>
        <w:t xml:space="preserve">; he follows Husserl instead into the innermost precincts of transcendental subjectivity, and puts in the place of the constituting subject the anonymous productivity of an archewriting. The result, on Habermas’s reading, is an inversion and not an exit:</w:t>
      </w:r>
      <w:r>
        <w:t xml:space="preserve"> </w:t>
      </w:r>
      <w:r>
        <w:t xml:space="preserve">‘</w:t>
      </w:r>
      <w:r>
        <w:t xml:space="preserve">an inversion of Husserlian foundationalism</w:t>
      </w:r>
      <w:r>
        <w:t xml:space="preserve">’</w:t>
      </w:r>
      <w:r>
        <w:t xml:space="preserve">, in which the originative power of transcendental subjectivity passes over into the productivity of writing, so that Derrida</w:t>
      </w:r>
      <w:r>
        <w:t xml:space="preserve"> </w:t>
      </w:r>
      <w:r>
        <w:t xml:space="preserve">‘</w:t>
      </w:r>
      <w:r>
        <w:t xml:space="preserve">by no means breaks with the foundationalist tenacity of the philosophy of the subject</w:t>
      </w:r>
      <w:r>
        <w:t xml:space="preserve">’</w:t>
      </w:r>
      <w:r>
        <w:t xml:space="preserve"> </w:t>
      </w:r>
      <w:r>
        <w:t xml:space="preserve">but makes what it had held fundamental depend upon a still profounder origin, set temporally in motion.</w:t>
      </w:r>
      <w:r>
        <w:rPr>
          <w:rStyle w:val="FootnoteReference"/>
        </w:rPr>
        <w:footnoteReference w:id="157"/>
      </w:r>
      <w:r>
        <w:t xml:space="preserve"> </w:t>
      </w:r>
      <w:r>
        <w:t xml:space="preserve">The reply restates the programme’s own exit from the philosophy of consciousness against a rival exit: where Derrida displaces the constituting ego by the sign, Habermas displaces it by the intersubjective validity of rules, the route followed at §2.1.3. In the excursus which follows the lecture he takes Adorno’s negative dialectics and Derrida’s deconstruction for two answers to one problem, and states the charge he brings against both: the totalising self-critique of reason</w:t>
      </w:r>
      <w:r>
        <w:t xml:space="preserve"> </w:t>
      </w:r>
      <w:r>
        <w:t xml:space="preserve">‘</w:t>
      </w:r>
      <w:r>
        <w:t xml:space="preserve">gets caught in a performative contradiction since subject-centered reason can be convicted of being authoritarian in nature only by having recourse to its own tools</w:t>
      </w:r>
      <w:r>
        <w:t xml:space="preserve">’</w:t>
      </w:r>
      <w:r>
        <w:t xml:space="preserve">.</w:t>
      </w:r>
      <w:r>
        <w:rPr>
          <w:rStyle w:val="FootnoteReference"/>
        </w:rPr>
        <w:footnoteReference w:id="158"/>
      </w:r>
      <w:r>
        <w:t xml:space="preserve"> </w:t>
      </w:r>
      <w:r>
        <w:t xml:space="preserve">Whether the charge reaches Derrida’s text depends upon whether the critique it convicts is totalising, and the disclaimer with which</w:t>
      </w:r>
      <w:r>
        <w:t xml:space="preserve"> </w:t>
      </w:r>
      <w:r>
        <w:t xml:space="preserve">‘</w:t>
      </w:r>
      <w:r>
        <w:t xml:space="preserve">Signature Event Context</w:t>
      </w:r>
      <w:r>
        <w:t xml:space="preserve">’</w:t>
      </w:r>
      <w:r>
        <w:t xml:space="preserve"> </w:t>
      </w:r>
      <w:r>
        <w:t xml:space="preserve">closes declines the totalising conclusion: what the argument from iterability denies is the purity of the effects of presence and not the effects, so that the charge reaches the critique in the form Habermas gives it and not the argument as Derrida states it, a verdict neither party enters.</w:t>
      </w:r>
    </w:p>
    <w:p>
      <w:pPr>
        <w:pStyle w:val="BodyText"/>
      </w:pPr>
      <w:r>
        <w:t xml:space="preserve">The argument from iterability Habermas contested in print in the form Culler gives it. In the excursus on the levelling of the genre distinction between philosophy and literature he replies that Derrida</w:t>
      </w:r>
      <w:r>
        <w:t xml:space="preserve"> </w:t>
      </w:r>
      <w:r>
        <w:t xml:space="preserve">‘</w:t>
      </w:r>
      <w:r>
        <w:t xml:space="preserve">obviously already presupposes what he wants to prove: that any convention which permits the repetition of exemplary actions possesses from the outset not only a symbolic, but also a fictional character</w:t>
      </w:r>
      <w:r>
        <w:t xml:space="preserve">’</w:t>
      </w:r>
      <w:r>
        <w:t xml:space="preserve">.</w:t>
      </w:r>
      <w:r>
        <w:t xml:space="preserve"> </w:t>
      </w:r>
      <w:r>
        <w:t xml:space="preserve">‘</w:t>
      </w:r>
      <w:r>
        <w:t xml:space="preserve">Only the actually performed speech act is effective as action; the promise mentioned or reported in a quote depends grammatically upon this</w:t>
      </w:r>
      <w:r>
        <w:t xml:space="preserve">’</w:t>
      </w:r>
      <w:r>
        <w:t xml:space="preserve">; Derrida</w:t>
      </w:r>
      <w:r>
        <w:t xml:space="preserve"> </w:t>
      </w:r>
      <w:r>
        <w:t xml:space="preserve">‘</w:t>
      </w:r>
      <w:r>
        <w:t xml:space="preserve">makes no attempt to</w:t>
      </w:r>
      <w:r>
        <w:t xml:space="preserve"> </w:t>
      </w:r>
      <w:r>
        <w:t xml:space="preserve">“</w:t>
      </w:r>
      <w:r>
        <w:t xml:space="preserve">deconstruct</w:t>
      </w:r>
      <w:r>
        <w:t xml:space="preserve">”</w:t>
      </w:r>
      <w:r>
        <w:t xml:space="preserve"> </w:t>
      </w:r>
      <w:r>
        <w:t xml:space="preserve">this distinctive functional mode of ordinary speech within communicative action</w:t>
      </w:r>
      <w:r>
        <w:t xml:space="preserve">’</w:t>
      </w:r>
      <w:r>
        <w:t xml:space="preserve">; and the illocutionary binding force Austin discovered places normal speech</w:t>
      </w:r>
      <w:r>
        <w:t xml:space="preserve"> </w:t>
      </w:r>
      <w:r>
        <w:t xml:space="preserve">‘</w:t>
      </w:r>
      <w:r>
        <w:t xml:space="preserve">under constraints different from those of fictional discourse, simulation, and interior monologue</w:t>
      </w:r>
      <w:r>
        <w:t xml:space="preserve">’</w:t>
      </w:r>
      <w:r>
        <w:t xml:space="preserve">, constraints which</w:t>
      </w:r>
      <w:r>
        <w:t xml:space="preserve"> </w:t>
      </w:r>
      <w:r>
        <w:t xml:space="preserve">‘</w:t>
      </w:r>
      <w:r>
        <w:t xml:space="preserve">define the domain of</w:t>
      </w:r>
      <w:r>
        <w:t xml:space="preserve"> </w:t>
      </w:r>
      <w:r>
        <w:t xml:space="preserve">“</w:t>
      </w:r>
      <w:r>
        <w:t xml:space="preserve">normal</w:t>
      </w:r>
      <w:r>
        <w:t xml:space="preserve">”</w:t>
      </w:r>
      <w:r>
        <w:t xml:space="preserve"> </w:t>
      </w:r>
      <w:r>
        <w:t xml:space="preserve">language</w:t>
      </w:r>
      <w:r>
        <w:t xml:space="preserve">’</w:t>
      </w:r>
      <w:r>
        <w:t xml:space="preserve">. The burden he lays upon Derrida is stated in one sentence:</w:t>
      </w:r>
      <w:r>
        <w:t xml:space="preserve"> </w:t>
      </w:r>
      <w:r>
        <w:t xml:space="preserve">‘</w:t>
      </w:r>
      <w:r>
        <w:t xml:space="preserve">it must first be shown that the conventions of a game are ultimately indistinguishable from norms of action</w:t>
      </w:r>
      <w:r>
        <w:t xml:space="preserve">’</w:t>
      </w:r>
      <w:r>
        <w:t xml:space="preserve">.</w:t>
      </w:r>
      <w:r>
        <w:rPr>
          <w:rStyle w:val="FootnoteReference"/>
        </w:rPr>
        <w:footnoteReference w:id="159"/>
      </w:r>
      <w:r>
        <w:t xml:space="preserve"> </w:t>
      </w:r>
      <w:r>
        <w:t xml:space="preserve">The reply is considered and is not empty, though the note records what it engages and what it does not; it does not restore what the objection removes. What it defends is the asymmetry of the ordinary and the parasitic, the priority thesis, whose separate cost is entered on Apel’s charge at §2.2.3; and where the excursus goes on to the second argument Culler draws from Derrida, that meaning varies with context, it answers with idealisations, the constraints which define normal speech being analysable, in the sentence which follows, as</w:t>
      </w:r>
      <w:r>
        <w:t xml:space="preserve"> </w:t>
      </w:r>
      <w:r>
        <w:t xml:space="preserve">‘</w:t>
      </w:r>
      <w:r>
        <w:t xml:space="preserve">the kinds of idealizing suppositions we have to make in communicative action</w:t>
      </w:r>
      <w:r>
        <w:t xml:space="preserve">’</w:t>
      </w:r>
      <w:r>
        <w:t xml:space="preserve">. The objection targets identity of meaning across contexts, and neither a defence of differential constraints upon use nor an idealising supposition of shared meaning delivers identity of content across uses; the second concedes that the identity is presupposed and not given (Chapter One §1.3.2), which is what the concession of §2.3.3 keeps. The two exchanges pass each other, since nothing in Habermas’s reply claims the context-invariance which a constancy requirement read thickly, as a demand for identity of content across contexts, would need. The reply from the nodal point fares no differently: the rule-following argument of §2.1.3 makes a rule public and its application correctable by another, and it secures no identity of content across uses, which the programme holds only as a supposition participants make (Chapter One §1.3.2). Habermas’s replies reach the paradigm, and not the identity the argument from iterability puts in question.</w:t>
      </w:r>
    </w:p>
    <w:bookmarkEnd w:id="160"/>
    <w:bookmarkStart w:id="163" w:name="X0a06fdf3dfb702937ffb6709caf293aedb0db63"/>
    <w:p>
      <w:pPr>
        <w:pStyle w:val="Heading3"/>
      </w:pPr>
      <w:r>
        <w:t xml:space="preserve">§2.3.3 · The requirement of constancy, and the concession it forces</w:t>
      </w:r>
    </w:p>
    <w:p>
      <w:pPr>
        <w:pStyle w:val="FirstParagraph"/>
      </w:pPr>
      <w:r>
        <w:t xml:space="preserve">Derrida’s charge, taken at the point where it bears upon the requirement the exhibition makes on its own behalf, is not the general charge against presence stated at §2.3.1. It is a specific objection to a specific requirement: that participants in an exchange use expressions with constant meaning. The requirement can be found in the catalogue of rules of argumentation Habermas adopts, at the logical-semantic level, as rule (1.3):</w:t>
      </w:r>
      <w:r>
        <w:t xml:space="preserve"> </w:t>
      </w:r>
      <w:r>
        <w:t xml:space="preserve">‘</w:t>
      </w:r>
      <w:r>
        <w:t xml:space="preserve">Different speakers may not use the same expression with different meanings.</w:t>
      </w:r>
      <w:r>
        <w:t xml:space="preserve">’</w:t>
      </w:r>
      <w:r>
        <w:t xml:space="preserve"> </w:t>
      </w:r>
      <w:r>
        <w:t xml:space="preserve">It cannot be staged upon that rule, and the reason is on the same page. Habermas takes the catalogue over from Alexy</w:t>
      </w:r>
      <w:r>
        <w:t xml:space="preserve"> </w:t>
      </w:r>
      <w:r>
        <w:t xml:space="preserve">‘</w:t>
      </w:r>
      <w:r>
        <w:t xml:space="preserve">for simplicity</w:t>
      </w:r>
      <w:r>
        <w:t xml:space="preserve">’</w:t>
      </w:r>
      <w:r>
        <w:t xml:space="preserve">, and in the sentences immediately following the rule he sets the whole level aside: the presuppositions of argumentation at this level</w:t>
      </w:r>
      <w:r>
        <w:t xml:space="preserve"> </w:t>
      </w:r>
      <w:r>
        <w:t xml:space="preserve">‘</w:t>
      </w:r>
      <w:r>
        <w:t xml:space="preserve">are logical and semantic rules that have no ethical content. They are not a suitable point of departure for a transcendental-pragmatic argument.</w:t>
      </w:r>
      <w:r>
        <w:t xml:space="preserve">’</w:t>
      </w:r>
      <w:r>
        <w:rPr>
          <w:rStyle w:val="FootnoteReference"/>
        </w:rPr>
        <w:footnoteReference w:id="161"/>
      </w:r>
      <w:r>
        <w:t xml:space="preserve"> </w:t>
      </w:r>
      <w:r>
        <w:t xml:space="preserve">A concession extracted from rule (1.3) would therefore be extracted from a requirement the programme has declined as a point of departure for the argument to (U), on the ground that it has no ethical content. What the objection reaches is not the catalogue but the exhibition. For a performative self-contradiction to be exhibited at all, the denial a speaker performs must be recognisable, by him and by his interlocutor, as the denial of the presupposition his denying enacts. The recognisability so described is a requirement of constancy which the</w:t>
      </w:r>
      <w:r>
        <w:t xml:space="preserve"> </w:t>
      </w:r>
      <w:r>
        <w:rPr>
          <w:iCs/>
          <w:i/>
        </w:rPr>
        <w:t xml:space="preserve">Aufweis</w:t>
      </w:r>
      <w:r>
        <w:t xml:space="preserve"> </w:t>
      </w:r>
      <w:r>
        <w:t xml:space="preserve">makes on its own behalf, whatever the catalogue says, and which Chapter Three §3.2.2 receives in the form this section gives it. How much constancy it requires is not settled by stating it: an identity of content holding across every context of use would answer to it, and so would the weaker condition that a denier and his interlocutor take the expression of the denial for the expression his performance presupposes. It is that requirement, and the question of its strength, which Derrida’s argument tests.</w:t>
      </w:r>
    </w:p>
    <w:p>
      <w:pPr>
        <w:pStyle w:val="BodyText"/>
      </w:pPr>
      <w:r>
        <w:t xml:space="preserve">The concession this forces is prepared by the conditional Habermas enters against Apel in 2003, and is not made by him: were the transcendental-pragmatic argument an argument, it would be exposed, as every argument is, to criticism on each of its sides (§2.2.2). The conditional is directed at Apel and says nothing of Derrida, and the step from it to what Derrida’s argument needs, that an exhibition conducted in argument is conducted in iterable marks and nowhere else, is not his.</w:t>
      </w:r>
    </w:p>
    <w:p>
      <w:pPr>
        <w:pStyle w:val="BodyText"/>
      </w:pPr>
      <w:r>
        <w:t xml:space="preserve">The categorial premise of §2.1.1 cannot then be defended unchanged, and does not need to be abandoned; it needs the downgrade §2.1.4 recorded at the modal register, from an unconditional to an indexed necessity, applied now to meaning itself. The premise as §2.1.1 stated it was silent upon how finely the</w:t>
      </w:r>
      <w:r>
        <w:t xml:space="preserve"> </w:t>
      </w:r>
      <w:r>
        <w:rPr>
          <w:iCs/>
          <w:i/>
        </w:rPr>
        <w:t xml:space="preserve">Dass</w:t>
      </w:r>
      <w:r>
        <w:t xml:space="preserve"> </w:t>
      </w:r>
      <w:r>
        <w:t xml:space="preserve">is individuated across exchanges, and the argument had so far proceeded, wherever it spoke of the type of which a performed denial is the token, upon the reading on which the item enacted is identical in content wherever it is enacted; it is that reading, and not the criterion of individuation, which is surrendered. What the</w:t>
      </w:r>
      <w:r>
        <w:t xml:space="preserve"> </w:t>
      </w:r>
      <w:r>
        <w:rPr>
          <w:iCs/>
          <w:i/>
        </w:rPr>
        <w:t xml:space="preserve">Aufweis</w:t>
      </w:r>
      <w:r>
        <w:t xml:space="preserve"> </w:t>
      </w:r>
      <w:r>
        <w:t xml:space="preserve">requires from constancy of meaning is thin: that the content of a denial be recognisable, within a given exchange, as of the same citational type as what the denier’s performance enacts, sufficient for the miscarriage of denying-while-enacting to register between these interlocutors, here. The requirement is participant-indexed. A prohibition upon different speakers using the same expression with different meanings, read at face value, is thicker: a demand for a stable identity of meaning across speakers, which is what iterability puts out of reach, the identity it constitutes being that of the mark and not of a signified stable across its uses. The deployments of the instrument above — the analysis of denial at §2.1.1, the confinement of Stroud’s objection at §2.1.3, the reply to the fallibility objection at §2.1.5 — draw upon no more than the thin requirement, since each concerns what a denial performed within one exchange undoes, and none what is identical across exchanges. Nor is the thin requirement one Derrida’s argument excludes: a recognisability sufficient for incoherence to register is one of the</w:t>
      </w:r>
      <w:r>
        <w:t xml:space="preserve"> </w:t>
      </w:r>
      <w:r>
        <w:t xml:space="preserve">‘</w:t>
      </w:r>
      <w:r>
        <w:t xml:space="preserve">forms of iteration</w:t>
      </w:r>
      <w:r>
        <w:t xml:space="preserve">’</w:t>
      </w:r>
      <w:r>
        <w:t xml:space="preserve"> </w:t>
      </w:r>
      <w:r>
        <w:t xml:space="preserve">which the differential typology he proposes would have to sort, a typology whose tenability as an exhaustive programme he expressly holds off from affirming, and the place he assigns to intention within it, from which intention no longer governs the entire scene, is a place the thin reading can leave it, since the thin reading asks of intention nothing the typology denies it.</w:t>
      </w:r>
    </w:p>
    <w:p>
      <w:pPr>
        <w:pStyle w:val="BodyText"/>
      </w:pPr>
      <w:r>
        <w:t xml:space="preserve">The individuation of the</w:t>
      </w:r>
      <w:r>
        <w:t xml:space="preserve"> </w:t>
      </w:r>
      <w:r>
        <w:rPr>
          <w:iCs/>
          <w:i/>
        </w:rPr>
        <w:t xml:space="preserve">Dass</w:t>
      </w:r>
      <w:r>
        <w:t xml:space="preserve"> </w:t>
      </w:r>
      <w:r>
        <w:t xml:space="preserve">is thus amended, and the premise stands: the</w:t>
      </w:r>
      <w:r>
        <w:t xml:space="preserve"> </w:t>
      </w:r>
      <w:r>
        <w:rPr>
          <w:iCs/>
          <w:i/>
        </w:rPr>
        <w:t xml:space="preserve">Dass</w:t>
      </w:r>
      <w:r>
        <w:t xml:space="preserve"> </w:t>
      </w:r>
      <w:r>
        <w:t xml:space="preserve">is individuated no more finely than by the citational recognisability sufficient for incoherence to be exhibited, and not by a self-identical meaning surviving the exchange intact. What §2.1.1 fixed — that the</w:t>
      </w:r>
      <w:r>
        <w:t xml:space="preserve"> </w:t>
      </w:r>
      <w:r>
        <w:rPr>
          <w:iCs/>
          <w:i/>
        </w:rPr>
        <w:t xml:space="preserve">Dass</w:t>
      </w:r>
      <w:r>
        <w:t xml:space="preserve"> </w:t>
      </w:r>
      <w:r>
        <w:t xml:space="preserve">is individuated by what its denial, performed, would undo — is unaltered; the amendment fixes the reach of the undoing, which is the exchange in which the denial is performed. The cost is that a thin, citational</w:t>
      </w:r>
      <w:r>
        <w:t xml:space="preserve"> </w:t>
      </w:r>
      <w:r>
        <w:rPr>
          <w:iCs/>
          <w:i/>
        </w:rPr>
        <w:t xml:space="preserve">Dass</w:t>
      </w:r>
      <w:r>
        <w:t xml:space="preserve"> </w:t>
      </w:r>
      <w:r>
        <w:t xml:space="preserve">is individuated only relative to a given exchange, and nothing guarantees its stability beyond it; the interval between what is operatively secured and what any reconstruction can state opens earlier than the thick reading suggested, though it does not close. The two intervals §2.1.5 names are reached with the amended premise and not the thick one: the account begins from the programme’s commitment to an inescapability Habermas himself indexes (§2.1.4), and an individuation relative to an exchange is an index of the same form, applied to the identity of what is enacted and not to the necessity with which it binds, so that the amendment widens the interval and does not close it. Derrida himself later supplies the nearest counterpart to the illocutionary bond, in the sworn faith of 1996, a pledge of promising at work in every address and guaranteed by nothing, to which the thin</w:t>
      </w:r>
      <w:r>
        <w:t xml:space="preserve"> </w:t>
      </w:r>
      <w:r>
        <w:rPr>
          <w:iCs/>
          <w:i/>
        </w:rPr>
        <w:t xml:space="preserve">Dass</w:t>
      </w:r>
      <w:r>
        <w:t xml:space="preserve"> </w:t>
      </w:r>
      <w:r>
        <w:t xml:space="preserve">stands nearer than the thick reading stood; what separates the two is that the pledge is held answerable in these chapters to the practice of giving and asking for reasons and by Derrida to nothing that practice could supply.</w:t>
      </w:r>
      <w:r>
        <w:rPr>
          <w:rStyle w:val="FootnoteReference"/>
        </w:rPr>
        <w:footnoteReference w:id="162"/>
      </w:r>
      <w:r>
        <w:t xml:space="preserve"> </w:t>
      </w:r>
      <w:r>
        <w:t xml:space="preserve">What is owed is the passage from an individuation bounded by the exchange to an irrefutability which no exchange bounds, that is, whether exchange-relative recognisability can carry irrefutability</w:t>
      </w:r>
      <w:r>
        <w:t xml:space="preserve"> </w:t>
      </w:r>
      <w:r>
        <w:rPr>
          <w:iCs/>
          <w:i/>
        </w:rPr>
        <w:t xml:space="preserve">simpliciter</w:t>
      </w:r>
      <w:r>
        <w:t xml:space="preserve"> </w:t>
      </w:r>
      <w:r>
        <w:t xml:space="preserve">or only irrefutability within this exchange, a question the amendment states more sharply than the unamended premise could; Chapter Three receives it at §3.2.2 and attempts the passage at §3.3.2, by the retorsion — the turning of a denial upon its own performance — and within the limit declared there.</w:t>
      </w:r>
    </w:p>
    <w:p>
      <w:pPr>
        <w:pStyle w:val="BodyText"/>
      </w:pPr>
      <w:r>
        <w:t xml:space="preserve">One consequence of the amendment strengthens an objection framed in the terms of Wellmer’s critique of the idealisations, though not his in this form: that the presuppositions of argumentation are counterfactual idealisations which participants project, and not conditions a performance enacts. On that objection a</w:t>
      </w:r>
      <w:r>
        <w:t xml:space="preserve"> </w:t>
      </w:r>
      <w:r>
        <w:rPr>
          <w:iCs/>
          <w:i/>
        </w:rPr>
        <w:t xml:space="preserve">Dass</w:t>
      </w:r>
      <w:r>
        <w:t xml:space="preserve"> </w:t>
      </w:r>
      <w:r>
        <w:t xml:space="preserve">individuated thinly is harder to distinguish from a projected idealisation than a thickly individuated one was. The distinction nevertheless holds, by the criterion §2.1.1 fixed: the</w:t>
      </w:r>
      <w:r>
        <w:t xml:space="preserve"> </w:t>
      </w:r>
      <w:r>
        <w:rPr>
          <w:iCs/>
          <w:i/>
        </w:rPr>
        <w:t xml:space="preserve">Dass</w:t>
      </w:r>
      <w:r>
        <w:t xml:space="preserve"> </w:t>
      </w:r>
      <w:r>
        <w:t xml:space="preserve">is individuated by what its performed denial would undo. An idealisation’s fulfilment can be denied without self-undoing, since a participant who says that the conditions of this exchange fall short of the ideal still argues; what cannot be denied without self-undoing is the anticipation itself, and the anticipation is then no projection at a participant’s disposal but a condition the performance enacts. A condition enacted in the performance is not given up but attempted against, and the attempt undoes itself. Thinning the individuation alters how widely the undoing reaches, within this exchange rather than across all exchanges, and alters nothing about whether there is an undoing to be had.</w:t>
      </w:r>
    </w:p>
    <w:bookmarkEnd w:id="163"/>
    <w:bookmarkEnd w:id="164"/>
    <w:bookmarkStart w:id="183" w:name="Xc961f1ffb6da236679aaeb7db5b6c306458ff29"/>
    <w:p>
      <w:pPr>
        <w:pStyle w:val="Heading2"/>
      </w:pPr>
      <w:r>
        <w:t xml:space="preserve">§2.4 · Self-Reflexivity: The Three Resources, Two Circularities, and the Aporia as Limit</w:t>
      </w:r>
    </w:p>
    <w:bookmarkStart w:id="176" w:name="X19f279310f20924cd127d417625661ac2d12365"/>
    <w:p>
      <w:pPr>
        <w:pStyle w:val="Heading3"/>
      </w:pPr>
      <w:r>
        <w:t xml:space="preserve">§2.4.1 · Self-reflexivity, and the three resources with their costs</w:t>
      </w:r>
    </w:p>
    <w:p>
      <w:pPr>
        <w:pStyle w:val="FirstParagraph"/>
      </w:pPr>
      <w:r>
        <w:t xml:space="preserve">The tensions the three commitments generate from within cannot be resolved while the programme is retained: a resolution reached by weakening any commitment would defend the programme by abandoning it (§2.1.5). If the commitments are to be retained, the tensions must be sustained, and the discipline of sustaining them — each objection met not by refutation but by a bounded concession whose boundary then determines the tension’s shape — is philosophical self-reflexivity, argument turned back upon the conditions of its own possibility. Two properties of different orders meet in that phrase: the self-referentiality of argumentation, a property of the object, since every argument instantiates the conditions under which arguments are made, and the self-reflexivity of philosophy, the consequence at the level of the discipline, since an enquiry whose object is the conditions of argument, and whose instrument is argument, has no exterior from which to specify what it studies. The warrant is Habermas’s own diagnosis of what the tradition had to surrender, which §2.1 expounds, and the consequence, which he does not draw, is that the reversal of the gaze cannot be executed from outside: a discipline which has renounced the objectivating stance towards its own conditions cannot reoccupy that stance to describe its renunciation without withdrawing the renunciation, and a philosophy to which the lifeworld is present only as horizon (§2.1.1) has a position within the horizon and no vantage upon it. The discipline’s turn upon its own conditions must therefore itself be conducted from the participant’s perspective, and this is a constraint upon the present argument and not merely a thesis it reports: a self-reflexivity which borrowed an observer’s standpoint would reoccupy, in its method, the position its own premise forecloses.</w:t>
      </w:r>
    </w:p>
    <w:p>
      <w:pPr>
        <w:pStyle w:val="BodyText"/>
      </w:pPr>
      <w:r>
        <w:t xml:space="preserve">The first resource is the</w:t>
      </w:r>
      <w:r>
        <w:t xml:space="preserve"> </w:t>
      </w:r>
      <w:r>
        <w:rPr>
          <w:iCs/>
          <w:i/>
        </w:rPr>
        <w:t xml:space="preserve">Faktum der Vernunft</w:t>
      </w:r>
      <w:r>
        <w:t xml:space="preserve">, the Kantian term Habermas borrows analogically for a compulsion given and not derived; it stands in his text concessively and by analogy, and the immediacy Henrich charged against the theory of communicative action (§2.1) has its address in this resource, a compulsion the programme admits it can clarify and not ground, so that the charge is met by a concession and not by a refutation; the use to which it is put, sustaining irrefutability at the operative register, is not Habermas’s. The programme’s commitment to an inescapability it can specify only fallibly takes, on the reading of C3 offered at §2.1.5, this form: whoever argues that no presupposition of argumentation is beyond denial defeats his own performance in the arguing, and the defeat occurs in the deed, whatever any theory has said of what he denies, the licence for the result being sought at Chapter Three §3.3.1. At MCCA 95 the demonstration is first delimited, in the sentence §2.1.5 displays; only then is the concession entered, concessively:</w:t>
      </w:r>
      <w:r>
        <w:t xml:space="preserve"> </w:t>
      </w:r>
      <w:r>
        <w:t xml:space="preserve">‘</w:t>
      </w:r>
      <w:r>
        <w:t xml:space="preserve">True, the participants must have accepted them as a</w:t>
      </w:r>
      <w:r>
        <w:t xml:space="preserve"> </w:t>
      </w:r>
      <w:r>
        <w:t xml:space="preserve">“</w:t>
      </w:r>
      <w:r>
        <w:t xml:space="preserve">fact of reason</w:t>
      </w:r>
      <w:r>
        <w:t xml:space="preserve">”</w:t>
      </w:r>
      <w:r>
        <w:t xml:space="preserve"> </w:t>
      </w:r>
      <w:r>
        <w:t xml:space="preserve">in setting out to argue.</w:t>
      </w:r>
      <w:r>
        <w:t xml:space="preserve">’</w:t>
      </w:r>
      <w:r>
        <w:t xml:space="preserve"> </w:t>
      </w:r>
      <w:r>
        <w:t xml:space="preserve">The denial follows adversatively:</w:t>
      </w:r>
      <w:r>
        <w:t xml:space="preserve"> </w:t>
      </w:r>
      <w:r>
        <w:t xml:space="preserve">‘</w:t>
      </w:r>
      <w:r>
        <w:t xml:space="preserve">But this kind of argument cannot accomplish a transcendental deduction in the Kantian sense.</w:t>
      </w:r>
      <w:r>
        <w:t xml:space="preserve">’</w:t>
      </w:r>
      <w:r>
        <w:rPr>
          <w:rStyle w:val="FootnoteReference"/>
        </w:rPr>
        <w:footnoteReference w:id="165"/>
      </w:r>
      <w:r>
        <w:t xml:space="preserve"> </w:t>
      </w:r>
      <w:r>
        <w:t xml:space="preserve">The three moves are printed in that sequence, and the sequence carries the reading: the concession stands between the delimitation and the denial and names what the delimited demonstration presupposes and does not justify, the rules themselves, which the participants are said to have</w:t>
      </w:r>
      <w:r>
        <w:t xml:space="preserve"> </w:t>
      </w:r>
      <w:r>
        <w:rPr>
          <w:iCs/>
          <w:i/>
        </w:rPr>
        <w:t xml:space="preserve">accepted</w:t>
      </w:r>
      <w:r>
        <w:t xml:space="preserve"> </w:t>
      </w:r>
      <w:r>
        <w:t xml:space="preserve">as a fact of reason. The concession also narrows the object of that acceptance and fixes its mode. The sentence of Kuhlmann’s which Habermas has just displayed has participants who have always already accepted</w:t>
      </w:r>
      <w:r>
        <w:t xml:space="preserve"> </w:t>
      </w:r>
      <w:r>
        <w:t xml:space="preserve">‘</w:t>
      </w:r>
      <w:r>
        <w:t xml:space="preserve">the propositions and rules</w:t>
      </w:r>
      <w:r>
        <w:t xml:space="preserve">’</w:t>
      </w:r>
      <w:r>
        <w:t xml:space="preserve"> </w:t>
      </w:r>
      <w:r>
        <w:t xml:space="preserve">belonging to the presuppositions; his rejoinder, introduced in the German by a corrective which the translation softens to an equivalence, names the rules alone, and has them acknowledged solely by the participants’ taking up argument, a restriction carried in the German by</w:t>
      </w:r>
      <w:r>
        <w:t xml:space="preserve"> </w:t>
      </w:r>
      <w:r>
        <w:rPr>
          <w:iCs/>
          <w:i/>
        </w:rPr>
        <w:t xml:space="preserve">allein</w:t>
      </w:r>
      <w:r>
        <w:t xml:space="preserve"> </w:t>
      </w:r>
      <w:r>
        <w:t xml:space="preserve">and dropped by the translation.</w:t>
      </w:r>
      <w:r>
        <w:rPr>
          <w:rStyle w:val="FootnoteReference"/>
        </w:rPr>
        <w:footnoteReference w:id="166"/>
      </w:r>
      <w:r>
        <w:t xml:space="preserve"> </w:t>
      </w:r>
      <w:r>
        <w:t xml:space="preserve">The acknowledgement is thereby placed in the deed and withheld from the propositions Kuhlmann had joined to the rules, and the sentence distributes its predicates across the categorial boundary §2.1.1 states without remarking on the alignment. The restriction is stated again thirty-five pages later, in the title essay of the same volume: the presuppositions</w:t>
      </w:r>
      <w:r>
        <w:t xml:space="preserve"> </w:t>
      </w:r>
      <w:r>
        <w:t xml:space="preserve">‘</w:t>
      </w:r>
      <w:r>
        <w:t xml:space="preserve">always already underlie the communicative practice of everyday life and that cannot be picked or chosen like makes of cars or value postulates</w:t>
      </w:r>
      <w:r>
        <w:t xml:space="preserve">’</w:t>
      </w:r>
      <w:r>
        <w:t xml:space="preserve">, and the fact of reason itself admits, in the sentence Chapter One §1.5.3 displays, of clarification and not of deductive grounding, argumentative speech being conceived as a special case of action oriented to reaching understanding, and a privileged derivative of it.</w:t>
      </w:r>
      <w:r>
        <w:rPr>
          <w:rStyle w:val="FootnoteReference"/>
        </w:rPr>
        <w:footnoteReference w:id="167"/>
      </w:r>
      <w:r>
        <w:t xml:space="preserve"> </w:t>
      </w:r>
      <w:r>
        <w:t xml:space="preserve">What the resource secures is accordingly indexed to performance from the outset. Its office against the sceptic is one thing; its office against an argument about the conditions of a sign’s recognisability is another, and the cost of the second is the amendment §2.3.3 makes to the individuation of the</w:t>
      </w:r>
      <w:r>
        <w:t xml:space="preserve"> </w:t>
      </w:r>
      <w:r>
        <w:rPr>
          <w:iCs/>
          <w:i/>
        </w:rPr>
        <w:t xml:space="preserve">Dass</w:t>
      </w:r>
      <w:r>
        <w:t xml:space="preserve">.</w:t>
      </w:r>
    </w:p>
    <w:p>
      <w:pPr>
        <w:pStyle w:val="BodyText"/>
      </w:pPr>
      <w:r>
        <w:t xml:space="preserve">The second resource is the confutative method itself, post-metaphysical philosophy’s characteristic</w:t>
      </w:r>
      <w:r>
        <w:t xml:space="preserve"> </w:t>
      </w:r>
      <w:r>
        <w:rPr>
          <w:iCs/>
          <w:i/>
        </w:rPr>
        <w:t xml:space="preserve">via negativa</w:t>
      </w:r>
      <w:r>
        <w:t xml:space="preserve">, establishing results by exhibiting the self-defeat of denials rather than by deriving them from self-evident premises. It is Habermas’s in a form which differs from the elenctic exhibition of §2.1 in what it claims for the same procedure: the demonstration of 1983 is said to prove that the rules of argumentation have no alternatives (§2.1.5), a result stated as a proposition about the practice, whereas the elenctic exhibition claims nothing beyond the occasion of the denial and seeks its licence at Chapter Three §3.3.1. Its reach is bounded by that occasion, and its cost, the priority of communicative over strategic action left undischarged by confutation alone, is the debt adjudicated at §2.2.3.</w:t>
      </w:r>
    </w:p>
    <w:p>
      <w:pPr>
        <w:pStyle w:val="BodyText"/>
      </w:pPr>
      <w:r>
        <w:t xml:space="preserve">The third resource answers the objection, stated at §2.1.2, which Habermas enters against his own programme in the first volume of</w:t>
      </w:r>
      <w:r>
        <w:t xml:space="preserve"> </w:t>
      </w:r>
      <w:r>
        <w:rPr>
          <w:iCs/>
          <w:i/>
        </w:rPr>
        <w:t xml:space="preserve">Auch eine Geschichte der Philosophie</w:t>
      </w:r>
      <w:r>
        <w:t xml:space="preserve">.</w:t>
      </w:r>
      <w:r>
        <w:rPr>
          <w:rStyle w:val="FootnoteReference"/>
        </w:rPr>
        <w:footnoteReference w:id="168"/>
      </w:r>
      <w:r>
        <w:t xml:space="preserve"> </w:t>
      </w:r>
      <w:r>
        <w:t xml:space="preserve">It answers it by a shift Habermas states in his own words, from the validity to the genesis of convictions, the genesis being itself understood as rational: only the patterns of argument formed in learning processes which can be rationally retraced (</w:t>
      </w:r>
      <w:r>
        <w:rPr>
          <w:iCs/>
          <w:i/>
        </w:rPr>
        <w:t xml:space="preserve">rational nachvollziehbar</w:t>
      </w:r>
      <w:r>
        <w:t xml:space="preserve">) need, he writes, no further justification, and the steps must have appeared as learning to the participants themselves, and not only in retrospect. The genealogy is, on a reading Habermas does not offer, where the programme meets the requirement Apel names the</w:t>
      </w:r>
      <w:r>
        <w:t xml:space="preserve"> </w:t>
      </w:r>
      <w:r>
        <w:rPr>
          <w:iCs/>
          <w:i/>
        </w:rPr>
        <w:t xml:space="preserve">Selbsteinholungsprinzip</w:t>
      </w:r>
      <w:r>
        <w:t xml:space="preserve">, that a reconstruction render its own possibility intelligible as a result of what it reconstructs (§2.1.3), and it meets it as a genealogy of learning and not by a reflection. The proviso is entered in Habermas’s own voice: a genealogical consideration of learning processes would be a contradiction in itself, he writes, were it not framed so that the independence of the validity of statements from their genesis can be preserved at the logical-semantic level.</w:t>
      </w:r>
      <w:r>
        <w:rPr>
          <w:rStyle w:val="FootnoteReference"/>
        </w:rPr>
        <w:footnoteReference w:id="169"/>
      </w:r>
      <w:r>
        <w:t xml:space="preserve"> </w:t>
      </w:r>
      <w:r>
        <w:t xml:space="preserve">The resource vindicates, on an account which is not Habermas’s, a practice’s acquisition and the adequacy of its self-understanding, and not the validity of its statements, which the proviso holds apart from their genesis at the logical-semantic level; what Habermas claims for the rationally retraced acquisition is that it frees the presuppositions of the modern understanding of self and world from a contingency otherwise asserted or denounced,</w:t>
      </w:r>
      <w:r>
        <w:rPr>
          <w:rStyle w:val="FootnoteReference"/>
        </w:rPr>
        <w:footnoteReference w:id="170"/>
      </w:r>
      <w:r>
        <w:t xml:space="preserve"> </w:t>
      </w:r>
      <w:r>
        <w:t xml:space="preserve">which is the removal of an objection to their validity and not the supply of a ground for it, and the limitation is legible in the shape of the move itself, which answers a genealogical question with a solution no longer genealogical in the sense that posed it. The taxonomy under which the move is made is threefold — subversive, problematising, vindicatory — and the move Habermas makes is of the third kind, against a charge of the first; the author to whom Habermas credits the taxonomy advances it against the genealogy he undertakes, and not as an instrument offered to it, a contest recorded and not entered.</w:t>
      </w:r>
      <w:r>
        <w:rPr>
          <w:rStyle w:val="FootnoteReference"/>
        </w:rPr>
        <w:footnoteReference w:id="171"/>
      </w:r>
    </w:p>
    <w:p>
      <w:pPr>
        <w:pStyle w:val="BodyText"/>
      </w:pPr>
      <w:r>
        <w:t xml:space="preserve">A further thesis stands upon the second resource and upon the record of the architecture’s amendments: that standing critiques of the architecture are</w:t>
      </w:r>
      <w:r>
        <w:t xml:space="preserve"> </w:t>
      </w:r>
      <w:r>
        <w:rPr>
          <w:iCs/>
          <w:i/>
        </w:rPr>
        <w:t xml:space="preserve">internal</w:t>
      </w:r>
      <w:r>
        <w:t xml:space="preserve"> </w:t>
      </w:r>
      <w:r>
        <w:t xml:space="preserve">to the self-reflexive practice, amendments within it and not defeaters of it. The thesis has two components, differently secured, and the charge that it converts the programme into an unfalsifiable dogma is answered by keeping them apart. The categorial component, that a critique advanced in discourse enacts whatever conditions argument has, is secured performatively on each occasion of its advancing, and no case history defeats it there; which conditions those are is a reconstruction, and a case can narrow it. The historical component, that the architecture in fact answers such critiques by amendment rather than by relabelling, is falsifiable in the ordinary way, since a single sustained objection met by relabelling would defeat it; it is illustrated by one instance, the retraction of the consensus-theoretic conception of truth, which Habermas himself attributes to the pressure of named critics (Chapter One §1.5.6); that the retraction is an amendment and not a relabelling is an interpretive construal, and the component is carried no further than the instances examined carry it.</w:t>
      </w:r>
      <w:r>
        <w:rPr>
          <w:rStyle w:val="FootnoteReference"/>
        </w:rPr>
        <w:footnoteReference w:id="172"/>
      </w:r>
      <w:r>
        <w:t xml:space="preserve"> </w:t>
      </w:r>
      <w:r>
        <w:t xml:space="preserve">A charge of unfalsifiability pressed against the instrument rather than the thesis is met on firmer ground: §2.1.1 states two determinate conditions under which the categorial premise would be defeated, both checkable by anyone, and the instrument, turned upon the premise of the argument deploying it at §2.3.3, returned the verdict that the premise could not be defended unchanged and cost the</w:t>
      </w:r>
      <w:r>
        <w:t xml:space="preserve"> </w:t>
      </w:r>
      <w:r>
        <w:rPr>
          <w:iCs/>
          <w:i/>
        </w:rPr>
        <w:t xml:space="preserve">Dass</w:t>
      </w:r>
      <w:r>
        <w:t xml:space="preserve"> </w:t>
      </w:r>
      <w:r>
        <w:t xml:space="preserve">its thick individuation, a cost which distinguishes an amendment from a re-description. The programme’s own self-understanding supports the operative–propositional asymmetry so far as certainty is concerned, and in Habermas’s own voice, in the sentence §2.1.1 displays in which he withholds from</w:t>
      </w:r>
      <w:r>
        <w:t xml:space="preserve"> </w:t>
      </w:r>
      <w:r>
        <w:t xml:space="preserve">‘</w:t>
      </w:r>
      <w:r>
        <w:t xml:space="preserve">our reconstruction</w:t>
      </w:r>
      <w:r>
        <w:t xml:space="preserve">’</w:t>
      </w:r>
      <w:r>
        <w:t xml:space="preserve"> </w:t>
      </w:r>
      <w:r>
        <w:t xml:space="preserve">of pretheoretical knowledge the non-fallibility he grants, in a certain sense, to the intuitive knowledge of rules.</w:t>
      </w:r>
      <w:r>
        <w:rPr>
          <w:rStyle w:val="FootnoteReference"/>
        </w:rPr>
        <w:footnoteReference w:id="173"/>
      </w:r>
      <w:r>
        <w:t xml:space="preserve"> </w:t>
      </w:r>
      <w:r>
        <w:t xml:space="preserve">The thesis has, lastly, a determinate outside, which is named: the decisionist’s refusal to argue, which is not an objection raised in discourse and falls under neither component.</w:t>
      </w:r>
    </w:p>
    <w:p>
      <w:pPr>
        <w:pStyle w:val="BodyText"/>
      </w:pPr>
      <w:r>
        <w:t xml:space="preserve">The tension of the standpoint takes a further form: not an objection which would ground communicative reason in something further, but a challenge whose content assigns the standing of any ground to a decision, and Apel’s own texts supply its shape. Fundamental evidence, on the position he reports and rejects,</w:t>
      </w:r>
      <w:r>
        <w:t xml:space="preserve"> </w:t>
      </w:r>
      <w:r>
        <w:t xml:space="preserve">‘</w:t>
      </w:r>
      <w:r>
        <w:t xml:space="preserve">can neither be denied without self-contradiction nor be grounded without</w:t>
      </w:r>
      <w:r>
        <w:t xml:space="preserve"> </w:t>
      </w:r>
      <w:r>
        <w:rPr>
          <w:iCs/>
          <w:i/>
        </w:rPr>
        <w:t xml:space="preserve">petitio principii</w:t>
      </w:r>
      <w:r>
        <w:t xml:space="preserve">. Therefore, it is said, the</w:t>
      </w:r>
      <w:r>
        <w:t xml:space="preserve"> </w:t>
      </w:r>
      <w:r>
        <w:rPr>
          <w:iCs/>
          <w:i/>
        </w:rPr>
        <w:t xml:space="preserve">fundamental-grounding must be superseded by a fundamental-decision</w:t>
      </w:r>
      <w:r>
        <w:t xml:space="preserve">’</w:t>
      </w:r>
      <w:r>
        <w:t xml:space="preserve"> </w:t>
      </w:r>
      <w:r>
        <w:t xml:space="preserve">— a solution he ascribes to Stegmüller and to Popper, and which</w:t>
      </w:r>
      <w:r>
        <w:t xml:space="preserve"> </w:t>
      </w:r>
      <w:r>
        <w:t xml:space="preserve">‘</w:t>
      </w:r>
      <w:r>
        <w:t xml:space="preserve">clearly corresponds again to the purely logically deduced</w:t>
      </w:r>
      <w:r>
        <w:t xml:space="preserve"> </w:t>
      </w:r>
      <w:r>
        <w:t xml:space="preserve">“</w:t>
      </w:r>
      <w:r>
        <w:t xml:space="preserve">Münchhausen-Trilemma</w:t>
      </w:r>
      <w:r>
        <w:t xml:space="preserve">”</w:t>
      </w:r>
      <w:r>
        <w:t xml:space="preserve"> </w:t>
      </w:r>
      <w:r>
        <w:t xml:space="preserve">of fundamental-grounding in the sense of Hans Albert</w:t>
      </w:r>
      <w:r>
        <w:t xml:space="preserve">’</w:t>
      </w:r>
      <w:r>
        <w:t xml:space="preserve">.</w:t>
      </w:r>
      <w:r>
        <w:rPr>
          <w:rStyle w:val="FootnoteReference"/>
        </w:rPr>
        <w:footnoteReference w:id="174"/>
      </w:r>
      <w:r>
        <w:t xml:space="preserve"> </w:t>
      </w:r>
      <w:r>
        <w:t xml:space="preserve">Against a challenge of this shape no demonstration is available, and the unavailability is principled, since a demonstration would presuppose, as the court before which its own case is tried, the practice whose title is disputed. What can be exhibited is the challenge’s own performance: raised as a claim addressed to interlocutors, it enacts in the address the conditions of claim-raising its content denies. Reciprocity of address is all that is claimed for the enactment, in the measure Chapter Three §3.3.1 allows the exhibition, and nothing of the symmetry or equal entitlement that chapter withholds from it; this secures a compulsion and no refutation, and forecloses the challenge only as something arguable. The decisionist position licenses a reply which changes the dispute’s shape: not to deny that arguing enacts the presuppositions, but to exit the practice, refusing to argue and demonstrating in conduct what could not be asserted in speech. Where the floor lies which admits of no exit, at argumentation as such or at the everyday communicative practice beneath it, divides Habermas from Apel (§2.2.3; Chapter One §1.6.2).</w:t>
      </w:r>
      <w:r>
        <w:rPr>
          <w:rStyle w:val="FootnoteReference"/>
        </w:rPr>
        <w:footnoteReference w:id="175"/>
      </w:r>
      <w:r>
        <w:t xml:space="preserve"> </w:t>
      </w:r>
      <w:r>
        <w:t xml:space="preserve">Whether the exit is available governs where the deficit has its practical face: if it is, the face falls between the compulsion binding the participant and the</w:t>
      </w:r>
      <w:r>
        <w:t xml:space="preserve"> </w:t>
      </w:r>
      <w:r>
        <w:rPr>
          <w:iCs/>
          <w:i/>
        </w:rPr>
        <w:t xml:space="preserve">Sollgeltung</w:t>
      </w:r>
      <w:r>
        <w:t xml:space="preserve"> </w:t>
      </w:r>
      <w:r>
        <w:t xml:space="preserve">the agent owes, and it rests upon Habermas’s own concession of the exit, a consequence Chapter Three §3.3.6 draws while the second-stage question stands open, whether the norms of reciprocity are among the conditions of determinate signification.</w:t>
      </w:r>
    </w:p>
    <w:p>
      <w:pPr>
        <w:pStyle w:val="BodyText"/>
      </w:pPr>
      <w:r>
        <w:t xml:space="preserve">Adjudicating between the parties at that floor is the recurrence the resources generate,</w:t>
      </w:r>
      <w:r>
        <w:t xml:space="preserve"> </w:t>
      </w:r>
      <w:r>
        <w:rPr>
          <w:iCs/>
          <w:i/>
        </w:rPr>
        <w:t xml:space="preserve">the legitimacy question</w:t>
      </w:r>
      <w:r>
        <w:t xml:space="preserve">, whether philosophical discourse, confutative, self-referential and without grounding external to itself, is entitled to the verdicts it returns upon its own conditions. It arises in the definition-or-description dilemma of §2.1.2, in the framing objection to the yield-question at §2.2.3, in the third of the questions C2 puts to the displacement of the solitary subject (§2.1.3), and at the exit, where it takes its sharpest form, whether such a discourse may declare an exit foreclosed. Its adjudication is the dispute over the presuppositions’ irrefutability which Chapter Three conducts.</w:t>
      </w:r>
    </w:p>
    <w:bookmarkEnd w:id="176"/>
    <w:bookmarkStart w:id="182" w:name="X44b23a012de5f79b7c66e3824978d0368abe643"/>
    <w:p>
      <w:pPr>
        <w:pStyle w:val="Heading3"/>
      </w:pPr>
      <w:r>
        <w:t xml:space="preserve">§2.4.2 · Two circularities, and the aporia as limit</w:t>
      </w:r>
    </w:p>
    <w:p>
      <w:pPr>
        <w:pStyle w:val="FirstParagraph"/>
      </w:pPr>
      <w:r>
        <w:t xml:space="preserve">The instrument used throughout, the operative–propositional asymmetry, sorts a family of circularities recurring at different levels and depths, and the sorting is itself an exercise of the self-reflexivity §2.4.1 named: a method under which every circularity charged against it is found benign owes a demonstration that the verdicts are reached by argument and not by definition, and the sorting supplies it only where it shows that the item charged is an exhibition, and not merely that an exhibition would be benign. Two circularities are distinct, and five formulations reduce to them. The first is the reconstructive circle, charged at three levels. At the level of the object it is Apel’s charge that the empirical testing of the presuppositions must already presuppose their validity in order to understand what such testing would be (§2.2.1); at the level of the discipline it is the charge C2 states in the genealogist’s name and in a formulation which is no one critic’s, that the philosopher’s self-description as reconstructor is itself a move within the practice reconstructed; at the level of the architecture it is a formulation, likewise no critic’s, on which the reflexive claim is warranted by the practice it examines. It is benign at each level: a reconstruction which enacts the presuppositions it articulates has inferred nothing from them, enactment being not entailment (§2.1.5); the regress the second level alleges is one of assertions while the irrefutability is operative, on the ground Chapter Three §3.3.3 supplies; and the warrant the third level alleges is exhibited in the practice and not inferred from it.</w:t>
      </w:r>
      <w:r>
        <w:rPr>
          <w:rStyle w:val="FootnoteReference"/>
        </w:rPr>
        <w:footnoteReference w:id="177"/>
      </w:r>
      <w:r>
        <w:t xml:space="preserve"> </w:t>
      </w:r>
      <w:r>
        <w:t xml:space="preserve">The second is the circle of the test, charged in two adjacent forms: the hermeneutic form, the immanent test moving within the circle it tests, which no critic presses in these terms and whose sufficiency-debt is met where Chapter Three §3.1 absorbs the hermeneutic-priority objection Kompridis presses; and Wellmer’s justificatory form, which he names in one sentence and does not pursue, and whose shape Habermas concedes of his own derivation of 1983, recording there a</w:t>
      </w:r>
      <w:r>
        <w:t xml:space="preserve"> </w:t>
      </w:r>
      <w:r>
        <w:rPr>
          <w:iCs/>
          <w:i/>
        </w:rPr>
        <w:t xml:space="preserve">petitio principii</w:t>
      </w:r>
      <w:r>
        <w:t xml:space="preserve"> </w:t>
      </w:r>
      <w:r>
        <w:t xml:space="preserve">(Chapter One §1.5.3): that the central content of the principle of universalisation is introduced into its derivation by a supplementary semantic premise, so that the justification presupposes its own result;</w:t>
      </w:r>
      <w:r>
        <w:rPr>
          <w:rStyle w:val="FootnoteReference"/>
        </w:rPr>
        <w:footnoteReference w:id="178"/>
      </w:r>
      <w:r>
        <w:t xml:space="preserve"> </w:t>
      </w:r>
      <w:r>
        <w:t xml:space="preserve">generalised, the charge reaches any justification of that shape. Read as a derivation the step invites the charge, as Habermas’s own admission for 1983 shows; read as an exhibition it derives nothing, which is the deficit reached above and adjudicated in Chapter Four. The two charges answer to two construals of one step, and Habermas’s own description of the move as nondeductive, with</w:t>
      </w:r>
      <w:r>
        <w:t xml:space="preserve"> </w:t>
      </w:r>
      <w:r>
        <w:t xml:space="preserve">‘</w:t>
      </w:r>
      <w:r>
        <w:t xml:space="preserve">derived</w:t>
      </w:r>
      <w:r>
        <w:t xml:space="preserve">’</w:t>
      </w:r>
      <w:r>
        <w:t xml:space="preserve"> </w:t>
      </w:r>
      <w:r>
        <w:t xml:space="preserve">in his quotation marks (§2.2.2), assigns it to the second. In both circles the circularity is vicious only if the exhibition is misread as a grounding; the showing that the item charged is an exhibition is made above for the first circle at the level of the object and for the second in Wellmer’s form, and rests for the remainder upon results Chapter Three §3.1, §3.2.3 and §3.3.3 supply.</w:t>
      </w:r>
    </w:p>
    <w:p>
      <w:pPr>
        <w:pStyle w:val="BodyText"/>
      </w:pPr>
      <w:r>
        <w:t xml:space="preserve">A circularity is a relation of presupposition, a procedure turning upon a condition it also delivers, and the question it raises is whether the turning is vicious. The aporia of the meaning of truth is a relation of orientation: the practice is directed towards something which, being by hypothesis beyond every context of justification, it cannot deliver, and no reading of the direction as exhibition rather than grounding relieves it, because what is at issue is not how the practice warrants its conditions but that it reaches beyond every warrant it can give. This is the form in which the residue §2.1 recorded survives the renunciations: the moment of unconditionality is preserved, on Habermas’s own account, at most as a critical procedure, and a procedure can test every claim to the validity it intends without being able to deliver that validity, so that the transcendental illusion whose shadow he sees still falling upon communicative reason is cast where the orientation outruns the procedure. The aporia is accordingly not a third circularity, and the difference is categorial rather than one of degree, anticipated by the confinement’s own disanalogy at §2.1.3 and resting upon the distinction just drawn, which the argument enters as its own and derives from no further result. The criterion sorting the circularities accordingly has no jurisdiction here, on its own terms and not by an external rule, since a criterion built to ask whether presupposition is misread as grounding has nothing to say about an orientation which outruns every warrant the practice can give. Habermas’s own answer, which lodges the justification-transcendent reference of truth in the certainties of action and returns discursively vindicated beliefs to it, is examined at Chapter Three §3.4.2–§3.4.4.</w:t>
      </w:r>
    </w:p>
    <w:p>
      <w:pPr>
        <w:pStyle w:val="BodyText"/>
      </w:pPr>
      <w:r>
        <w:t xml:space="preserve">The word carries two other senses in the traditions drawn upon, and its own sense is fixed against both. For Aristotle the difficulty of thought points to a knot in its object, to be surveyed before it can be untied, in the methodological doctrine of</w:t>
      </w:r>
      <w:r>
        <w:t xml:space="preserve"> </w:t>
      </w:r>
      <w:r>
        <w:rPr>
          <w:iCs/>
          <w:i/>
        </w:rPr>
        <w:t xml:space="preserve">Metaphysics</w:t>
      </w:r>
      <w:r>
        <w:t xml:space="preserve"> </w:t>
      </w:r>
      <w:r>
        <w:t xml:space="preserve">Β.1 which Chapter Three §3.3.1 displays; for Derrida the word names a nonpassage,</w:t>
      </w:r>
      <w:r>
        <w:t xml:space="preserve"> </w:t>
      </w:r>
      <w:r>
        <w:t xml:space="preserve">‘</w:t>
      </w:r>
      <w:r>
        <w:t xml:space="preserve">the experience of what happens and is fascinating in this nonpassage, paralyzing us in this separation in a way that is not necessarily negative</w:t>
      </w:r>
      <w:r>
        <w:t xml:space="preserve">’</w:t>
      </w:r>
      <w:r>
        <w:t xml:space="preserve">, distinguished expressly from an apparent antinomy, from a dialectisable contradiction and from a transcendental illusion.</w:t>
      </w:r>
      <w:r>
        <w:rPr>
          <w:rStyle w:val="FootnoteReference"/>
        </w:rPr>
        <w:footnoteReference w:id="179"/>
      </w:r>
      <w:r>
        <w:t xml:space="preserve"> </w:t>
      </w:r>
      <w:r>
        <w:t xml:space="preserve">The aporia of truth is neither: not a knot, since the orientation to a context-transcending validity is constitutive of the practice and would survive any resolution of the difficulties it generates, so that a survey reports it and unties nothing; and not a nonpassage endured, since a speaker who claims truth meets no obstacle in the claiming. The word is declined in one sense, endurance as a subject’s experience of an obstacle; the sense in which the Conclusion speaks of the aporia as endured, as the form of a result which admits of no transition, is another, and is not declined. The limit is visible in the reflexive turn alone, to one who makes, from within the practice, the turn §2.1.2 assigns to the interpreter, no longer looking through what is said to the world but upon the rules by which the speaking proceeds, and from no standpoint outside the practice, which §2.4.1 has foreclosed; it belongs to one competence turned upon itself and not to a second person, and the answerability §2.1.2 fixes runs in one direction still. The aporia so reached is a limit of grounding in a sense kept apart from a deficit: not a warrant the practice owes and withholds, which is the condition Chapter Four §4.1.4 sets upon a deficit, but the determinate terminus which fixes what the practice’s orientation intends, exhibited within the practice, grounding nothing and, in the sense just declined, endured by no one. One formulation is nevertheless taken from Derrida, and declared taken: among the places of aporia he lists is iterability, glossed as</w:t>
      </w:r>
      <w:r>
        <w:t xml:space="preserve"> </w:t>
      </w:r>
      <w:r>
        <w:t xml:space="preserve">‘</w:t>
      </w:r>
      <w:r>
        <w:t xml:space="preserve">the conditions of possibility as conditions of impossibility</w:t>
      </w:r>
      <w:r>
        <w:t xml:space="preserve">’</w:t>
      </w:r>
      <w:r>
        <w:t xml:space="preserve">.</w:t>
      </w:r>
      <w:r>
        <w:rPr>
          <w:rStyle w:val="FootnoteReference"/>
        </w:rPr>
        <w:footnoteReference w:id="180"/>
      </w:r>
      <w:r>
        <w:t xml:space="preserve"> </w:t>
      </w:r>
      <w:r>
        <w:t xml:space="preserve">The gloss names the shape of the aporia of truth: the orientation to a validity which transcends every context is the condition of there being criticisable claims at all, since, upon the cautionary use of</w:t>
      </w:r>
      <w:r>
        <w:t xml:space="preserve"> </w:t>
      </w:r>
      <w:r>
        <w:t xml:space="preserve">‘</w:t>
      </w:r>
      <w:r>
        <w:t xml:space="preserve">true</w:t>
      </w:r>
      <w:r>
        <w:t xml:space="preserve">’</w:t>
      </w:r>
      <w:r>
        <w:t xml:space="preserve"> </w:t>
      </w:r>
      <w:r>
        <w:t xml:space="preserve">which Chapter Three retains at §3.4.2, the inferentialist alternative being costed at §3.4.4, a claim which could not outrun the agreement of the practice as a whole, however far pursued, could not be mistaken in the sense that use requires, and the same orientation is the condition of the claim’s never being discharged by any agreement reached within the practice, since what outruns every agreement cannot be discharged by one. The shape is taken and not the doctrine: Derrida’s aporia is the condition of responsibility and decision,</w:t>
      </w:r>
      <w:r>
        <w:t xml:space="preserve"> </w:t>
      </w:r>
      <w:r>
        <w:t xml:space="preserve">‘</w:t>
      </w:r>
      <w:r>
        <w:t xml:space="preserve">a sort of nonpassive endurance</w:t>
      </w:r>
      <w:r>
        <w:t xml:space="preserve">’</w:t>
      </w:r>
      <w:r>
        <w:t xml:space="preserve">; the aporia of truth is the condition of a practice’s being answerable to something it cannot supply.</w:t>
      </w:r>
    </w:p>
    <w:p>
      <w:pPr>
        <w:pStyle w:val="BodyText"/>
      </w:pPr>
      <w:r>
        <w:t xml:space="preserve">This is the terminus the three resources reach by a route other than the semantic one of Chapter Three §3.3.4 and §3.4.4. The semantic route brings to its sharpest form a pressure upon whether the aporia is intelligible at all, a pressure which falls upon the aporia and not upon the instrument by which it is reached, and which Chapter Three discharges, at §3.4.4, only upon the strong reading of the validity claim to intelligibility for which §3.3.2 argues without establishing it beyond contest. All three resources examined at §2.4.1 presuppose an answer to a question none of them poses: the</w:t>
      </w:r>
      <w:r>
        <w:t xml:space="preserve"> </w:t>
      </w:r>
      <w:r>
        <w:rPr>
          <w:iCs/>
          <w:i/>
        </w:rPr>
        <w:t xml:space="preserve">Faktum</w:t>
      </w:r>
      <w:r>
        <w:t xml:space="preserve"> </w:t>
      </w:r>
      <w:r>
        <w:t xml:space="preserve">secures a fact of reason and says nothing about what makes a claim true, Habermas’s own disjunction at MCCA 130 offering clarification where grounding is refused, and clarification of a practice is not an account of what the practice answers to; the confutative method exhibits self-defeat and is silent upon what a defeated claim was defeated against; the genealogy accounts for the acquisition of convictions and refuses, by its own proviso, to speak to their validity. Two routes, distinct in their instruments though sharing the categorial premise of §2.1.1, one through semantics and one through the three instruments of self-reflexivity examined at §2.4.1, arrive at what is argued to be the same limit, which is evidence, so far as two routes sharing a premise can supply it, that the limit is not an artefact of the instruments proper to either; a third diagnosis, Levine’s, which falls at the junction of C2 and C3 on a mapping he does not make, corroborates without carrying anything.</w:t>
      </w:r>
      <w:r>
        <w:rPr>
          <w:rStyle w:val="FootnoteReference"/>
        </w:rPr>
        <w:footnoteReference w:id="181"/>
      </w:r>
    </w:p>
    <w:bookmarkEnd w:id="182"/>
    <w:bookmarkEnd w:id="183"/>
    <w:bookmarkStart w:id="184" w:name="the-cost-stated-and-what-is-handed-on"/>
    <w:p>
      <w:pPr>
        <w:pStyle w:val="Heading2"/>
      </w:pPr>
      <w:r>
        <w:t xml:space="preserve">§2.5 · The Cost Stated, and What Is Handed On</w:t>
      </w:r>
    </w:p>
    <w:p>
      <w:pPr>
        <w:pStyle w:val="FirstParagraph"/>
      </w:pPr>
      <w:r>
        <w:t xml:space="preserve">What has been shown is that the method by which formal pragmatics is reached is silent upon the modality of what it reconstructs, and that the silence is the cost of three commitments, each separately defensible and each presupposing the other two, which generate together three tensions, two of them the intervals of the deficit (§2.1); that the categorial premise on which the argument rests is stated with its ground in the behaviour of denial, its two consequences and its two falsifiers, the criterion of individuation being argued at Chapter Three §3.2.1 (§2.1.1); that Apel’s critique, heard on its four fronts, establishes against the letter of the programme a demand and an undischarged debt, and leaves standing the yield-question on which it turns, in the form the dispute gives it, whether a statement explicating the presuppositions takes on the standing of what it states (§2.2); that Habermas answers Derrida’s critique of presence at the level of the paradigm and not at the level of the identity of meaning, and that the argument from iterability forces upon the premise an amendment which narrows the individuation of the</w:t>
      </w:r>
      <w:r>
        <w:t xml:space="preserve"> </w:t>
      </w:r>
      <w:r>
        <w:rPr>
          <w:iCs/>
          <w:i/>
        </w:rPr>
        <w:t xml:space="preserve">Dass</w:t>
      </w:r>
      <w:r>
        <w:t xml:space="preserve"> </w:t>
      </w:r>
      <w:r>
        <w:t xml:space="preserve">without dissolving the premise (§2.3); that each of the three resources with which Habermas sustains the tensions carries a determinate cost, that critiques of the architecture fall within the self-reflexive practice on the categorial component, and are amendments within it on the historical component so far as the one instance examined reaches, while the decisionist’s refusal to argue stands outside it, and that the circularities charged against the programme are benign where exhibition is not mistaken for grounding (§2.4.1–§2.4.2); and that what remains beyond them is an aporia, in which the practice is oriented to a validity it cannot discharge, which none of the three resources addresses, and whose own intelligibility as an aporia rests upon the strong reading of the claim to intelligibility argued at Chapter Three §3.3.2 and left contestable there (§2.4.2). Two things are kept apart in the claim: the structural finding, that no modal status passes between the registers, which is neutral between the parties; and its practical face, which rests upon Habermas’s concession of the exit and is charged to his architecture while the second-stage question is open (§2.4.1). The response available to the programme is therefore real and is not a dissolution. It costs something statable, the enactment’s individuation narrowed from thick to thin, a cost borne by the instrument used on the programme’s behalf, and it relocates the tension rather than closing it; a programme which holds the three commitments on purpose cannot meet the cost of the tensions by weakening any of them without ceasing to be the programme, and can only sustain them, conducting its self-reflection from the participant’s perspective and declaring at each station what has been conceded.</w:t>
      </w:r>
    </w:p>
    <w:p>
      <w:pPr>
        <w:pStyle w:val="BodyText"/>
      </w:pPr>
      <w:r>
        <w:t xml:space="preserve">What is handed on goes to three destinations. To Chapter Three go the first interval and the legitimacy question: the interval is the tension of the relation stated at §2.1.5, closed on both routes reconstruction commands and open, if at all, to the access the counter-programme claims at the reflexive face of the performative (§2.2.3; Chapter Three §3.2.4); the legitimacy question, whether a discourse which has no exterior may declare an exit foreclosed, is taken up at Chapter Three §3.3.6 as the second-stage question and passes from there to Chapter Four. With them go the question §2.3.3 narrowed, whether recognisability relative to an exchange can carry irrefutability beyond it, received at Chapter Three §3.2.2 and attempted at §3.3.2 within the limit declared there, and the defence of the categorial premise against the inferentialist and the meaning-critical objections, in the individuation §2.3.3 amends. To Chapter Four go the deficit in its second interval, reached at §2.1.5 and inscribed in Habermas’s own statement of 2020, the objections to it, and the dropout, the sceptic who quits argumentation, whose exit Chapter One §1.6.2 examines; the question which follows is where bindingness is constituted if the presuppositions of argument do not constitute it, and whether the legal form of</w:t>
      </w:r>
      <w:r>
        <w:t xml:space="preserve"> </w:t>
      </w:r>
      <w:r>
        <w:rPr>
          <w:iCs/>
          <w:i/>
        </w:rPr>
        <w:t xml:space="preserve">Faktizität und Geltung</w:t>
      </w:r>
      <w:r>
        <w:t xml:space="preserve"> </w:t>
      </w:r>
      <w:r>
        <w:t xml:space="preserve">supplies what the presuppositions cannot supply from themselves. To Chapter Three §3.4, and from there to the Conclusion, goes the aporia.</w:t>
      </w:r>
    </w:p>
    <w:p>
      <w:pPr>
        <w:pStyle w:val="BodyText"/>
      </w:pPr>
      <w:r>
        <w:t xml:space="preserve">Nothing above claims that the presuppositions of argumentation are contingent, nor that they are necessary, but only that reconstruction cannot tell which and that the counter-programme’s claim to tell rests upon a reflection which, if it is available at all, is not available to reconstruction; not that discourse ethics fails, but that its programme of justification requires a passage its infrastructure cannot make, a requirement Chapter One located and whose two intervals §2.1.5 names, the first adjudicated in Chapter Three and the second in Chapter Four; not that Apel’s route succeeds where Habermas’s stops, but that it answers the yield-question by an access whose existence Chapter Three adjudicates; not that Derrida’s argument is answered, but that it reaches a requirement the exhibition makes on its own behalf and that the premise survives the concession it forces at a stated cost; and not that the tensions, or the deficit they name, are a defect of Habermas’s theory, but that they are the cost of the commitments which make the theory post-metaphysical, met, if at all, by a method which declares what it has conceded; the deficit’s practical face is excepted until the second-stage question is settled (§2.4.1).</w:t>
      </w:r>
    </w:p>
    <w:bookmarkEnd w:id="184"/>
    <w:bookmarkEnd w:id="1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PMT 6–7, in</w:t>
      </w:r>
      <w:r>
        <w:t xml:space="preserve"> </w:t>
      </w:r>
      <w:r>
        <w:t xml:space="preserve">‘</w:t>
      </w:r>
      <w:r>
        <w:t xml:space="preserve">The Horizon of Modernity Is Shifting</w:t>
      </w:r>
      <w:r>
        <w:t xml:space="preserve">’</w:t>
      </w:r>
      <w:r>
        <w:t xml:space="preserve"> </w:t>
      </w:r>
      <w:r>
        <w:t xml:space="preserve">(1988), for the four themes and the four characterisations quoted; the volume is</w:t>
      </w:r>
      <w:r>
        <w:t xml:space="preserve"> </w:t>
      </w:r>
      <w:r>
        <w:rPr>
          <w:iCs/>
          <w:i/>
        </w:rPr>
        <w:t xml:space="preserve">Postmetaphysical Thinking: Philosophical Essays</w:t>
      </w:r>
      <w:r>
        <w:t xml:space="preserve">, trans. William Mark Hohengarten (Cambridge, MA: MIT Press, 1992). PMT 8 for the phrase on the boundaries between schools and for the new prejudices. The reading that the gloss fixes logocentrism as a relation of theory to practice before it is a thesis about signs is the one adopted, and §2.3.1 requires it. Two conventions govern the apparatus of this chapter and are stated once: material not enclosed in quotation marks is reported in paraphrase or indirect discourse; and arguments advanced in the body are made in the body’s own name unless attributed, a note recording the authorship of an inference only where a named thinker is the subject of the sentence in which it is made.</w:t>
      </w:r>
    </w:p>
  </w:footnote>
  <w:footnote w:id="22">
    <w:p>
      <w:pPr>
        <w:pStyle w:val="FootnoteText"/>
      </w:pPr>
      <w:r>
        <w:rPr>
          <w:rStyle w:val="FootnoteReference"/>
        </w:rPr>
        <w:footnoteRef/>
      </w:r>
      <w:r>
        <w:t xml:space="preserve"> </w:t>
      </w:r>
      <w:r>
        <w:t xml:space="preserve">PMT 49–50, in</w:t>
      </w:r>
      <w:r>
        <w:t xml:space="preserve"> </w:t>
      </w:r>
      <w:r>
        <w:t xml:space="preserve">‘</w:t>
      </w:r>
      <w:r>
        <w:t xml:space="preserve">Themes in Postmetaphysical Thinking</w:t>
      </w:r>
      <w:r>
        <w:t xml:space="preserve">’</w:t>
      </w:r>
      <w:r>
        <w:t xml:space="preserve">, for reason pinned to one of its dimensions, for the exclusion of questions of justice, taste and truthfulness from the rational, for the sentence on contextualism as the flipside of logocentrism, and for the liberation from logocentrism as a reversal of the gaze; PMT 50 for the reason already operating in everyday communicative practice, quoted in the body. The inference that the reversal cannot be executed from anywhere is drawn at §2.4.1, and it is the chapter’s.</w:t>
      </w:r>
    </w:p>
  </w:footnote>
  <w:footnote w:id="23">
    <w:p>
      <w:pPr>
        <w:pStyle w:val="FootnoteText"/>
      </w:pPr>
      <w:r>
        <w:rPr>
          <w:rStyle w:val="FootnoteReference"/>
        </w:rPr>
        <w:footnoteRef/>
      </w:r>
      <w:r>
        <w:t xml:space="preserve"> </w:t>
      </w:r>
      <w:r>
        <w:t xml:space="preserve">PMT 29, in</w:t>
      </w:r>
      <w:r>
        <w:t xml:space="preserve"> </w:t>
      </w:r>
      <w:r>
        <w:t xml:space="preserve">‘</w:t>
      </w:r>
      <w:r>
        <w:t xml:space="preserve">Themes in Postmetaphysical Thinking</w:t>
      </w:r>
      <w:r>
        <w:t xml:space="preserve">’</w:t>
      </w:r>
      <w:r>
        <w:t xml:space="preserve"> </w:t>
      </w:r>
      <w:r>
        <w:t xml:space="preserve">(PMT 28–53), for the simplification which neglects the Aristotelian line and for the three aspects; PMT 30 for the one as axiom and origin; PMT 31 for the attributes which being takes over from the ideal; PMT 32 for the</w:t>
      </w:r>
      <w:r>
        <w:t xml:space="preserve"> </w:t>
      </w:r>
      <w:r>
        <w:rPr>
          <w:iCs/>
          <w:i/>
        </w:rPr>
        <w:t xml:space="preserve">bios theoretikos</w:t>
      </w:r>
      <w:r>
        <w:t xml:space="preserve"> </w:t>
      </w:r>
      <w:r>
        <w:t xml:space="preserve">and the sentence on the extra-ordinary; PMT 32 for the categorial determinations and for the totalising and self-referential reflection; PMT 33 for the self-justifying demand and for the theory absolute and self-justifying, and for the sentence which characterises the metaphysical thinking retaining its force until Hegel</w:t>
      </w:r>
      <w:r>
        <w:t xml:space="preserve"> </w:t>
      </w:r>
      <w:r>
        <w:t xml:space="preserve">‘</w:t>
      </w:r>
      <w:r>
        <w:t xml:space="preserve">by the translation of identity thinking, the doctrine of ideas, and the strong concept of theory into the terms of the philosophy of consciousness</w:t>
      </w:r>
      <w:r>
        <w:t xml:space="preserve">’</w:t>
      </w:r>
      <w:r>
        <w:t xml:space="preserve">. Melissa Yates,</w:t>
      </w:r>
      <w:r>
        <w:t xml:space="preserve"> </w:t>
      </w:r>
      <w:r>
        <w:t xml:space="preserve">‘</w:t>
      </w:r>
      <w:r>
        <w:t xml:space="preserve">Postmetaphysical Thinking</w:t>
      </w:r>
      <w:r>
        <w:t xml:space="preserve">’</w:t>
      </w:r>
      <w:r>
        <w:t xml:space="preserve">, in Amy Allen and Eduardo Mendieta (eds),</w:t>
      </w:r>
      <w:r>
        <w:t xml:space="preserve"> </w:t>
      </w:r>
      <w:r>
        <w:rPr>
          <w:iCs/>
          <w:i/>
        </w:rPr>
        <w:t xml:space="preserve">The Cambridge Habermas Lexicon</w:t>
      </w:r>
      <w:r>
        <w:t xml:space="preserve"> </w:t>
      </w:r>
      <w:r>
        <w:t xml:space="preserve">(Cambridge: Cambridge University Press, 2019), 315–19, at 315, counts four aspects and numbers the philosophy of consciousness among them; the count followed above is Habermas’s, three aspects and their refraction, since the sentence at PMT 33 makes the philosophy of consciousness the medium of translation and not a fourth term.</w:t>
      </w:r>
    </w:p>
  </w:footnote>
  <w:footnote w:id="24">
    <w:p>
      <w:pPr>
        <w:pStyle w:val="FootnoteText"/>
      </w:pPr>
      <w:r>
        <w:rPr>
          <w:rStyle w:val="FootnoteReference"/>
        </w:rPr>
        <w:footnoteRef/>
      </w:r>
      <w:r>
        <w:t xml:space="preserve"> </w:t>
      </w:r>
      <w:r>
        <w:t xml:space="preserve">PMT 33–34 for the four developments, the phrase on social conditioning standing at 33. The correspondence with the four themes of PMT 6–7 is drawn above and is not stated by Habermas.</w:t>
      </w:r>
    </w:p>
  </w:footnote>
  <w:footnote w:id="25">
    <w:p>
      <w:pPr>
        <w:pStyle w:val="FootnoteText"/>
      </w:pPr>
      <w:r>
        <w:rPr>
          <w:rStyle w:val="FootnoteReference"/>
        </w:rPr>
        <w:footnoteRef/>
      </w:r>
      <w:r>
        <w:t xml:space="preserve"> </w:t>
      </w:r>
      <w:r>
        <w:t xml:space="preserve">PMT 18, in</w:t>
      </w:r>
      <w:r>
        <w:t xml:space="preserve"> </w:t>
      </w:r>
      <w:r>
        <w:t xml:space="preserve">‘</w:t>
      </w:r>
      <w:r>
        <w:t xml:space="preserve">Metaphysics after Kant</w:t>
      </w:r>
      <w:r>
        <w:t xml:space="preserve">’</w:t>
      </w:r>
      <w:r>
        <w:t xml:space="preserve"> </w:t>
      </w:r>
      <w:r>
        <w:t xml:space="preserve">(PMT 10–27), for the three respects and the sentence quoted; PMT 17 for the passage which precedes them, on the distinct criteria of validity philosophy could establish only</w:t>
      </w:r>
      <w:r>
        <w:t xml:space="preserve"> </w:t>
      </w:r>
      <w:r>
        <w:t xml:space="preserve">‘</w:t>
      </w:r>
      <w:r>
        <w:t xml:space="preserve">at the price of surrendering its own plausibility</w:t>
      </w:r>
      <w:r>
        <w:t xml:space="preserve">’</w:t>
      </w:r>
      <w:r>
        <w:t xml:space="preserve">. The essay was written for the Festschrift for Henrich,</w:t>
      </w:r>
      <w:r>
        <w:t xml:space="preserve"> </w:t>
      </w:r>
      <w:r>
        <w:rPr>
          <w:iCs/>
          <w:i/>
        </w:rPr>
        <w:t xml:space="preserve">Theorie der Subjektivität</w:t>
      </w:r>
      <w:r>
        <w:t xml:space="preserve">, ed. Konrad Cramer and others (Frankfurt am Main: Suhrkamp, 1987), as the translator’s note at PMT 27 n. 3 records.</w:t>
      </w:r>
    </w:p>
  </w:footnote>
  <w:footnote w:id="26">
    <w:p>
      <w:pPr>
        <w:pStyle w:val="FootnoteText"/>
      </w:pPr>
      <w:r>
        <w:rPr>
          <w:rStyle w:val="FootnoteReference"/>
        </w:rPr>
        <w:footnoteRef/>
      </w:r>
      <w:r>
        <w:t xml:space="preserve"> </w:t>
      </w:r>
      <w:r>
        <w:t xml:space="preserve">Georg Lohmann,</w:t>
      </w:r>
      <w:r>
        <w:t xml:space="preserve"> </w:t>
      </w:r>
      <w:r>
        <w:t xml:space="preserve">‘</w:t>
      </w:r>
      <w:r>
        <w:t xml:space="preserve">Postmetaphysical Thinking</w:t>
      </w:r>
      <w:r>
        <w:t xml:space="preserve">’</w:t>
      </w:r>
      <w:r>
        <w:t xml:space="preserve">, in</w:t>
      </w:r>
      <w:r>
        <w:t xml:space="preserve"> </w:t>
      </w:r>
      <w:r>
        <w:rPr>
          <w:iCs/>
          <w:i/>
        </w:rPr>
        <w:t xml:space="preserve">The Habermas Handbook</w:t>
      </w:r>
      <w:r>
        <w:t xml:space="preserve">, ed. Hauke Brunkhorst, Regina Kreide and Cristina Lafont (New York: Columbia University Press, 2018), 594–97, at 594, for the two senses of the term, the critical and the positive, and for the reading of</w:t>
      </w:r>
      <w:r>
        <w:t xml:space="preserve"> </w:t>
      </w:r>
      <w:r>
        <w:rPr>
          <w:iCs/>
          <w:i/>
        </w:rPr>
        <w:t xml:space="preserve">nach</w:t>
      </w:r>
      <w:r>
        <w:t xml:space="preserve"> </w:t>
      </w:r>
      <w:r>
        <w:t xml:space="preserve">as</w:t>
      </w:r>
      <w:r>
        <w:t xml:space="preserve"> </w:t>
      </w:r>
      <w:r>
        <w:rPr>
          <w:iCs/>
          <w:i/>
        </w:rPr>
        <w:t xml:space="preserve">after</w:t>
      </w:r>
      <w:r>
        <w:t xml:space="preserve"> </w:t>
      </w:r>
      <w:r>
        <w:t xml:space="preserve">and</w:t>
      </w:r>
      <w:r>
        <w:t xml:space="preserve"> </w:t>
      </w:r>
      <w:r>
        <w:rPr>
          <w:iCs/>
          <w:i/>
        </w:rPr>
        <w:t xml:space="preserve">according to</w:t>
      </w:r>
      <w:r>
        <w:t xml:space="preserve">. Lohmann records that the term was first employed in the exchange with Henrich, in the review</w:t>
      </w:r>
      <w:r>
        <w:t xml:space="preserve"> </w:t>
      </w:r>
      <w:r>
        <w:t xml:space="preserve">‘</w:t>
      </w:r>
      <w:r>
        <w:t xml:space="preserve">Rückkehr zur Metaphysik — Eine Tendenz in der deutschen Philosophie?</w:t>
      </w:r>
      <w:r>
        <w:t xml:space="preserve">’</w:t>
      </w:r>
      <w:r>
        <w:t xml:space="preserve">,</w:t>
      </w:r>
      <w:r>
        <w:t xml:space="preserve"> </w:t>
      </w:r>
      <w:r>
        <w:rPr>
          <w:iCs/>
          <w:i/>
        </w:rPr>
        <w:t xml:space="preserve">Merkur</w:t>
      </w:r>
      <w:r>
        <w:t xml:space="preserve"> </w:t>
      </w:r>
      <w:r>
        <w:t xml:space="preserve">39, nos. 439–440 (1985), 898–905, reprinted as an appendix to</w:t>
      </w:r>
      <w:r>
        <w:t xml:space="preserve"> </w:t>
      </w:r>
      <w:r>
        <w:rPr>
          <w:iCs/>
          <w:i/>
        </w:rPr>
        <w:t xml:space="preserve">Nachmetaphysisches Denken: Philosophische Aufsätze</w:t>
      </w:r>
      <w:r>
        <w:t xml:space="preserve"> </w:t>
      </w:r>
      <w:r>
        <w:t xml:space="preserve">(Frankfurt am Main: Suhrkamp, 1988), where Habermas, citing it at PMT 27 n. 1 as the occasion of Henrich’s theses, gives its opening page as 267; the English volume omits it.</w:t>
      </w:r>
    </w:p>
  </w:footnote>
  <w:footnote w:id="27">
    <w:p>
      <w:pPr>
        <w:pStyle w:val="FootnoteText"/>
      </w:pPr>
      <w:r>
        <w:rPr>
          <w:rStyle w:val="FootnoteReference"/>
        </w:rPr>
        <w:footnoteRef/>
      </w:r>
      <w:r>
        <w:t xml:space="preserve"> </w:t>
      </w:r>
      <w:r>
        <w:t xml:space="preserve">PMT 28 for the antimetaphysical furore of positivism and the scientistic motive it betrays, reported in indirect discourse; PMT 38 for the two phrases quoted, on the relationship to the whole and on the lifeworld as a totality present pretheoretically. PMT 6 for the</w:t>
      </w:r>
      <w:r>
        <w:t xml:space="preserve"> </w:t>
      </w:r>
      <w:r>
        <w:t xml:space="preserve">‘</w:t>
      </w:r>
      <w:r>
        <w:t xml:space="preserve">antimetaphysical affect</w:t>
      </w:r>
      <w:r>
        <w:t xml:space="preserve">’</w:t>
      </w:r>
      <w:r>
        <w:t xml:space="preserve"> </w:t>
      </w:r>
      <w:r>
        <w:t xml:space="preserve">of the Vienna Circle, separated there too from the postmetaphysical thinking under whose premises the strong concept of theory declines.</w:t>
      </w:r>
    </w:p>
  </w:footnote>
  <w:footnote w:id="28">
    <w:p>
      <w:pPr>
        <w:pStyle w:val="FootnoteText"/>
      </w:pPr>
      <w:r>
        <w:rPr>
          <w:rStyle w:val="FootnoteReference"/>
        </w:rPr>
        <w:footnoteRef/>
      </w:r>
      <w:r>
        <w:t xml:space="preserve"> </w:t>
      </w:r>
      <w:r>
        <w:t xml:space="preserve">PMT 144, in</w:t>
      </w:r>
      <w:r>
        <w:t xml:space="preserve"> </w:t>
      </w:r>
      <w:r>
        <w:t xml:space="preserve">‘</w:t>
      </w:r>
      <w:r>
        <w:t xml:space="preserve">The Unity of Reason in the Diversity of Its Voices</w:t>
      </w:r>
      <w:r>
        <w:t xml:space="preserve">’</w:t>
      </w:r>
      <w:r>
        <w:t xml:space="preserve"> </w:t>
      </w:r>
      <w:r>
        <w:t xml:space="preserve">(PMT 115–48), for both sentences quoted; the same page has communicative reason</w:t>
      </w:r>
      <w:r>
        <w:t xml:space="preserve"> </w:t>
      </w:r>
      <w:r>
        <w:t xml:space="preserve">‘</w:t>
      </w:r>
      <w:r>
        <w:t xml:space="preserve">still accompanied by the shadow of a transcendental illusion</w:t>
      </w:r>
      <w:r>
        <w:t xml:space="preserve">’</w:t>
      </w:r>
      <w:r>
        <w:t xml:space="preserve">. The formulation of the residue as a procedure is Habermas’s; the claim that its procedural form is the source of the aporia §2.4.2 reaches is the chapter’s, and is argued there.</w:t>
      </w:r>
    </w:p>
  </w:footnote>
  <w:footnote w:id="29">
    <w:p>
      <w:pPr>
        <w:pStyle w:val="FootnoteText"/>
      </w:pPr>
      <w:r>
        <w:rPr>
          <w:rStyle w:val="FootnoteReference"/>
        </w:rPr>
        <w:footnoteRef/>
      </w:r>
      <w:r>
        <w:t xml:space="preserve"> </w:t>
      </w:r>
      <w:r>
        <w:t xml:space="preserve">MCCA 9, in</w:t>
      </w:r>
      <w:r>
        <w:t xml:space="preserve"> </w:t>
      </w:r>
      <w:r>
        <w:t xml:space="preserve">‘</w:t>
      </w:r>
      <w:r>
        <w:t xml:space="preserve">Philosophy as Stand-In and Interpreter</w:t>
      </w:r>
      <w:r>
        <w:t xml:space="preserve">’</w:t>
      </w:r>
      <w:r>
        <w:t xml:space="preserve"> </w:t>
      </w:r>
      <w:r>
        <w:t xml:space="preserve">(MCCA 1–20), for the sentence on the solitary subject, said there of what pragmatism and hermeneutics oust. LC 159 n. 16 for</w:t>
      </w:r>
      <w:r>
        <w:t xml:space="preserve"> </w:t>
      </w:r>
      <w:r>
        <w:t xml:space="preserve">‘</w:t>
      </w:r>
      <w:r>
        <w:t xml:space="preserve">The fundamental error of methodological solipsism</w:t>
      </w:r>
      <w:r>
        <w:t xml:space="preserve">’</w:t>
      </w:r>
      <w:r>
        <w:t xml:space="preserve">, extended in that note to monological action, in a comment on what Habermas calls Apel’s residual decisionistic problematic; the volume is</w:t>
      </w:r>
      <w:r>
        <w:t xml:space="preserve"> </w:t>
      </w:r>
      <w:r>
        <w:rPr>
          <w:iCs/>
          <w:i/>
        </w:rPr>
        <w:t xml:space="preserve">Legitimation Crisis</w:t>
      </w:r>
      <w:r>
        <w:t xml:space="preserve">, trans. Thomas McCarthy (Boston: Beacon Press, 1975). TJ 118, in</w:t>
      </w:r>
      <w:r>
        <w:t xml:space="preserve"> </w:t>
      </w:r>
      <w:r>
        <w:t xml:space="preserve">‘</w:t>
      </w:r>
      <w:r>
        <w:t xml:space="preserve">From Kant’s</w:t>
      </w:r>
      <w:r>
        <w:t xml:space="preserve"> </w:t>
      </w:r>
      <w:r>
        <w:t xml:space="preserve">“</w:t>
      </w:r>
      <w:r>
        <w:t xml:space="preserve">Ideas</w:t>
      </w:r>
      <w:r>
        <w:t xml:space="preserve">”</w:t>
      </w:r>
      <w:r>
        <w:t xml:space="preserve"> </w:t>
      </w:r>
      <w:r>
        <w:t xml:space="preserve">of Pure Reason to the</w:t>
      </w:r>
      <w:r>
        <w:t xml:space="preserve"> </w:t>
      </w:r>
      <w:r>
        <w:t xml:space="preserve">“</w:t>
      </w:r>
      <w:r>
        <w:t xml:space="preserve">Idealizing</w:t>
      </w:r>
      <w:r>
        <w:t xml:space="preserve">”</w:t>
      </w:r>
      <w:r>
        <w:t xml:space="preserve"> </w:t>
      </w:r>
      <w:r>
        <w:t xml:space="preserve">Presuppositions of Communicative Action</w:t>
      </w:r>
      <w:r>
        <w:t xml:space="preserve">’</w:t>
      </w:r>
      <w:r>
        <w:t xml:space="preserve"> </w:t>
      </w:r>
      <w:r>
        <w:t xml:space="preserve">(TJ 83–130), for</w:t>
      </w:r>
      <w:r>
        <w:t xml:space="preserve"> </w:t>
      </w:r>
      <w:r>
        <w:t xml:space="preserve">‘</w:t>
      </w:r>
      <w:r>
        <w:t xml:space="preserve">the methodological solipsism of the solitary observer</w:t>
      </w:r>
      <w:r>
        <w:t xml:space="preserve">’</w:t>
      </w:r>
      <w:r>
        <w:t xml:space="preserve">, said of Davidson’s scenario of two organisms and one stimulus; the sentence recurs in the revised printing of the essay at BNR 63. The Introduction fixes the term as Apel’s and as a thesis about position at its §II; §2.1.3 below cites the pages of Apel’s Wittgenstein chapter and examines the displacement.</w:t>
      </w:r>
    </w:p>
  </w:footnote>
  <w:footnote w:id="30">
    <w:p>
      <w:pPr>
        <w:pStyle w:val="FootnoteText"/>
      </w:pPr>
      <w:r>
        <w:rPr>
          <w:rStyle w:val="FootnoteReference"/>
        </w:rPr>
        <w:footnoteRef/>
      </w:r>
      <w:r>
        <w:t xml:space="preserve"> </w:t>
      </w:r>
      <w:r>
        <w:t xml:space="preserve">PMT 145 for the God’s-eye view and the radical outsider, both said of negative metaphysics; TJ 216, in</w:t>
      </w:r>
      <w:r>
        <w:t xml:space="preserve"> </w:t>
      </w:r>
      <w:r>
        <w:t xml:space="preserve">‘</w:t>
      </w:r>
      <w:r>
        <w:t xml:space="preserve">Norms and Values: On Hilary Putnam’s Kantian Pragmatism</w:t>
      </w:r>
      <w:r>
        <w:t xml:space="preserve">’</w:t>
      </w:r>
      <w:r>
        <w:t xml:space="preserve">, for the sentence on metaphysical realism, the phrase being Putnam’s and used there in the exposition of his position; PMT II, ch. 5,</w:t>
      </w:r>
      <w:r>
        <w:t xml:space="preserve"> </w:t>
      </w:r>
      <w:r>
        <w:t xml:space="preserve">‘</w:t>
      </w:r>
      <w:r>
        <w:t xml:space="preserve">Religion and Postmetaphysical Thinking: A Reply</w:t>
      </w:r>
      <w:r>
        <w:t xml:space="preserve">’</w:t>
      </w:r>
      <w:r>
        <w:t xml:space="preserve">, §IV,</w:t>
      </w:r>
      <w:r>
        <w:t xml:space="preserve"> </w:t>
      </w:r>
      <w:r>
        <w:t xml:space="preserve">‘</w:t>
      </w:r>
      <w:r>
        <w:t xml:space="preserve">What is Meant by a</w:t>
      </w:r>
      <w:r>
        <w:t xml:space="preserve"> </w:t>
      </w:r>
      <w:r>
        <w:t xml:space="preserve">“</w:t>
      </w:r>
      <w:r>
        <w:t xml:space="preserve">Genealogy</w:t>
      </w:r>
      <w:r>
        <w:t xml:space="preserve">”</w:t>
      </w:r>
      <w:r>
        <w:t xml:space="preserve"> </w:t>
      </w:r>
      <w:r>
        <w:t xml:space="preserve">of Postmetaphysical Thinking?</w:t>
      </w:r>
      <w:r>
        <w:t xml:space="preserve">’</w:t>
      </w:r>
      <w:r>
        <w:t xml:space="preserve">, for the divine standpoint and for the impartiality which replaces it. The volume is</w:t>
      </w:r>
      <w:r>
        <w:t xml:space="preserve"> </w:t>
      </w:r>
      <w:r>
        <w:rPr>
          <w:iCs/>
          <w:i/>
        </w:rPr>
        <w:t xml:space="preserve">Postmetaphysical Thinking II: Essays and Replies</w:t>
      </w:r>
      <w:r>
        <w:t xml:space="preserve">, trans. Ciaran Cronin (Cambridge: Polity, 2017) (</w:t>
      </w:r>
      <w:r>
        <w:rPr>
          <w:iCs/>
          <w:i/>
        </w:rPr>
        <w:t xml:space="preserve">Nachmetaphysisches Denken II: Aufsätze und Repliken</w:t>
      </w:r>
      <w:r>
        <w:t xml:space="preserve">, Berlin: Suhrkamp, 2012); it is cited by chapter and section throughout.</w:t>
      </w:r>
    </w:p>
  </w:footnote>
  <w:footnote w:id="31">
    <w:p>
      <w:pPr>
        <w:pStyle w:val="FootnoteText"/>
      </w:pPr>
      <w:r>
        <w:rPr>
          <w:rStyle w:val="FootnoteReference"/>
        </w:rPr>
        <w:footnoteRef/>
      </w:r>
      <w:r>
        <w:t xml:space="preserve"> </w:t>
      </w:r>
      <w:r>
        <w:t xml:space="preserve">MCCA 2 for</w:t>
      </w:r>
      <w:r>
        <w:t xml:space="preserve"> </w:t>
      </w:r>
      <w:r>
        <w:t xml:space="preserve">‘</w:t>
      </w:r>
      <w:r>
        <w:t xml:space="preserve">a cognition before cognition</w:t>
      </w:r>
      <w:r>
        <w:t xml:space="preserve">’</w:t>
      </w:r>
      <w:r>
        <w:t xml:space="preserve">, in the sentence on the domain Kantian philosophy sets up between itself and the sciences, the same page carrying the refusal of the usher’s role which the Introduction §I quotes and which is not repeated; PMT 36 for the sentence on the closed and final system of statements, in the paragraph which finds the fallibilism of scientific theories</w:t>
      </w:r>
      <w:r>
        <w:t xml:space="preserve"> </w:t>
      </w:r>
      <w:r>
        <w:t xml:space="preserve">‘</w:t>
      </w:r>
      <w:r>
        <w:t xml:space="preserve">incompatible with the type of knowledge</w:t>
      </w:r>
      <w:r>
        <w:t xml:space="preserve"> </w:t>
      </w:r>
      <w:r>
        <w:rPr>
          <w:iCs/>
          <w:i/>
        </w:rPr>
        <w:t xml:space="preserve">prima philosophia</w:t>
      </w:r>
      <w:r>
        <w:t xml:space="preserve"> </w:t>
      </w:r>
      <w:r>
        <w:t xml:space="preserve">believed itself capable of attaining</w:t>
      </w:r>
      <w:r>
        <w:t xml:space="preserve">’</w:t>
      </w:r>
      <w:r>
        <w:t xml:space="preserve">.</w:t>
      </w:r>
    </w:p>
  </w:footnote>
  <w:footnote w:id="32">
    <w:p>
      <w:pPr>
        <w:pStyle w:val="FootnoteText"/>
      </w:pPr>
      <w:r>
        <w:rPr>
          <w:rStyle w:val="FootnoteReference"/>
        </w:rPr>
        <w:footnoteRef/>
      </w:r>
      <w:r>
        <w:t xml:space="preserve"> </w:t>
      </w:r>
      <w:r>
        <w:t xml:space="preserve">PMT 7, in</w:t>
      </w:r>
      <w:r>
        <w:t xml:space="preserve"> </w:t>
      </w:r>
      <w:r>
        <w:t xml:space="preserve">‘</w:t>
      </w:r>
      <w:r>
        <w:t xml:space="preserve">The Horizon of Modernity Is Shifting</w:t>
      </w:r>
      <w:r>
        <w:t xml:space="preserve">’</w:t>
      </w:r>
      <w:r>
        <w:t xml:space="preserve">, for the rules read off from linguistic formations, in the words the body quotes. The regrouping of Habermas’s renunciations under three tenets, the correspondence of tenet to commitment, and the correlation of the three commitments with three of the four themes are readings of the method and not Habermas’s ordering; the inference drawn at §2.4.1, that the reversal cannot be executed from a standpoint it abandons, is likewise not his.</w:t>
      </w:r>
    </w:p>
  </w:footnote>
  <w:footnote w:id="33">
    <w:p>
      <w:pPr>
        <w:pStyle w:val="FootnoteText"/>
      </w:pPr>
      <w:r>
        <w:rPr>
          <w:rStyle w:val="FootnoteReference"/>
        </w:rPr>
        <w:footnoteRef/>
      </w:r>
      <w:r>
        <w:t xml:space="preserve"> </w:t>
      </w:r>
      <w:r>
        <w:t xml:space="preserve">Edmund Husserl,</w:t>
      </w:r>
      <w:r>
        <w:t xml:space="preserve"> </w:t>
      </w:r>
      <w:r>
        <w:rPr>
          <w:iCs/>
          <w:i/>
        </w:rPr>
        <w:t xml:space="preserve">Ideas: General Introduction to Pure Phenomenology</w:t>
      </w:r>
      <w:r>
        <w:t xml:space="preserve">, trans. W. R. Boyce Gibson (London: Routledge, 2012; first published 1931), §55, 108, for the sense-giving consciousness; §85, 175 and 177, for the bestowal of sense in the noetic phases; §124, 256–58, for the unproductive stratum of expression. The pagination is that of the Routledge Classics printing. The reading of these loci as one thesis about where meaning is constituted is the chapter’s.</w:t>
      </w:r>
    </w:p>
  </w:footnote>
  <w:footnote w:id="34">
    <w:p>
      <w:pPr>
        <w:pStyle w:val="FootnoteText"/>
      </w:pPr>
      <w:r>
        <w:rPr>
          <w:rStyle w:val="FootnoteReference"/>
        </w:rPr>
        <w:footnoteRef/>
      </w:r>
      <w:r>
        <w:t xml:space="preserve"> </w:t>
      </w:r>
      <w:r>
        <w:t xml:space="preserve">Husserl,</w:t>
      </w:r>
      <w:r>
        <w:t xml:space="preserve"> </w:t>
      </w:r>
      <w:r>
        <w:rPr>
          <w:iCs/>
          <w:i/>
        </w:rPr>
        <w:t xml:space="preserve">The Crisis of European Sciences and Transcendental Phenomenology</w:t>
      </w:r>
      <w:r>
        <w:t xml:space="preserve">, trans. David Carr (Evanston: Northwestern University Press, 1970), §49, 167–68, for the accomplishment which is not that of the isolated subject; §54b, 184, for the philosophical solitude, the section being headed as the constitution, by the primal ego, of transcendental others as co-subjects. The two sections are read together here, so that the doctrine is a priority of method and not a denial of intersubjective constitution.</w:t>
      </w:r>
    </w:p>
  </w:footnote>
  <w:footnote w:id="35">
    <w:p>
      <w:pPr>
        <w:pStyle w:val="FootnoteText"/>
      </w:pPr>
      <w:r>
        <w:rPr>
          <w:rStyle w:val="FootnoteReference"/>
        </w:rPr>
        <w:footnoteRef/>
      </w:r>
      <w:r>
        <w:t xml:space="preserve"> </w:t>
      </w:r>
      <w:r>
        <w:t xml:space="preserve">The attribution of</w:t>
      </w:r>
      <w:r>
        <w:t xml:space="preserve"> </w:t>
      </w:r>
      <w:r>
        <w:t xml:space="preserve">‘</w:t>
      </w:r>
      <w:r>
        <w:t xml:space="preserve">methodical</w:t>
      </w:r>
      <w:r>
        <w:t xml:space="preserve">’</w:t>
      </w:r>
      <w:r>
        <w:t xml:space="preserve"> </w:t>
      </w:r>
      <w:r>
        <w:t xml:space="preserve">or</w:t>
      </w:r>
      <w:r>
        <w:t xml:space="preserve"> </w:t>
      </w:r>
      <w:r>
        <w:t xml:space="preserve">‘</w:t>
      </w:r>
      <w:r>
        <w:t xml:space="preserve">transcendental solipsism</w:t>
      </w:r>
      <w:r>
        <w:t xml:space="preserve">’</w:t>
      </w:r>
      <w:r>
        <w:t xml:space="preserve"> </w:t>
      </w:r>
      <w:r>
        <w:t xml:space="preserve">to Husserl’s</w:t>
      </w:r>
      <w:r>
        <w:t xml:space="preserve"> </w:t>
      </w:r>
      <w:r>
        <w:rPr>
          <w:iCs/>
          <w:i/>
        </w:rPr>
        <w:t xml:space="preserve">Cartesian Meditations</w:t>
      </w:r>
      <w:r>
        <w:t xml:space="preserve"> </w:t>
      </w:r>
      <w:r>
        <w:t xml:space="preserve">is Apel’s (TTP 173 n. 8; Mercier Lectures, 45–46), and is reported as his; Carr’s text uses</w:t>
      </w:r>
      <w:r>
        <w:t xml:space="preserve"> </w:t>
      </w:r>
      <w:r>
        <w:t xml:space="preserve">‘</w:t>
      </w:r>
      <w:r>
        <w:t xml:space="preserve">solipsism</w:t>
      </w:r>
      <w:r>
        <w:t xml:space="preserve">’</w:t>
      </w:r>
      <w:r>
        <w:t xml:space="preserve"> </w:t>
      </w:r>
      <w:r>
        <w:t xml:space="preserve">only of Hume (</w:t>
      </w:r>
      <w:r>
        <w:rPr>
          <w:iCs/>
          <w:i/>
        </w:rPr>
        <w:t xml:space="preserve">Crisis</w:t>
      </w:r>
      <w:r>
        <w:t xml:space="preserve">, 88, 262). Apel’s dating of the doctrine, from Descartes to the</w:t>
      </w:r>
      <w:r>
        <w:t xml:space="preserve"> </w:t>
      </w:r>
      <w:r>
        <w:rPr>
          <w:iCs/>
          <w:i/>
        </w:rPr>
        <w:t xml:space="preserve">Cartesian Meditations</w:t>
      </w:r>
      <w:r>
        <w:t xml:space="preserve">, is cited at §2.1.3 from TTP 44–45.</w:t>
      </w:r>
    </w:p>
  </w:footnote>
  <w:footnote w:id="36">
    <w:p>
      <w:pPr>
        <w:pStyle w:val="FootnoteText"/>
      </w:pPr>
      <w:r>
        <w:rPr>
          <w:rStyle w:val="FootnoteReference"/>
        </w:rPr>
        <w:footnoteRef/>
      </w:r>
      <w:r>
        <w:t xml:space="preserve"> </w:t>
      </w:r>
      <w:r>
        <w:t xml:space="preserve">Habermas,</w:t>
      </w:r>
      <w:r>
        <w:t xml:space="preserve"> </w:t>
      </w:r>
      <w:r>
        <w:t xml:space="preserve">‘</w:t>
      </w:r>
      <w:r>
        <w:t xml:space="preserve">Vorlesungen zu einer sprachtheoretischen Grundlegung der Soziologie</w:t>
      </w:r>
      <w:r>
        <w:t xml:space="preserve">’</w:t>
      </w:r>
      <w:r>
        <w:t xml:space="preserve"> </w:t>
      </w:r>
      <w:r>
        <w:t xml:space="preserve">(1970–71), in</w:t>
      </w:r>
      <w:r>
        <w:t xml:space="preserve"> </w:t>
      </w:r>
      <w:r>
        <w:rPr>
          <w:iCs/>
          <w:i/>
        </w:rPr>
        <w:t xml:space="preserve">Vorstudien und Ergänzungen zur Theorie des kommunikativen Handelns</w:t>
      </w:r>
      <w:r>
        <w:t xml:space="preserve"> </w:t>
      </w:r>
      <w:r>
        <w:t xml:space="preserve">(Frankfurt am Main: Suhrkamp, 1984), 11–126, at 58 for the sentence on identical meanings, the rendering being the chapter’s; at 48 the concept of intentionality is said to have been won on the model of a solitary subject directed upon an object in meaning-conferring acts, and at 54–59 constitution theories are said to attempt in vain to derive intersubjectivity from the achievements of monadic consciousness, both reported in indirect discourse. Apel,</w:t>
      </w:r>
      <w:r>
        <w:t xml:space="preserve"> </w:t>
      </w:r>
      <w:r>
        <w:t xml:space="preserve">‘</w:t>
      </w:r>
      <w:r>
        <w:t xml:space="preserve">Intentions, Conventions, and Reference to Things: Dimensions of Understanding Meaning in Hermeneutics and in Analytic Philosophy of Language</w:t>
      </w:r>
      <w:r>
        <w:t xml:space="preserve">’</w:t>
      </w:r>
      <w:r>
        <w:t xml:space="preserve">, SE1 51–82, at 77–78, for the virtual correlate and the mediation by public meanings; the charge is entered earlier against the epoché of methodological solipsism in</w:t>
      </w:r>
      <w:r>
        <w:t xml:space="preserve"> </w:t>
      </w:r>
      <w:r>
        <w:t xml:space="preserve">‘</w:t>
      </w:r>
      <w:r>
        <w:t xml:space="preserve">The Problem of Philosophical Fundamental Grounding in Light of a Transcendental-Pragmatic of Language</w:t>
      </w:r>
      <w:r>
        <w:t xml:space="preserve">’</w:t>
      </w:r>
      <w:r>
        <w:t xml:space="preserve">,</w:t>
      </w:r>
      <w:r>
        <w:t xml:space="preserve"> </w:t>
      </w:r>
      <w:r>
        <w:rPr>
          <w:iCs/>
          <w:i/>
        </w:rPr>
        <w:t xml:space="preserve">Man and World</w:t>
      </w:r>
      <w:r>
        <w:t xml:space="preserve"> </w:t>
      </w:r>
      <w:r>
        <w:t xml:space="preserve">8/3 (1975), 239–75, at 266, and later against a meaning constitution conceived</w:t>
      </w:r>
      <w:r>
        <w:t xml:space="preserve"> </w:t>
      </w:r>
      <w:r>
        <w:t xml:space="preserve">‘</w:t>
      </w:r>
      <w:r>
        <w:t xml:space="preserve">along Husserlian lines</w:t>
      </w:r>
      <w:r>
        <w:t xml:space="preserve">’</w:t>
      </w:r>
      <w:r>
        <w:t xml:space="preserve"> </w:t>
      </w:r>
      <w:r>
        <w:t xml:space="preserve">(FTSPV 120). Its content shifts across the phases, and no one formulation is voiced as Apel’s constant view.</w:t>
      </w:r>
    </w:p>
  </w:footnote>
  <w:footnote w:id="37">
    <w:p>
      <w:pPr>
        <w:pStyle w:val="FootnoteText"/>
      </w:pPr>
      <w:r>
        <w:rPr>
          <w:rStyle w:val="FootnoteReference"/>
        </w:rPr>
        <w:footnoteRef/>
      </w:r>
      <w:r>
        <w:t xml:space="preserve"> </w:t>
      </w:r>
      <w:r>
        <w:t xml:space="preserve">Habermas,</w:t>
      </w:r>
      <w:r>
        <w:t xml:space="preserve"> </w:t>
      </w:r>
      <w:r>
        <w:t xml:space="preserve">‘</w:t>
      </w:r>
      <w:r>
        <w:t xml:space="preserve">Replik auf Einwände</w:t>
      </w:r>
      <w:r>
        <w:t xml:space="preserve">’</w:t>
      </w:r>
      <w:r>
        <w:t xml:space="preserve"> </w:t>
      </w:r>
      <w:r>
        <w:t xml:space="preserve">(1980), in</w:t>
      </w:r>
      <w:r>
        <w:t xml:space="preserve"> </w:t>
      </w:r>
      <w:r>
        <w:rPr>
          <w:iCs/>
          <w:i/>
        </w:rPr>
        <w:t xml:space="preserve">Vorstudien und Ergänzungen</w:t>
      </w:r>
      <w:r>
        <w:t xml:space="preserve">, 475–570, at 505, the sentence continuing with a quotation from McCarthy; the rendering is the chapter’s. Among the texts examined the sentence is the earliest occurrence of the word in Habermas’s own voice; TCA I–II, MCCA, CES and JA carry no occurrence of it in his text, and the English word enters with</w:t>
      </w:r>
      <w:r>
        <w:t xml:space="preserve"> </w:t>
      </w:r>
      <w:r>
        <w:rPr>
          <w:iCs/>
          <w:i/>
        </w:rPr>
        <w:t xml:space="preserve">Postmetaphysical Thinking</w:t>
      </w:r>
      <w:r>
        <w:t xml:space="preserve"> </w:t>
      </w:r>
      <w:r>
        <w:t xml:space="preserve">(PMT 34, 43) and with the essay of 1988 quoted at §2.1.3 (OPC 240).</w:t>
      </w:r>
    </w:p>
  </w:footnote>
  <w:footnote w:id="38">
    <w:p>
      <w:pPr>
        <w:pStyle w:val="FootnoteText"/>
      </w:pPr>
      <w:r>
        <w:rPr>
          <w:rStyle w:val="FootnoteReference"/>
        </w:rPr>
        <w:footnoteRef/>
      </w:r>
      <w:r>
        <w:t xml:space="preserve"> </w:t>
      </w:r>
      <w:r>
        <w:t xml:space="preserve">BNR 30, in</w:t>
      </w:r>
      <w:r>
        <w:t xml:space="preserve"> </w:t>
      </w:r>
      <w:r>
        <w:t xml:space="preserve">‘</w:t>
      </w:r>
      <w:r>
        <w:t xml:space="preserve">Communicative Action and the Detranscendentalized</w:t>
      </w:r>
      <w:r>
        <w:t xml:space="preserve"> </w:t>
      </w:r>
      <w:r>
        <w:t xml:space="preserve">“</w:t>
      </w:r>
      <w:r>
        <w:t xml:space="preserve">Use of Reason</w:t>
      </w:r>
      <w:r>
        <w:t xml:space="preserve">”</w:t>
      </w:r>
      <w:r>
        <w:t xml:space="preserve">’</w:t>
      </w:r>
      <w:r>
        <w:t xml:space="preserve"> </w:t>
      </w:r>
      <w:r>
        <w:t xml:space="preserve">(BNR 24–76), Cronin’s rendering of</w:t>
      </w:r>
      <w:r>
        <w:t xml:space="preserve"> </w:t>
      </w:r>
      <w:r>
        <w:rPr>
          <w:iCs/>
          <w:i/>
        </w:rPr>
        <w:t xml:space="preserve">Kommunikatives Handeln und detranszendentalisierte Vernunft</w:t>
      </w:r>
      <w:r>
        <w:t xml:space="preserve"> </w:t>
      </w:r>
      <w:r>
        <w:t xml:space="preserve">(Stuttgart: Reclam, 2001); Fultner’s rendering of the same sentence, at TJ 88–89, has</w:t>
      </w:r>
      <w:r>
        <w:t xml:space="preserve"> </w:t>
      </w:r>
      <w:r>
        <w:t xml:space="preserve">‘</w:t>
      </w:r>
      <w:r>
        <w:t xml:space="preserve">knowing subjects into the socializing context of a lifeworld</w:t>
      </w:r>
      <w:r>
        <w:t xml:space="preserve">’</w:t>
      </w:r>
      <w:r>
        <w:t xml:space="preserve">. TJ ch. 2 and BNR ch. 2 are two translations of one essay and are cited as one locus in two printings.</w:t>
      </w:r>
    </w:p>
  </w:footnote>
  <w:footnote w:id="39">
    <w:p>
      <w:pPr>
        <w:pStyle w:val="FootnoteText"/>
      </w:pPr>
      <w:r>
        <w:rPr>
          <w:rStyle w:val="FootnoteReference"/>
        </w:rPr>
        <w:footnoteRef/>
      </w:r>
      <w:r>
        <w:t xml:space="preserve"> </w:t>
      </w:r>
      <w:r>
        <w:t xml:space="preserve">TJ 92 for the ideas of reason stepping out of the intelligible world, the same page holding that even after the knowing subject is detranscendentalised</w:t>
      </w:r>
      <w:r>
        <w:t xml:space="preserve"> </w:t>
      </w:r>
      <w:r>
        <w:t xml:space="preserve">‘</w:t>
      </w:r>
      <w:r>
        <w:t xml:space="preserve">there remains a gap between what is true and what is warranted or rationally acceptable to us</w:t>
      </w:r>
      <w:r>
        <w:t xml:space="preserve">’</w:t>
      </w:r>
      <w:r>
        <w:t xml:space="preserve">; WuR 41 for the German sentence quoted, rendered at TJ 30 as</w:t>
      </w:r>
      <w:r>
        <w:t xml:space="preserve"> </w:t>
      </w:r>
      <w:r>
        <w:t xml:space="preserve">‘</w:t>
      </w:r>
      <w:r>
        <w:t xml:space="preserve">the detranscendentalized intersubjectivity of the lifeworld</w:t>
      </w:r>
      <w:r>
        <w:t xml:space="preserve">’</w:t>
      </w:r>
      <w:r>
        <w:t xml:space="preserve">; TJ 86 for the four presuppositions, TJ 87 for their genealogical pairing with the cosmological idea, with freedom as a postulate of practical reason, with reason’s totalising movement towards the unconditioned and with reason as the faculty of principles, and for the clause quoted, and TJ 84 for the sentence on their mutual reference. TJ 87 calls the operation</w:t>
      </w:r>
      <w:r>
        <w:t xml:space="preserve"> </w:t>
      </w:r>
      <w:r>
        <w:t xml:space="preserve">‘</w:t>
      </w:r>
      <w:r>
        <w:t xml:space="preserve">a profoundly invasive intervention into his basic architectonic</w:t>
      </w:r>
      <w:r>
        <w:t xml:space="preserve">’</w:t>
      </w:r>
      <w:r>
        <w:t xml:space="preserve">, the architectonic being Kant’s. The first three presuppositions are credited by Habermas to McCarthy, as</w:t>
      </w:r>
      <w:r>
        <w:t xml:space="preserve"> </w:t>
      </w:r>
      <w:r>
        <w:t xml:space="preserve">‘</w:t>
      </w:r>
      <w:r>
        <w:t xml:space="preserve">social-practical analogues</w:t>
      </w:r>
      <w:r>
        <w:t xml:space="preserve">’</w:t>
      </w:r>
      <w:r>
        <w:t xml:space="preserve"> </w:t>
      </w:r>
      <w:r>
        <w:t xml:space="preserve">of Kant’s ideas (TJ 83–84); the fourth is his addition, and the observation is the chapter’s.</w:t>
      </w:r>
    </w:p>
  </w:footnote>
  <w:footnote w:id="40">
    <w:p>
      <w:pPr>
        <w:pStyle w:val="FootnoteText"/>
      </w:pPr>
      <w:r>
        <w:rPr>
          <w:rStyle w:val="FootnoteReference"/>
        </w:rPr>
        <w:footnoteRef/>
      </w:r>
      <w:r>
        <w:t xml:space="preserve"> </w:t>
      </w:r>
      <w:r>
        <w:t xml:space="preserve">Habermas,</w:t>
      </w:r>
      <w:r>
        <w:t xml:space="preserve"> </w:t>
      </w:r>
      <w:r>
        <w:rPr>
          <w:iCs/>
          <w:i/>
        </w:rPr>
        <w:t xml:space="preserve">Auch eine Geschichte der Philosophie</w:t>
      </w:r>
      <w:r>
        <w:t xml:space="preserve">, Bd. II, 762, the sentence quoted, and Bd. II, 828, in the</w:t>
      </w:r>
      <w:r>
        <w:t xml:space="preserve"> </w:t>
      </w:r>
      <w:r>
        <w:rPr>
          <w:iCs/>
          <w:i/>
        </w:rPr>
        <w:t xml:space="preserve">Nachwort zur Taschenbuchausgabe</w:t>
      </w:r>
      <w:r>
        <w:t xml:space="preserve"> </w:t>
      </w:r>
      <w:r>
        <w:t xml:space="preserve">(signed Starnberg, April 2022), for the cost in grade, displayed at §2.2.3; page numbers are those printed in the edition. The division into a pragmatic and a practical face is the chapter’s ordering of loci Habermas does not so divide.</w:t>
      </w:r>
    </w:p>
  </w:footnote>
  <w:footnote w:id="41">
    <w:p>
      <w:pPr>
        <w:pStyle w:val="FootnoteText"/>
      </w:pPr>
      <w:r>
        <w:rPr>
          <w:rStyle w:val="FootnoteReference"/>
        </w:rPr>
        <w:footnoteRef/>
      </w:r>
      <w:r>
        <w:t xml:space="preserve"> </w:t>
      </w:r>
      <w:r>
        <w:t xml:space="preserve">TJ 213, in</w:t>
      </w:r>
      <w:r>
        <w:t xml:space="preserve"> </w:t>
      </w:r>
      <w:r>
        <w:t xml:space="preserve">‘</w:t>
      </w:r>
      <w:r>
        <w:t xml:space="preserve">Norms and Values: On Hilary Putnam’s Kantian Pragmatism</w:t>
      </w:r>
      <w:r>
        <w:t xml:space="preserve">’</w:t>
      </w:r>
      <w:r>
        <w:t xml:space="preserve">, for the untouched core;</w:t>
      </w:r>
      <w:r>
        <w:t xml:space="preserve"> </w:t>
      </w:r>
      <w:r>
        <w:rPr>
          <w:iCs/>
          <w:i/>
        </w:rPr>
        <w:t xml:space="preserve">Auch eine Geschichte</w:t>
      </w:r>
      <w:r>
        <w:t xml:space="preserve">, Bd. I, 34 for the armour of a priori knowledge and Bd. I, 35 for the two perspectives, the renderings being the chapter’s. The reading of the three commitments as three faces of the operation the last sentence describes is the chapter’s thesis and not Habermas’s; his adverb is</w:t>
      </w:r>
      <w:r>
        <w:t xml:space="preserve"> </w:t>
      </w:r>
      <w:r>
        <w:rPr>
          <w:iCs/>
          <w:i/>
        </w:rPr>
        <w:t xml:space="preserve">gleichzeitig</w:t>
      </w:r>
      <w:r>
        <w:t xml:space="preserve">, and nothing more is read off it.</w:t>
      </w:r>
    </w:p>
  </w:footnote>
  <w:footnote w:id="42">
    <w:p>
      <w:pPr>
        <w:pStyle w:val="FootnoteText"/>
      </w:pPr>
      <w:r>
        <w:rPr>
          <w:rStyle w:val="FootnoteReference"/>
        </w:rPr>
        <w:footnoteRef/>
      </w:r>
      <w:r>
        <w:t xml:space="preserve"> </w:t>
      </w:r>
      <w:r>
        <w:t xml:space="preserve">PMT 29 for the sentence which dates the break to Hegel’s first disciples; PMT II, ch. 5, §IV, for the three passages quoted, the second of which states what the genealogy</w:t>
      </w:r>
      <w:r>
        <w:t xml:space="preserve"> </w:t>
      </w:r>
      <w:r>
        <w:t xml:space="preserve">‘</w:t>
      </w:r>
      <w:r>
        <w:t xml:space="preserve">is supposed to foster</w:t>
      </w:r>
      <w:r>
        <w:t xml:space="preserve">’</w:t>
      </w:r>
      <w:r>
        <w:t xml:space="preserve">. The same section distinguishes the undertaking from a Nietzschean genealogy by its intention, which is</w:t>
      </w:r>
      <w:r>
        <w:t xml:space="preserve"> </w:t>
      </w:r>
      <w:r>
        <w:t xml:space="preserve">‘</w:t>
      </w:r>
      <w:r>
        <w:t xml:space="preserve">not guided by the subversive intention of undercutting the repressive features of a dominant mode of thought</w:t>
      </w:r>
      <w:r>
        <w:t xml:space="preserve">’</w:t>
      </w:r>
      <w:r>
        <w:t xml:space="preserve">.</w:t>
      </w:r>
    </w:p>
  </w:footnote>
  <w:footnote w:id="43">
    <w:p>
      <w:pPr>
        <w:pStyle w:val="FootnoteText"/>
      </w:pPr>
      <w:r>
        <w:rPr>
          <w:rStyle w:val="FootnoteReference"/>
        </w:rPr>
        <w:footnoteRef/>
      </w:r>
      <w:r>
        <w:t xml:space="preserve"> </w:t>
      </w:r>
      <w:r>
        <w:t xml:space="preserve">Jürgen Habermas,</w:t>
      </w:r>
      <w:r>
        <w:t xml:space="preserve"> </w:t>
      </w:r>
      <w:r>
        <w:rPr>
          <w:iCs/>
          <w:i/>
        </w:rPr>
        <w:t xml:space="preserve">Auch eine Geschichte der Philosophie</w:t>
      </w:r>
      <w:r>
        <w:t xml:space="preserve">, 2 vols (Berlin: Suhrkamp, 2019), Bd. I, 39, in the introduction</w:t>
      </w:r>
      <w:r>
        <w:t xml:space="preserve"> </w:t>
      </w:r>
      <w:r>
        <w:t xml:space="preserve">‘</w:t>
      </w:r>
      <w:r>
        <w:t xml:space="preserve">Zur Frage einer Genealogie nachmetaphysischen Denkens</w:t>
      </w:r>
      <w:r>
        <w:t xml:space="preserve">’</w:t>
      </w:r>
      <w:r>
        <w:t xml:space="preserve">; the rendering in the body is the chapter’s. Bd. I, 28, states the question the genealogy is to answer, whether and how the philosophical treatment of problems of the relevant complexity has been continued under the conditions of post-metaphysical thinking.</w:t>
      </w:r>
    </w:p>
  </w:footnote>
  <w:footnote w:id="44">
    <w:p>
      <w:pPr>
        <w:pStyle w:val="FootnoteText"/>
      </w:pPr>
      <w:r>
        <w:rPr>
          <w:rStyle w:val="FootnoteReference"/>
        </w:rPr>
        <w:footnoteRef/>
      </w:r>
      <w:r>
        <w:t xml:space="preserve"> </w:t>
      </w:r>
      <w:r>
        <w:t xml:space="preserve">PMT II,</w:t>
      </w:r>
      <w:r>
        <w:t xml:space="preserve"> </w:t>
      </w:r>
      <w:r>
        <w:t xml:space="preserve">‘</w:t>
      </w:r>
      <w:r>
        <w:t xml:space="preserve">Linguistification of the Sacred: In Place of a Preface</w:t>
      </w:r>
      <w:r>
        <w:t xml:space="preserve">’</w:t>
      </w:r>
      <w:r>
        <w:t xml:space="preserve">, for the two passages quoted; the preface describes the volume of 1988 as having dealt with the self-confirmation of philosophical thinking and the volume of 2012 as continuing that theme.</w:t>
      </w:r>
    </w:p>
  </w:footnote>
  <w:footnote w:id="45">
    <w:p>
      <w:pPr>
        <w:pStyle w:val="FootnoteText"/>
      </w:pPr>
      <w:r>
        <w:rPr>
          <w:rStyle w:val="FootnoteReference"/>
        </w:rPr>
        <w:footnoteRef/>
      </w:r>
      <w:r>
        <w:t xml:space="preserve"> </w:t>
      </w:r>
      <w:r>
        <w:t xml:space="preserve">MCCA 4–8 for the transcendental and dialectical modes of justification and the self-criticisms within each tradition, the enumeration of six positions standing at MCCA 6–7; PMT 142 for the dilemma of Kant and Hegel; PMT 28 for the negative metaphysics at which Heidegger’s destruction and Adorno’s critique of the philosophy of origins are said to aim, with PMT 145 for the outsider’s standpoint negative metaphysics retains; PMT 33 for Husserl and the university tradition; PMT 42 for the two positions of Heidegger and the two phrases quoted; PMT 43 for the verdict. The grouping of the five as interlocutors of one circle is the chapter’s.</w:t>
      </w:r>
    </w:p>
  </w:footnote>
  <w:footnote w:id="46">
    <w:p>
      <w:pPr>
        <w:pStyle w:val="FootnoteText"/>
      </w:pPr>
      <w:r>
        <w:rPr>
          <w:rStyle w:val="FootnoteReference"/>
        </w:rPr>
        <w:footnoteRef/>
      </w:r>
      <w:r>
        <w:t xml:space="preserve"> </w:t>
      </w:r>
      <w:r>
        <w:t xml:space="preserve">MCCA 8 for the two sentences on critical rationalism and negativism; PMT 135 for the relativistic thesis. On the chapter’s reading the charges convict one form, a universal claim advanced by a position which denies itself universal claims; the bounded sense of the instrument is fixed at §2.1.1.</w:t>
      </w:r>
    </w:p>
  </w:footnote>
  <w:footnote w:id="47">
    <w:p>
      <w:pPr>
        <w:pStyle w:val="FootnoteText"/>
      </w:pPr>
      <w:r>
        <w:rPr>
          <w:rStyle w:val="FootnoteReference"/>
        </w:rPr>
        <w:footnoteRef/>
      </w:r>
      <w:r>
        <w:t xml:space="preserve"> </w:t>
      </w:r>
      <w:r>
        <w:t xml:space="preserve">John Rawls,</w:t>
      </w:r>
      <w:r>
        <w:t xml:space="preserve"> </w:t>
      </w:r>
      <w:r>
        <w:t xml:space="preserve">‘</w:t>
      </w:r>
      <w:r>
        <w:t xml:space="preserve">Reply to Habermas</w:t>
      </w:r>
      <w:r>
        <w:t xml:space="preserve">’</w:t>
      </w:r>
      <w:r>
        <w:t xml:space="preserve">,</w:t>
      </w:r>
      <w:r>
        <w:t xml:space="preserve"> </w:t>
      </w:r>
      <w:r>
        <w:rPr>
          <w:iCs/>
          <w:i/>
        </w:rPr>
        <w:t xml:space="preserve">Journal of Philosophy</w:t>
      </w:r>
      <w:r>
        <w:t xml:space="preserve"> </w:t>
      </w:r>
      <w:r>
        <w:t xml:space="preserve">92/3 (1995), 132–80, at 135 for the comprehensive doctrine, 137 for the two sentences quoted and 137 n. 8 for the premise; the reprint in James Gordon Finlayson and Fabian Freyenhagen (eds),</w:t>
      </w:r>
      <w:r>
        <w:t xml:space="preserve"> </w:t>
      </w:r>
      <w:r>
        <w:rPr>
          <w:iCs/>
          <w:i/>
        </w:rPr>
        <w:t xml:space="preserve">Habermas and Rawls: Disputing the Political</w:t>
      </w:r>
      <w:r>
        <w:t xml:space="preserve"> </w:t>
      </w:r>
      <w:r>
        <w:t xml:space="preserve">(New York: Routledge, 2011), ch. 2, carries the journal pagination in brackets and is the printing cited. Habermas’s own answer to the charge, in the reply first printed in 2011, is read in the paragraph which follows.</w:t>
      </w:r>
    </w:p>
  </w:footnote>
  <w:footnote w:id="48">
    <w:p>
      <w:pPr>
        <w:pStyle w:val="FootnoteText"/>
      </w:pPr>
      <w:r>
        <w:rPr>
          <w:rStyle w:val="FootnoteReference"/>
        </w:rPr>
        <w:footnoteRef/>
      </w:r>
      <w:r>
        <w:t xml:space="preserve"> </w:t>
      </w:r>
      <w:r>
        <w:t xml:space="preserve">Dieter Henrich,</w:t>
      </w:r>
      <w:r>
        <w:t xml:space="preserve"> </w:t>
      </w:r>
      <w:r>
        <w:t xml:space="preserve">‘</w:t>
      </w:r>
      <w:r>
        <w:t xml:space="preserve">What is Metaphysics — What is Modernity? Twelve Theses against Jürgen Habermas</w:t>
      </w:r>
      <w:r>
        <w:t xml:space="preserve">’</w:t>
      </w:r>
      <w:r>
        <w:t xml:space="preserve">, in Peter Dews (ed.),</w:t>
      </w:r>
      <w:r>
        <w:t xml:space="preserve"> </w:t>
      </w:r>
      <w:r>
        <w:rPr>
          <w:iCs/>
          <w:i/>
        </w:rPr>
        <w:t xml:space="preserve">Habermas: A Critical Reader</w:t>
      </w:r>
      <w:r>
        <w:t xml:space="preserve"> </w:t>
      </w:r>
      <w:r>
        <w:t xml:space="preserve">(Oxford: Blackwell, 1999), 291–319, at 296, where the sentence of the first preface (Kant,</w:t>
      </w:r>
      <w:r>
        <w:t xml:space="preserve"> </w:t>
      </w:r>
      <w:r>
        <w:rPr>
          <w:iCs/>
          <w:i/>
        </w:rPr>
        <w:t xml:space="preserve">Critique of Pure Reason</w:t>
      </w:r>
      <w:r>
        <w:t xml:space="preserve">, A x) is quoted and applied to Habermas; the German is</w:t>
      </w:r>
      <w:r>
        <w:t xml:space="preserve"> </w:t>
      </w:r>
      <w:r>
        <w:t xml:space="preserve">‘</w:t>
      </w:r>
      <w:r>
        <w:t xml:space="preserve">Was ist Metaphysik — was Moderne? Zwölf Thesen gegen Jürgen Habermas</w:t>
      </w:r>
      <w:r>
        <w:t xml:space="preserve">’</w:t>
      </w:r>
      <w:r>
        <w:t xml:space="preserve">, in</w:t>
      </w:r>
      <w:r>
        <w:t xml:space="preserve"> </w:t>
      </w:r>
      <w:r>
        <w:rPr>
          <w:iCs/>
          <w:i/>
        </w:rPr>
        <w:t xml:space="preserve">Konzepte: Essays zur Philosophie der Zeit</w:t>
      </w:r>
      <w:r>
        <w:t xml:space="preserve"> </w:t>
      </w:r>
      <w:r>
        <w:t xml:space="preserve">(Frankfurt am Main: Suhrkamp, 1987), 11–43, the printing Habermas cites at PMT 27 n. 2.</w:t>
      </w:r>
    </w:p>
  </w:footnote>
  <w:footnote w:id="49">
    <w:p>
      <w:pPr>
        <w:pStyle w:val="FootnoteText"/>
      </w:pPr>
      <w:r>
        <w:rPr>
          <w:rStyle w:val="FootnoteReference"/>
        </w:rPr>
        <w:footnoteRef/>
      </w:r>
      <w:r>
        <w:t xml:space="preserve"> </w:t>
      </w:r>
      <w:r>
        <w:t xml:space="preserve">Kant,</w:t>
      </w:r>
      <w:r>
        <w:t xml:space="preserve"> </w:t>
      </w:r>
      <w:r>
        <w:rPr>
          <w:iCs/>
          <w:i/>
        </w:rPr>
        <w:t xml:space="preserve">Critique of Pure Reason</w:t>
      </w:r>
      <w:r>
        <w:t xml:space="preserve">, B xxxv, in the edition the Introduction cites, reported in indirect discourse, the parenthesis on science, which must always proceed dogmatically, included. That Habermas transposes the first limb and adds the second is the chapter’s reading of the two passages the next note gives.</w:t>
      </w:r>
    </w:p>
  </w:footnote>
  <w:footnote w:id="50">
    <w:p>
      <w:pPr>
        <w:pStyle w:val="FootnoteText"/>
      </w:pPr>
      <w:r>
        <w:rPr>
          <w:rStyle w:val="FootnoteReference"/>
        </w:rPr>
        <w:footnoteRef/>
      </w:r>
      <w:r>
        <w:t xml:space="preserve"> </w:t>
      </w:r>
      <w:r>
        <w:t xml:space="preserve">PMT 21 for the sentence on analytic materialism; PMT II, ch. 9,</w:t>
      </w:r>
      <w:r>
        <w:t xml:space="preserve"> </w:t>
      </w:r>
      <w:r>
        <w:t xml:space="preserve">‘</w:t>
      </w:r>
      <w:r>
        <w:t xml:space="preserve">Rawls’s Political Liberalism: Reply to the Resumption of a Discussion</w:t>
      </w:r>
      <w:r>
        <w:t xml:space="preserve">’</w:t>
      </w:r>
      <w:r>
        <w:t xml:space="preserve">, §III,</w:t>
      </w:r>
      <w:r>
        <w:t xml:space="preserve"> </w:t>
      </w:r>
      <w:r>
        <w:t xml:space="preserve">‘</w:t>
      </w:r>
      <w:r>
        <w:t xml:space="preserve">Postmetaphysical, Not Freestanding</w:t>
      </w:r>
      <w:r>
        <w:t xml:space="preserve">’</w:t>
      </w:r>
      <w:r>
        <w:t xml:space="preserve">, for the three passages quoted, the section §2.1.4 cites for its concession on weak transcendental arguments. Kenneth Baynes,</w:t>
      </w:r>
      <w:r>
        <w:t xml:space="preserve"> </w:t>
      </w:r>
      <w:r>
        <w:t xml:space="preserve">‘</w:t>
      </w:r>
      <w:r>
        <w:t xml:space="preserve">Postmetaphysical Thinking</w:t>
      </w:r>
      <w:r>
        <w:t xml:space="preserve">’</w:t>
      </w:r>
      <w:r>
        <w:t xml:space="preserve">, in</w:t>
      </w:r>
      <w:r>
        <w:t xml:space="preserve"> </w:t>
      </w:r>
      <w:r>
        <w:rPr>
          <w:iCs/>
          <w:i/>
        </w:rPr>
        <w:t xml:space="preserve">The Habermas Handbook</w:t>
      </w:r>
      <w:r>
        <w:t xml:space="preserve">, 71–74, at 73, reads the objection to metaphysical thinking as directed at forms of inquiry which</w:t>
      </w:r>
      <w:r>
        <w:t xml:space="preserve"> </w:t>
      </w:r>
      <w:r>
        <w:t xml:space="preserve">‘</w:t>
      </w:r>
      <w:r>
        <w:t xml:space="preserve">isolate themselves from any sort of challenge from the empirical sciences</w:t>
      </w:r>
      <w:r>
        <w:t xml:space="preserve">’</w:t>
      </w:r>
      <w:r>
        <w:t xml:space="preserve">, a reading convergent with the second limb and not relied upon for it.</w:t>
      </w:r>
    </w:p>
  </w:footnote>
  <w:footnote w:id="51">
    <w:p>
      <w:pPr>
        <w:pStyle w:val="FootnoteText"/>
      </w:pPr>
      <w:r>
        <w:rPr>
          <w:rStyle w:val="FootnoteReference"/>
        </w:rPr>
        <w:footnoteRef/>
      </w:r>
      <w:r>
        <w:t xml:space="preserve"> </w:t>
      </w:r>
      <w:r>
        <w:t xml:space="preserve">PMT II, ch. 5, §IV, in the paragraph which follows the sentence on the divine standpoint quoted above. The two respects in which the practice occupies the place of the tribunal, and the identification of the second as the claim over which Apel and Habermas divide, are the chapter’s formulations; the modal determination of</w:t>
      </w:r>
      <w:r>
        <w:t xml:space="preserve"> </w:t>
      </w:r>
      <w:r>
        <w:t xml:space="preserve">‘</w:t>
      </w:r>
      <w:r>
        <w:t xml:space="preserve">no alternative</w:t>
      </w:r>
      <w:r>
        <w:t xml:space="preserve">’</w:t>
      </w:r>
      <w:r>
        <w:t xml:space="preserve"> </w:t>
      </w:r>
      <w:r>
        <w:t xml:space="preserve">is taken up in Chapter Three.</w:t>
      </w:r>
    </w:p>
  </w:footnote>
  <w:footnote w:id="52">
    <w:p>
      <w:pPr>
        <w:pStyle w:val="FootnoteText"/>
      </w:pPr>
      <w:r>
        <w:rPr>
          <w:rStyle w:val="FootnoteReference"/>
        </w:rPr>
        <w:footnoteRef/>
      </w:r>
      <w:r>
        <w:t xml:space="preserve"> </w:t>
      </w:r>
      <w:r>
        <w:t xml:space="preserve">PMT 10 for the metaphysics capable of enduring after Kant; PMT 11 for the definitive horizon of self-interpretation; PMT 13 for the terminological dispute; PMT 14 for the reconstructive tasks, the enlightening role, Henrich’s second thesis as Habermas quotes it, and the sentence on ethics. The debate is summarised, under three heads, by Tilo Wesche,</w:t>
      </w:r>
      <w:r>
        <w:t xml:space="preserve"> </w:t>
      </w:r>
      <w:r>
        <w:t xml:space="preserve">‘</w:t>
      </w:r>
      <w:r>
        <w:t xml:space="preserve">Dieter Henrich</w:t>
      </w:r>
      <w:r>
        <w:t xml:space="preserve">’</w:t>
      </w:r>
      <w:r>
        <w:t xml:space="preserve">, in</w:t>
      </w:r>
      <w:r>
        <w:t xml:space="preserve"> </w:t>
      </w:r>
      <w:r>
        <w:rPr>
          <w:iCs/>
          <w:i/>
        </w:rPr>
        <w:t xml:space="preserve">The Cambridge Habermas Lexicon</w:t>
      </w:r>
      <w:r>
        <w:t xml:space="preserve">, 567–69.</w:t>
      </w:r>
    </w:p>
  </w:footnote>
  <w:footnote w:id="53">
    <w:p>
      <w:pPr>
        <w:pStyle w:val="FootnoteText"/>
      </w:pPr>
      <w:r>
        <w:rPr>
          <w:rStyle w:val="FootnoteReference"/>
        </w:rPr>
        <w:footnoteRef/>
      </w:r>
      <w:r>
        <w:t xml:space="preserve"> </w:t>
      </w:r>
      <w:r>
        <w:t xml:space="preserve">Henrich,</w:t>
      </w:r>
      <w:r>
        <w:t xml:space="preserve"> </w:t>
      </w:r>
      <w:r>
        <w:t xml:space="preserve">‘</w:t>
      </w:r>
      <w:r>
        <w:t xml:space="preserve">What is Metaphysics</w:t>
      </w:r>
      <w:r>
        <w:t xml:space="preserve">’</w:t>
      </w:r>
      <w:r>
        <w:t xml:space="preserve">, 293–94 for the two groups of enquiry and the sentence on thoughts of resolving closure, 295 for the two sentences on fallibility, 299 for the sentence on immediacy. The Tenth Thesis, at 311, holds that</w:t>
      </w:r>
      <w:r>
        <w:t xml:space="preserve"> </w:t>
      </w:r>
      <w:r>
        <w:t xml:space="preserve">‘</w:t>
      </w:r>
      <w:r>
        <w:t xml:space="preserve">the functioning of linguistic communication presupposes a self-relation on the part of the</w:t>
      </w:r>
      <w:r>
        <w:t xml:space="preserve"> </w:t>
      </w:r>
      <w:r>
        <w:t xml:space="preserve">“</w:t>
      </w:r>
      <w:r>
        <w:t xml:space="preserve">speaker</w:t>
      </w:r>
      <w:r>
        <w:t xml:space="preserve">”</w:t>
      </w:r>
      <w:r>
        <w:t xml:space="preserve"> </w:t>
      </w:r>
      <w:r>
        <w:t xml:space="preserve">— as one of its constitutive pre-conditions, one which is no less fundamental than the subject-predicate form of the proposition</w:t>
      </w:r>
      <w:r>
        <w:t xml:space="preserve">’</w:t>
      </w:r>
      <w:r>
        <w:t xml:space="preserve">; Habermas quotes it at PMT 23 and answers it with the pragmatic account of a self-relation established performatively (PMT 24).</w:t>
      </w:r>
    </w:p>
  </w:footnote>
  <w:footnote w:id="54">
    <w:p>
      <w:pPr>
        <w:pStyle w:val="FootnoteText"/>
      </w:pPr>
      <w:r>
        <w:rPr>
          <w:rStyle w:val="FootnoteReference"/>
        </w:rPr>
        <w:footnoteRef/>
      </w:r>
      <w:r>
        <w:t xml:space="preserve"> </w:t>
      </w:r>
      <w:r>
        <w:t xml:space="preserve">Peter Dews,</w:t>
      </w:r>
      <w:r>
        <w:t xml:space="preserve"> </w:t>
      </w:r>
      <w:r>
        <w:t xml:space="preserve">‘</w:t>
      </w:r>
      <w:r>
        <w:t xml:space="preserve">Modernity, Self-Consciousness and the Scope of Philosophy: Jürgen Habermas and Dieter Henrich in Debate</w:t>
      </w:r>
      <w:r>
        <w:t xml:space="preserve">’</w:t>
      </w:r>
      <w:r>
        <w:t xml:space="preserve">, in</w:t>
      </w:r>
      <w:r>
        <w:t xml:space="preserve"> </w:t>
      </w:r>
      <w:r>
        <w:rPr>
          <w:iCs/>
          <w:i/>
        </w:rPr>
        <w:t xml:space="preserve">The Limits of Disenchantment: Essays on Contemporary European Philosophy</w:t>
      </w:r>
      <w:r>
        <w:t xml:space="preserve"> </w:t>
      </w:r>
      <w:r>
        <w:t xml:space="preserve">(London: Verso, 1995), 169–93, at 189 for the finding that Henrich’s conception violates none of the constraints Habermas sets, and at 188 for the observation Dews attributes to Volker Gerhardt, that a critique of answers no longer plausible is equated with a demonstration that the domain of problems is obsolete. The address given to Henrich’s charge of immediacy, in the categorial premise and in C2, is the chapter’s and is not Dews’s.</w:t>
      </w:r>
    </w:p>
  </w:footnote>
  <w:footnote w:id="55">
    <w:p>
      <w:pPr>
        <w:pStyle w:val="FootnoteText"/>
      </w:pPr>
      <w:r>
        <w:rPr>
          <w:rStyle w:val="FootnoteReference"/>
        </w:rPr>
        <w:footnoteRef/>
      </w:r>
      <w:r>
        <w:t xml:space="preserve"> </w:t>
      </w:r>
      <w:r>
        <w:t xml:space="preserve">TP 22–23, in</w:t>
      </w:r>
      <w:r>
        <w:t xml:space="preserve"> </w:t>
      </w:r>
      <w:r>
        <w:t xml:space="preserve">‘</w:t>
      </w:r>
      <w:r>
        <w:t xml:space="preserve">Some Difficulties in the Attempt to Link Theory and Praxis</w:t>
      </w:r>
      <w:r>
        <w:t xml:space="preserve">’</w:t>
      </w:r>
      <w:r>
        <w:t xml:space="preserve">, the introduction of 1971 to</w:t>
      </w:r>
      <w:r>
        <w:t xml:space="preserve"> </w:t>
      </w:r>
      <w:r>
        <w:rPr>
          <w:iCs/>
          <w:i/>
        </w:rPr>
        <w:t xml:space="preserve">Theory and Practice</w:t>
      </w:r>
      <w:r>
        <w:t xml:space="preserve">, trans. John Viertel (London: Heinemann, 1974), for the sentences quoted; the criterion of distinction, that self-reflection has practical consequences and reconstruction none, stands at 23. The assignment of the two critical tasks to the two forms, their identification as Kantian and Hegelian, and the description of the elenctic as a third form are the chapter’s; the licence for the third is argued at Chapter Three §3.3.1.</w:t>
      </w:r>
    </w:p>
  </w:footnote>
  <w:footnote w:id="56">
    <w:p>
      <w:pPr>
        <w:pStyle w:val="FootnoteText"/>
      </w:pPr>
      <w:r>
        <w:rPr>
          <w:rStyle w:val="FootnoteReference"/>
        </w:rPr>
        <w:footnoteRef/>
      </w:r>
      <w:r>
        <w:t xml:space="preserve"> </w:t>
      </w:r>
      <w:r>
        <w:t xml:space="preserve">TCA I 116, for the displayed clause and for the two-stage denial which follows it; TCA I 106–07 and 115 for the lead-in. Reported in paraphrase apart from the clause displayed. The thesis stands in Habermas’s methodological discussion of interpretive social science, where its subject is the interpretation of an action and not the reconstruction of a competence. The claim that it reaches the second by way of the first — the reconstructive datum being available only under a rational interpretation — is the premise entered in the body, and it is a premise of the reading offered there.</w:t>
      </w:r>
    </w:p>
  </w:footnote>
  <w:footnote w:id="57">
    <w:p>
      <w:pPr>
        <w:pStyle w:val="FootnoteText"/>
      </w:pPr>
      <w:r>
        <w:rPr>
          <w:rStyle w:val="FootnoteReference"/>
        </w:rPr>
        <w:footnoteRef/>
      </w:r>
      <w:r>
        <w:t xml:space="preserve"> </w:t>
      </w:r>
      <w:r>
        <w:t xml:space="preserve">MCCA 96–97, where the search for performative contradictions is a guide within a maieutic procedure and not a justification of the moral principle; the corroborative criterion stands at MCCA 32 and 98. The grouping of the three criteria is the chapter’s, made from Habermas’s statements of the procedure. The claim that maieutic confirmation is not sovereign has a further statement in his own hand: hermeneutic self-reflection illuminates the experiences a subject undergoes in exercising his communicative competence and cannot explain that competence itself (</w:t>
      </w:r>
      <w:r>
        <w:t xml:space="preserve">‘</w:t>
      </w:r>
      <w:r>
        <w:t xml:space="preserve">The Hermeneutic Claim to Universality</w:t>
      </w:r>
      <w:r>
        <w:t xml:space="preserve">’</w:t>
      </w:r>
      <w:r>
        <w:t xml:space="preserve"> </w:t>
      </w:r>
      <w:r>
        <w:t xml:space="preserve">(1970), in</w:t>
      </w:r>
      <w:r>
        <w:t xml:space="preserve"> </w:t>
      </w:r>
      <w:r>
        <w:rPr>
          <w:iCs/>
          <w:i/>
        </w:rPr>
        <w:t xml:space="preserve">The Hermeneutic Tradition: From Ast to Ricoeur</w:t>
      </w:r>
      <w:r>
        <w:t xml:space="preserve">, ed. Gayle L. Ormiston and Alan D. Schrift (Albany: SUNY Press, 1990), 245–72, at 249; the German in</w:t>
      </w:r>
      <w:r>
        <w:t xml:space="preserve"> </w:t>
      </w:r>
      <w:r>
        <w:rPr>
          <w:iCs/>
          <w:i/>
        </w:rPr>
        <w:t xml:space="preserve">Zur Logik der Sozialwissenschaften</w:t>
      </w:r>
      <w:r>
        <w:t xml:space="preserve">, 5th edn (Frankfurt am Main: Suhrkamp, 1982), 331 ff.), reported in paraphrase.</w:t>
      </w:r>
    </w:p>
  </w:footnote>
  <w:footnote w:id="58">
    <w:p>
      <w:pPr>
        <w:pStyle w:val="FootnoteText"/>
      </w:pPr>
      <w:r>
        <w:rPr>
          <w:rStyle w:val="FootnoteReference"/>
        </w:rPr>
        <w:footnoteRef/>
      </w:r>
      <w:r>
        <w:t xml:space="preserve"> </w:t>
      </w:r>
      <w:r>
        <w:t xml:space="preserve">MCCA 4 for the sentence on the usher, the judge, the stand-in and the interpreter, the German terms being parenthesised in the Lenhardt and Nicholsen translation; MCCA 15 for the place held for the reconstructive sciences and for the definition quoted, MCCA 16 for its completion. The essay is</w:t>
      </w:r>
      <w:r>
        <w:t xml:space="preserve"> </w:t>
      </w:r>
      <w:r>
        <w:t xml:space="preserve">‘</w:t>
      </w:r>
      <w:r>
        <w:t xml:space="preserve">Philosophy as Stand-In and Interpreter</w:t>
      </w:r>
      <w:r>
        <w:t xml:space="preserve">’</w:t>
      </w:r>
      <w:r>
        <w:t xml:space="preserve"> </w:t>
      </w:r>
      <w:r>
        <w:t xml:space="preserve">(MCCA 1–20).</w:t>
      </w:r>
    </w:p>
  </w:footnote>
  <w:footnote w:id="59">
    <w:p>
      <w:pPr>
        <w:pStyle w:val="FootnoteText"/>
      </w:pPr>
      <w:r>
        <w:rPr>
          <w:rStyle w:val="FootnoteReference"/>
        </w:rPr>
        <w:footnoteRef/>
      </w:r>
      <w:r>
        <w:t xml:space="preserve"> </w:t>
      </w:r>
      <w:r>
        <w:t xml:space="preserve">The distinction of the two offices by finality against provisionality, and the identification of what is renounced with the office of a tribunal, are the reading proposed here.</w:t>
      </w:r>
    </w:p>
  </w:footnote>
  <w:footnote w:id="60">
    <w:p>
      <w:pPr>
        <w:pStyle w:val="FootnoteText"/>
      </w:pPr>
      <w:r>
        <w:rPr>
          <w:rStyle w:val="FootnoteReference"/>
        </w:rPr>
        <w:footnoteRef/>
      </w:r>
      <w:r>
        <w:t xml:space="preserve"> </w:t>
      </w:r>
      <w:r>
        <w:t xml:space="preserve">PMT 50–51 for the sentences the body displays, on the affirmative theory of the good life and the lifeworld present only as horizon and background, philosophy there making use of that knowledge only as a critical agency, reported in indirect discourse; PMT 51 for the surrender of the extraordinary status quoted in the body.</w:t>
      </w:r>
    </w:p>
  </w:footnote>
  <w:footnote w:id="61">
    <w:p>
      <w:pPr>
        <w:pStyle w:val="FootnoteText"/>
      </w:pPr>
      <w:r>
        <w:rPr>
          <w:rStyle w:val="FootnoteReference"/>
        </w:rPr>
        <w:footnoteRef/>
      </w:r>
      <w:r>
        <w:t xml:space="preserve"> </w:t>
      </w:r>
      <w:r>
        <w:t xml:space="preserve">CES 9, McCarthy’s translation, for the sentence quoted, and CES 19 for the interrogative procedure,</w:t>
      </w:r>
      <w:r>
        <w:t xml:space="preserve"> </w:t>
      </w:r>
      <w:r>
        <w:t xml:space="preserve">‘</w:t>
      </w:r>
      <w:r>
        <w:t xml:space="preserve">maeutic</w:t>
      </w:r>
      <w:r>
        <w:t xml:space="preserve">’</w:t>
      </w:r>
      <w:r>
        <w:t xml:space="preserve"> </w:t>
      </w:r>
      <w:r>
        <w:t xml:space="preserve">being McCarthy’s spelling, revised to</w:t>
      </w:r>
      <w:r>
        <w:t xml:space="preserve"> </w:t>
      </w:r>
      <w:r>
        <w:t xml:space="preserve">‘</w:t>
      </w:r>
      <w:r>
        <w:t xml:space="preserve">maieutic</w:t>
      </w:r>
      <w:r>
        <w:t xml:space="preserve">’</w:t>
      </w:r>
      <w:r>
        <w:t xml:space="preserve"> </w:t>
      </w:r>
      <w:r>
        <w:t xml:space="preserve">at OPC 40 (data</w:t>
      </w:r>
      <w:r>
        <w:t xml:space="preserve"> </w:t>
      </w:r>
      <w:r>
        <w:t xml:space="preserve">‘</w:t>
      </w:r>
      <w:r>
        <w:t xml:space="preserve">maeutically ascertained</w:t>
      </w:r>
      <w:r>
        <w:t xml:space="preserve">’</w:t>
      </w:r>
      <w:r>
        <w:t xml:space="preserve">, CES 15); Cooke’s rendering of the first sentence, at OPC 29, has</w:t>
      </w:r>
      <w:r>
        <w:t xml:space="preserve"> </w:t>
      </w:r>
      <w:r>
        <w:t xml:space="preserve">‘</w:t>
      </w:r>
      <w:r>
        <w:t xml:space="preserve">observable objects and events</w:t>
      </w:r>
      <w:r>
        <w:t xml:space="preserve">’</w:t>
      </w:r>
      <w:r>
        <w:t xml:space="preserve"> </w:t>
      </w:r>
      <w:r>
        <w:t xml:space="preserve">and</w:t>
      </w:r>
      <w:r>
        <w:t xml:space="preserve"> </w:t>
      </w:r>
      <w:r>
        <w:t xml:space="preserve">‘</w:t>
      </w:r>
      <w:r>
        <w:t xml:space="preserve">those sciences</w:t>
      </w:r>
      <w:r>
        <w:t xml:space="preserve">’</w:t>
      </w:r>
      <w:r>
        <w:t xml:space="preserve">. MCCA 31, in</w:t>
      </w:r>
      <w:r>
        <w:t xml:space="preserve"> </w:t>
      </w:r>
      <w:r>
        <w:t xml:space="preserve">‘</w:t>
      </w:r>
      <w:r>
        <w:t xml:space="preserve">Reconstruction and Interpretation in the Social Sciences</w:t>
      </w:r>
      <w:r>
        <w:t xml:space="preserve">’</w:t>
      </w:r>
      <w:r>
        <w:t xml:space="preserve"> </w:t>
      </w:r>
      <w:r>
        <w:t xml:space="preserve">(MCCA 21–42), for the object of formal-pragmatic analysis.</w:t>
      </w:r>
    </w:p>
  </w:footnote>
  <w:footnote w:id="62">
    <w:p>
      <w:pPr>
        <w:pStyle w:val="FootnoteText"/>
      </w:pPr>
      <w:r>
        <w:rPr>
          <w:rStyle w:val="FootnoteReference"/>
        </w:rPr>
        <w:footnoteRef/>
      </w:r>
      <w:r>
        <w:t xml:space="preserve"> </w:t>
      </w:r>
      <w:r>
        <w:t xml:space="preserve">TCA I 38 for the refusal of a transcendental deduction and the sufficiency of a testing procedure; TCA I 2 for the surrendered hopes; TCA I 119 for the relinquished immunity, in the clause quoted, and for the interpreter’s exposure to the same criticism as the utterances he interprets, reported in paraphrase. The nearest Habermas comes to a defence in its own right of the claim that the object of reconstruction lies in the know-how of competent subjects is drawn by contrast with nomological theory:</w:t>
      </w:r>
      <w:r>
        <w:t xml:space="preserve"> </w:t>
      </w:r>
      <w:r>
        <w:t xml:space="preserve">‘</w:t>
      </w:r>
      <w:r>
        <w:t xml:space="preserve">hypothetical reconstructions, if true, correspond not to structures of an objectified reality but to structures of the implicit know-how of competent subjects capable of judgment</w:t>
      </w:r>
      <w:r>
        <w:t xml:space="preserve">’</w:t>
      </w:r>
      <w:r>
        <w:t xml:space="preserve"> </w:t>
      </w:r>
      <w:r>
        <w:t xml:space="preserve">(OPSI 10).</w:t>
      </w:r>
    </w:p>
  </w:footnote>
  <w:footnote w:id="63">
    <w:p>
      <w:pPr>
        <w:pStyle w:val="FootnoteText"/>
      </w:pPr>
      <w:r>
        <w:rPr>
          <w:rStyle w:val="FootnoteReference"/>
        </w:rPr>
        <w:footnoteRef/>
      </w:r>
      <w:r>
        <w:t xml:space="preserve"> </w:t>
      </w:r>
      <w:r>
        <w:t xml:space="preserve">MCCA 96 for the wording of step (2) in the enumeration; MCCA 97 for its maieutic method and the substeps 2a–2c, labelled as Habermas labels them.</w:t>
      </w:r>
    </w:p>
  </w:footnote>
  <w:footnote w:id="64">
    <w:p>
      <w:pPr>
        <w:pStyle w:val="FootnoteText"/>
      </w:pPr>
      <w:r>
        <w:rPr>
          <w:rStyle w:val="FootnoteReference"/>
        </w:rPr>
        <w:footnoteRef/>
      </w:r>
      <w:r>
        <w:t xml:space="preserve"> </w:t>
      </w:r>
      <w:r>
        <w:t xml:space="preserve">MCCA 96–97, in</w:t>
      </w:r>
      <w:r>
        <w:t xml:space="preserve"> </w:t>
      </w:r>
      <w:r>
        <w:t xml:space="preserve">‘</w:t>
      </w:r>
      <w:r>
        <w:t xml:space="preserve">Discourse Ethics: Notes on a Program of Philosophical Justification</w:t>
      </w:r>
      <w:r>
        <w:t xml:space="preserve">’</w:t>
      </w:r>
      <w:r>
        <w:t xml:space="preserve"> </w:t>
      </w:r>
      <w:r>
        <w:t xml:space="preserve">(MCCA 43–115), the enumeration being examined at Chapter One §1.5.3. The four characterisations quoted here stand at MCCA 97; the German</w:t>
      </w:r>
      <w:r>
        <w:t xml:space="preserve"> </w:t>
      </w:r>
      <w:r>
        <w:rPr>
          <w:iCs/>
          <w:i/>
        </w:rPr>
        <w:t xml:space="preserve">Gesetzeshypothese</w:t>
      </w:r>
      <w:r>
        <w:t xml:space="preserve"> </w:t>
      </w:r>
      <w:r>
        <w:t xml:space="preserve">is supplied in parentheses by the translation itself, and the connective</w:t>
      </w:r>
      <w:r>
        <w:t xml:space="preserve"> </w:t>
      </w:r>
      <w:r>
        <w:t xml:space="preserve">‘</w:t>
      </w:r>
      <w:r>
        <w:t xml:space="preserve">Similarly</w:t>
      </w:r>
      <w:r>
        <w:t xml:space="preserve">’</w:t>
      </w:r>
      <w:r>
        <w:t xml:space="preserve"> </w:t>
      </w:r>
      <w:r>
        <w:t xml:space="preserve">renders</w:t>
      </w:r>
      <w:r>
        <w:t xml:space="preserve"> </w:t>
      </w:r>
      <w:r>
        <w:rPr>
          <w:iCs/>
          <w:i/>
        </w:rPr>
        <w:t xml:space="preserve">Und</w:t>
      </w:r>
      <w:r>
        <w:t xml:space="preserve">. The argument from the checking-procedure, and the concession of the parenthesis</w:t>
      </w:r>
      <w:r>
        <w:t xml:space="preserve"> </w:t>
      </w:r>
      <w:r>
        <w:t xml:space="preserve">‘</w:t>
      </w:r>
      <w:r>
        <w:t xml:space="preserve">(i.e., necessary and general)</w:t>
      </w:r>
      <w:r>
        <w:t xml:space="preserve">’</w:t>
      </w:r>
      <w:r>
        <w:t xml:space="preserve">, go beyond what the passage states.</w:t>
      </w:r>
    </w:p>
  </w:footnote>
  <w:footnote w:id="65">
    <w:p>
      <w:pPr>
        <w:pStyle w:val="FootnoteText"/>
      </w:pPr>
      <w:r>
        <w:rPr>
          <w:rStyle w:val="FootnoteReference"/>
        </w:rPr>
        <w:footnoteRef/>
      </w:r>
      <w:r>
        <w:t xml:space="preserve"> </w:t>
      </w:r>
      <w:r>
        <w:t xml:space="preserve">CES 21 for the hypothetical proposal and CES 22 for the contingent boundary conditions, in the passage of 1976 which weakens the Kantian apriorism and is quoted for its predicate at §2.1.4. The reading that the contingency Habermas there admits is the one the checking procedure of 1983 cannot exclude is a construal and not a statement of his. The sentence at CES 22 runs:</w:t>
      </w:r>
      <w:r>
        <w:t xml:space="preserve"> </w:t>
      </w:r>
      <w:r>
        <w:t xml:space="preserve">‘</w:t>
      </w:r>
      <w:r>
        <w:t xml:space="preserve">We can no longer exclude the possibility that our concepts of objects of possible experience can be successfully applied only under contingent boundary conditions</w:t>
      </w:r>
      <w:r>
        <w:t xml:space="preserve">’</w:t>
      </w:r>
      <w:r>
        <w:t xml:space="preserve">.</w:t>
      </w:r>
    </w:p>
  </w:footnote>
  <w:footnote w:id="66">
    <w:p>
      <w:pPr>
        <w:pStyle w:val="FootnoteText"/>
      </w:pPr>
      <w:r>
        <w:rPr>
          <w:rStyle w:val="FootnoteReference"/>
        </w:rPr>
        <w:footnoteRef/>
      </w:r>
      <w:r>
        <w:t xml:space="preserve"> </w:t>
      </w:r>
      <w:r>
        <w:t xml:space="preserve">MCCA 97. The sentence continues: the certainty of practice is said not to extend to the truth of proposed reconstructions</w:t>
      </w:r>
      <w:r>
        <w:t xml:space="preserve"> </w:t>
      </w:r>
      <w:r>
        <w:t xml:space="preserve">‘</w:t>
      </w:r>
      <w:r>
        <w:t xml:space="preserve">for we have to put our reconstructions up for discussion in the same way in which the logician or the linguist … presents his theoretical descriptions</w:t>
      </w:r>
      <w:r>
        <w:t xml:space="preserve">’</w:t>
      </w:r>
      <w:r>
        <w:t xml:space="preserve">. The German,</w:t>
      </w:r>
      <w:r>
        <w:t xml:space="preserve"> </w:t>
      </w:r>
      <w:r>
        <w:rPr>
          <w:iCs/>
          <w:i/>
        </w:rPr>
        <w:t xml:space="preserve">Moralbewußtsein und kommunikatives Handeln</w:t>
      </w:r>
      <w:r>
        <w:t xml:space="preserve"> </w:t>
      </w:r>
      <w:r>
        <w:t xml:space="preserve">(Frankfurt am Main: Suhrkamp, 1983), hereafter MkH, carries the concessive and the hedge at MkH 107:</w:t>
      </w:r>
      <w:r>
        <w:t xml:space="preserve"> </w:t>
      </w:r>
      <w:r>
        <w:t xml:space="preserve">‘</w:t>
      </w:r>
      <w:r>
        <w:t xml:space="preserve">Gewiß, das intuitive Regelwissen … ist in gewisser Weise nicht fallibel — wohl aber unsere Rekonstruktion dieses vortheoretischen Wissens und der Universalitätsanspruch, den wir damit verbinden.</w:t>
      </w:r>
      <w:r>
        <w:t xml:space="preserve">’</w:t>
      </w:r>
      <w:r>
        <w:t xml:space="preserve"> </w:t>
      </w:r>
      <w:r>
        <w:t xml:space="preserve">The English participles render</w:t>
      </w:r>
      <w:r>
        <w:t xml:space="preserve"> </w:t>
      </w:r>
      <w:r>
        <w:rPr>
          <w:iCs/>
          <w:i/>
        </w:rPr>
        <w:t xml:space="preserve">Rekonstruktionsvorschläge</w:t>
      </w:r>
      <w:r>
        <w:t xml:space="preserve"> </w:t>
      </w:r>
      <w:r>
        <w:t xml:space="preserve">and</w:t>
      </w:r>
      <w:r>
        <w:t xml:space="preserve"> </w:t>
      </w:r>
      <w:r>
        <w:rPr>
          <w:iCs/>
          <w:i/>
        </w:rPr>
        <w:t xml:space="preserve">hypothetisch allgemeine</w:t>
      </w:r>
      <w:r>
        <w:t xml:space="preserve">, and the argument places no weight on them.</w:t>
      </w:r>
    </w:p>
  </w:footnote>
  <w:footnote w:id="67">
    <w:p>
      <w:pPr>
        <w:pStyle w:val="FootnoteText"/>
      </w:pPr>
      <w:r>
        <w:rPr>
          <w:rStyle w:val="FootnoteReference"/>
        </w:rPr>
        <w:footnoteRef/>
      </w:r>
      <w:r>
        <w:t xml:space="preserve"> </w:t>
      </w:r>
      <w:r>
        <w:t xml:space="preserve">MCCA 97, the passage quoted above; MkH 107 for the German. The pairing of the two constructions with the two substeps is the chapter’s; the routes by which the transfer might be attempted are examined at Chapter Three §3.2.3.</w:t>
      </w:r>
    </w:p>
  </w:footnote>
  <w:footnote w:id="68">
    <w:p>
      <w:pPr>
        <w:pStyle w:val="FootnoteText"/>
      </w:pPr>
      <w:r>
        <w:rPr>
          <w:rStyle w:val="FootnoteReference"/>
        </w:rPr>
        <w:footnoteRef/>
      </w:r>
      <w:r>
        <w:t xml:space="preserve"> </w:t>
      </w:r>
      <w:r>
        <w:t xml:space="preserve">MCCA 32:</w:t>
      </w:r>
      <w:r>
        <w:t xml:space="preserve"> </w:t>
      </w:r>
      <w:r>
        <w:t xml:space="preserve">‘</w:t>
      </w:r>
      <w:r>
        <w:t xml:space="preserve">There is always the possibility that they rest on a false choice of examples, that they are obscuring and distorting correct intuitions, or, even more frequently, that they are overgeneralizing individual cases.</w:t>
      </w:r>
      <w:r>
        <w:t xml:space="preserve">’</w:t>
      </w:r>
      <w:r>
        <w:t xml:space="preserve"> </w:t>
      </w:r>
      <w:r>
        <w:t xml:space="preserve">The pairing of the failure-modes with the two substeps is not his.</w:t>
      </w:r>
    </w:p>
  </w:footnote>
  <w:footnote w:id="69">
    <w:p>
      <w:pPr>
        <w:pStyle w:val="FootnoteText"/>
      </w:pPr>
      <w:r>
        <w:rPr>
          <w:rStyle w:val="FootnoteReference"/>
        </w:rPr>
        <w:footnoteRef/>
      </w:r>
      <w:r>
        <w:t xml:space="preserve"> </w:t>
      </w:r>
      <w:r>
        <w:t xml:space="preserve">Jørgen Pedersen,</w:t>
      </w:r>
      <w:r>
        <w:t xml:space="preserve"> </w:t>
      </w:r>
      <w:r>
        <w:t xml:space="preserve">‘</w:t>
      </w:r>
      <w:r>
        <w:t xml:space="preserve">Habermas</w:t>
      </w:r>
      <w:r>
        <w:t xml:space="preserve">’</w:t>
      </w:r>
      <w:r>
        <w:t xml:space="preserve"> </w:t>
      </w:r>
      <w:r>
        <w:t xml:space="preserve">Method: Rational Reconstruction’,</w:t>
      </w:r>
      <w:r>
        <w:t xml:space="preserve"> </w:t>
      </w:r>
      <w:r>
        <w:rPr>
          <w:iCs/>
          <w:i/>
        </w:rPr>
        <w:t xml:space="preserve">Philosophy of the Social Sciences</w:t>
      </w:r>
      <w:r>
        <w:t xml:space="preserve"> </w:t>
      </w:r>
      <w:r>
        <w:t xml:space="preserve">38/4 (2008), 457–85, reaching the cognate finding that it is unclear how the reconstructive hypothesis is to be tested. On whether Habermas’s arguments are transcendental at all, Michael K. Power,</w:t>
      </w:r>
      <w:r>
        <w:t xml:space="preserve"> </w:t>
      </w:r>
      <w:r>
        <w:t xml:space="preserve">‘</w:t>
      </w:r>
      <w:r>
        <w:t xml:space="preserve">Habermas and Transcendental Arguments: A Reappraisal</w:t>
      </w:r>
      <w:r>
        <w:t xml:space="preserve">’</w:t>
      </w:r>
      <w:r>
        <w:t xml:space="preserve">,</w:t>
      </w:r>
      <w:r>
        <w:t xml:space="preserve"> </w:t>
      </w:r>
      <w:r>
        <w:rPr>
          <w:iCs/>
          <w:i/>
        </w:rPr>
        <w:t xml:space="preserve">Philosophy of the Social Sciences</w:t>
      </w:r>
      <w:r>
        <w:t xml:space="preserve"> </w:t>
      </w:r>
      <w:r>
        <w:t xml:space="preserve">23/1 (1993), 26–49. The nearest anglophone approach is James Gordon Finlayson’s,</w:t>
      </w:r>
      <w:r>
        <w:t xml:space="preserve"> </w:t>
      </w:r>
      <w:r>
        <w:t xml:space="preserve">‘</w:t>
      </w:r>
      <w:r>
        <w:t xml:space="preserve">Modernity and Morality in Habermas’s Discourse Ethics</w:t>
      </w:r>
      <w:r>
        <w:t xml:space="preserve">’</w:t>
      </w:r>
      <w:r>
        <w:t xml:space="preserve">,</w:t>
      </w:r>
      <w:r>
        <w:t xml:space="preserve"> </w:t>
      </w:r>
      <w:r>
        <w:rPr>
          <w:iCs/>
          <w:i/>
        </w:rPr>
        <w:t xml:space="preserve">Inquiry</w:t>
      </w:r>
      <w:r>
        <w:t xml:space="preserve"> </w:t>
      </w:r>
      <w:r>
        <w:t xml:space="preserve">43/3 (2000), 319–40, which presses the justification question at the closest range.</w:t>
      </w:r>
    </w:p>
  </w:footnote>
  <w:footnote w:id="70">
    <w:p>
      <w:pPr>
        <w:pStyle w:val="FootnoteText"/>
      </w:pPr>
      <w:r>
        <w:rPr>
          <w:rStyle w:val="FootnoteReference"/>
        </w:rPr>
        <w:footnoteRef/>
      </w:r>
      <w:r>
        <w:t xml:space="preserve"> </w:t>
      </w:r>
      <w:r>
        <w:t xml:space="preserve">CES 8–9,</w:t>
      </w:r>
      <w:r>
        <w:t xml:space="preserve"> </w:t>
      </w:r>
      <w:r>
        <w:t xml:space="preserve">‘</w:t>
      </w:r>
      <w:r>
        <w:t xml:space="preserve">A Remark on the Procedure of Rational Reconstruction</w:t>
      </w:r>
      <w:r>
        <w:t xml:space="preserve">’</w:t>
      </w:r>
      <w:r>
        <w:t xml:space="preserve">, for the methodological attitude which distinguishes the reconstructive from the empirical-analytic sciences; MCCA 31 for the object; MCCA 97 for the grade, the clause requiring that reconstructions be put up for discussion as the logician or the linguist presents his theoretical descriptions closing the passage displayed at §2.1.1. The argument in both directions is constructed from these loci and is not stated by Habermas.</w:t>
      </w:r>
    </w:p>
  </w:footnote>
  <w:footnote w:id="71">
    <w:p>
      <w:pPr>
        <w:pStyle w:val="FootnoteText"/>
      </w:pPr>
      <w:r>
        <w:rPr>
          <w:rStyle w:val="FootnoteReference"/>
        </w:rPr>
        <w:footnoteRef/>
      </w:r>
      <w:r>
        <w:t xml:space="preserve"> </w:t>
      </w:r>
      <w:r>
        <w:t xml:space="preserve">The distinction has its ancestry in transcendental pragmatics, which holds the performative evidence of arguing apart from the explication which states it (SE2 87; §2.2.2), and the use made of it here runs against the school which drew the line. The criterion under which the behaviours individuate stands at Chapter Three §3.2.1, with the page of MCCA 32 on which Habermas keeps the two predicates to either side of the line; the principle of non-contradiction, whose negation admits of inscription but not of assertion, is treated there as the paradigm case and not as a counterexample (Chapter Three §3.3.1–§3.3.2).</w:t>
      </w:r>
    </w:p>
  </w:footnote>
  <w:footnote w:id="72">
    <w:p>
      <w:pPr>
        <w:pStyle w:val="FootnoteText"/>
      </w:pPr>
      <w:r>
        <w:rPr>
          <w:rStyle w:val="FootnoteReference"/>
        </w:rPr>
        <w:footnoteRef/>
      </w:r>
      <w:r>
        <w:t xml:space="preserve"> </w:t>
      </w:r>
      <w:r>
        <w:t xml:space="preserve">The objection is stated in the form the reception gives it and is attributed to no single critic; the reply is not Habermas’s, and draws on no more than the burden rule.</w:t>
      </w:r>
    </w:p>
  </w:footnote>
  <w:footnote w:id="74">
    <w:p>
      <w:pPr>
        <w:pStyle w:val="FootnoteText"/>
      </w:pPr>
      <w:r>
        <w:rPr>
          <w:rStyle w:val="FootnoteReference"/>
        </w:rPr>
        <w:footnoteRef/>
      </w:r>
      <w:r>
        <w:t xml:space="preserve"> </w:t>
      </w:r>
      <w:r>
        <w:t xml:space="preserve">MCCA 15–16: Piaget and Chomsky are named at 15 among the seminal theories inserting a philosophical idea into a research context; the reconstructive-science characterisation stands at 16. The corroboration thesis stands at MCCA 32 (</w:t>
      </w:r>
      <w:r>
        <w:t xml:space="preserve">‘</w:t>
      </w:r>
      <w:r>
        <w:t xml:space="preserve">For these reasons, they require further corroboration</w:t>
      </w:r>
      <w:r>
        <w:t xml:space="preserve">’</w:t>
      </w:r>
      <w:r>
        <w:t xml:space="preserve">;</w:t>
      </w:r>
      <w:r>
        <w:t xml:space="preserve"> </w:t>
      </w:r>
      <w:r>
        <w:t xml:space="preserve">‘</w:t>
      </w:r>
      <w:r>
        <w:t xml:space="preserve">indirect verification by using them as inputs in empirical theories</w:t>
      </w:r>
      <w:r>
        <w:t xml:space="preserve">’</w:t>
      </w:r>
      <w:r>
        <w:t xml:space="preserve">) and at MCCA 98, where the corroboration-not-foundation thesis is stated (</w:t>
      </w:r>
      <w:r>
        <w:t xml:space="preserve">‘</w:t>
      </w:r>
      <w:r>
        <w:t xml:space="preserve">If we cease striving for the foundationalism of traditional transcendental philosophy, we acquire new corroborative possibilities</w:t>
      </w:r>
      <w:r>
        <w:t xml:space="preserve">’</w:t>
      </w:r>
      <w:r>
        <w:t xml:space="preserve">;</w:t>
      </w:r>
      <w:r>
        <w:t xml:space="preserve"> </w:t>
      </w:r>
      <w:r>
        <w:t xml:space="preserve">‘</w:t>
      </w:r>
      <w:r>
        <w:t xml:space="preserve">made susceptible to indirect corroboration</w:t>
      </w:r>
      <w:r>
        <w:t xml:space="preserve">’</w:t>
      </w:r>
      <w:r>
        <w:t xml:space="preserve">).</w:t>
      </w:r>
    </w:p>
  </w:footnote>
  <w:footnote w:id="75">
    <w:p>
      <w:pPr>
        <w:pStyle w:val="FootnoteText"/>
      </w:pPr>
      <w:r>
        <w:rPr>
          <w:rStyle w:val="FootnoteReference"/>
        </w:rPr>
        <w:footnoteRef/>
      </w:r>
      <w:r>
        <w:t xml:space="preserve"> </w:t>
      </w:r>
      <w:r>
        <w:t xml:space="preserve">OPC 47–48 and 50 for the demarcation of communicative from linguistic competence by their objects; the ground from acknowledgeability given in the body is the chapter’s.</w:t>
      </w:r>
    </w:p>
  </w:footnote>
  <w:footnote w:id="76">
    <w:p>
      <w:pPr>
        <w:pStyle w:val="FootnoteText"/>
      </w:pPr>
      <w:r>
        <w:rPr>
          <w:rStyle w:val="FootnoteReference"/>
        </w:rPr>
        <w:footnoteRef/>
      </w:r>
      <w:r>
        <w:t xml:space="preserve"> </w:t>
      </w:r>
      <w:r>
        <w:t xml:space="preserve">Apel, TTP 196, for all three elements: the standing of the rules of grammar, the competent speaker’s ability to make his rule-following explicit, and Chomsky’s refusal of Ryle’s disjunction, each in the words the body quotes. The reply offered in the body goes beyond his text, and turns upon acknowledgeability rather than upon statability.</w:t>
      </w:r>
    </w:p>
  </w:footnote>
  <w:footnote w:id="77">
    <w:p>
      <w:pPr>
        <w:pStyle w:val="FootnoteText"/>
      </w:pPr>
      <w:r>
        <w:rPr>
          <w:rStyle w:val="FootnoteReference"/>
        </w:rPr>
        <w:footnoteRef/>
      </w:r>
      <w:r>
        <w:t xml:space="preserve"> </w:t>
      </w:r>
      <w:r>
        <w:t xml:space="preserve">CES 12–14, with OPC 32–33 for the same passage in Cooke’s revision of McCarthy’s translation, from which the quoted clause is taken; CES 12 has</w:t>
      </w:r>
      <w:r>
        <w:t xml:space="preserve"> </w:t>
      </w:r>
      <w:r>
        <w:t xml:space="preserve">‘</w:t>
      </w:r>
      <w:r>
        <w:t xml:space="preserve">he</w:t>
      </w:r>
      <w:r>
        <w:t xml:space="preserve">’</w:t>
      </w:r>
      <w:r>
        <w:t xml:space="preserve"> </w:t>
      </w:r>
      <w:r>
        <w:t xml:space="preserve">where OPC 32 has</w:t>
      </w:r>
      <w:r>
        <w:t xml:space="preserve"> </w:t>
      </w:r>
      <w:r>
        <w:t xml:space="preserve">‘</w:t>
      </w:r>
      <w:r>
        <w:t xml:space="preserve">she</w:t>
      </w:r>
      <w:r>
        <w:t xml:space="preserve">’</w:t>
      </w:r>
      <w:r>
        <w:t xml:space="preserve">. The two levels set out in the body compress a three-termed stratification: Habermas’s</w:t>
      </w:r>
      <w:r>
        <w:t xml:space="preserve"> </w:t>
      </w:r>
      <w:r>
        <w:t xml:space="preserve">‘</w:t>
      </w:r>
      <w:r>
        <w:t xml:space="preserve">first-level know-that</w:t>
      </w:r>
      <w:r>
        <w:t xml:space="preserve">’</w:t>
      </w:r>
      <w:r>
        <w:t xml:space="preserve"> </w:t>
      </w:r>
      <w:r>
        <w:t xml:space="preserve">is the understanding of content (CES 12; OPC 33), and the theorist’s articulation is the</w:t>
      </w:r>
      <w:r>
        <w:t xml:space="preserve"> </w:t>
      </w:r>
      <w:r>
        <w:t xml:space="preserve">‘</w:t>
      </w:r>
      <w:r>
        <w:t xml:space="preserve">second-level know-that</w:t>
      </w:r>
      <w:r>
        <w:t xml:space="preserve">’</w:t>
      </w:r>
      <w:r>
        <w:t xml:space="preserve"> </w:t>
      </w:r>
      <w:r>
        <w:t xml:space="preserve">(CES 13; OPC 33). The maieutic vocabulary stands at CES 15,</w:t>
      </w:r>
      <w:r>
        <w:t xml:space="preserve"> </w:t>
      </w:r>
      <w:r>
        <w:t xml:space="preserve">‘</w:t>
      </w:r>
      <w:r>
        <w:t xml:space="preserve">maeutically ascertained</w:t>
      </w:r>
      <w:r>
        <w:t xml:space="preserve">’</w:t>
      </w:r>
      <w:r>
        <w:t xml:space="preserve">, and CES 19, in the sentence on the maieutic method of interrogation quoted at §2.1.1.</w:t>
      </w:r>
    </w:p>
  </w:footnote>
  <w:footnote w:id="78">
    <w:p>
      <w:pPr>
        <w:pStyle w:val="FootnoteText"/>
      </w:pPr>
      <w:r>
        <w:rPr>
          <w:rStyle w:val="FootnoteReference"/>
        </w:rPr>
        <w:footnoteRef/>
      </w:r>
      <w:r>
        <w:t xml:space="preserve"> </w:t>
      </w:r>
      <w:r>
        <w:t xml:space="preserve">The consequence is the chapter’s own.</w:t>
      </w:r>
    </w:p>
  </w:footnote>
  <w:footnote w:id="79">
    <w:p>
      <w:pPr>
        <w:pStyle w:val="FootnoteText"/>
      </w:pPr>
      <w:r>
        <w:rPr>
          <w:rStyle w:val="FootnoteReference"/>
        </w:rPr>
        <w:footnoteRef/>
      </w:r>
      <w:r>
        <w:t xml:space="preserve"> </w:t>
      </w:r>
      <w:r>
        <w:t xml:space="preserve">OPC 83–84 for the engagement with Searle by name, where the two kinds of rule named in the body are taken over rather than refused. The concession, that an institutional account may be granted in full without disturbing the exclusion, states the consequence in words which are not his.</w:t>
      </w:r>
    </w:p>
  </w:footnote>
  <w:footnote w:id="80">
    <w:p>
      <w:pPr>
        <w:pStyle w:val="FootnoteText"/>
      </w:pPr>
      <w:r>
        <w:rPr>
          <w:rStyle w:val="FootnoteReference"/>
        </w:rPr>
        <w:footnoteRef/>
      </w:r>
      <w:r>
        <w:t xml:space="preserve"> </w:t>
      </w:r>
      <w:r>
        <w:t xml:space="preserve">Richard Rorty,</w:t>
      </w:r>
      <w:r>
        <w:t xml:space="preserve"> </w:t>
      </w:r>
      <w:r>
        <w:t xml:space="preserve">‘</w:t>
      </w:r>
      <w:r>
        <w:t xml:space="preserve">Universality and Truth</w:t>
      </w:r>
      <w:r>
        <w:t xml:space="preserve">’</w:t>
      </w:r>
      <w:r>
        <w:t xml:space="preserve">, in Robert B. Brandom (ed.),</w:t>
      </w:r>
      <w:r>
        <w:t xml:space="preserve"> </w:t>
      </w:r>
      <w:r>
        <w:rPr>
          <w:iCs/>
          <w:i/>
        </w:rPr>
        <w:t xml:space="preserve">Rorty and His Critics</w:t>
      </w:r>
      <w:r>
        <w:t xml:space="preserve"> </w:t>
      </w:r>
      <w:r>
        <w:t xml:space="preserve">(Oxford: Blackwell, 2000), 1–30, for the position summarised. The methodological form of the objection is the reception’s rather than any one critic’s.</w:t>
      </w:r>
    </w:p>
  </w:footnote>
  <w:footnote w:id="81">
    <w:p>
      <w:pPr>
        <w:pStyle w:val="FootnoteText"/>
      </w:pPr>
      <w:r>
        <w:rPr>
          <w:rStyle w:val="FootnoteReference"/>
        </w:rPr>
        <w:footnoteRef/>
      </w:r>
      <w:r>
        <w:t xml:space="preserve"> </w:t>
      </w:r>
      <w:r>
        <w:t xml:space="preserve">Habermas,</w:t>
      </w:r>
      <w:r>
        <w:t xml:space="preserve"> </w:t>
      </w:r>
      <w:r>
        <w:rPr>
          <w:iCs/>
          <w:i/>
        </w:rPr>
        <w:t xml:space="preserve">Also a History of Philosophy</w:t>
      </w:r>
      <w:r>
        <w:t xml:space="preserve">, vol. 1:</w:t>
      </w:r>
      <w:r>
        <w:t xml:space="preserve"> </w:t>
      </w:r>
      <w:r>
        <w:rPr>
          <w:iCs/>
          <w:i/>
        </w:rPr>
        <w:t xml:space="preserve">The Project of a Genealogy of Postmetaphysical Thinking</w:t>
      </w:r>
      <w:r>
        <w:t xml:space="preserve">, trans. Ciaran Cronin (Cambridge: Polity, 2023), 36 (=</w:t>
      </w:r>
      <w:r>
        <w:t xml:space="preserve"> </w:t>
      </w:r>
      <w:r>
        <w:rPr>
          <w:iCs/>
          <w:i/>
        </w:rPr>
        <w:t xml:space="preserve">Auch eine Geschichte der Philosophie</w:t>
      </w:r>
      <w:r>
        <w:t xml:space="preserve">, Bd. I, 69, the German being quoted in n. 134); all three limbs stand in one paragraph and are reported in paraphrase but for the clause displayed. The objection is Habermas’s own, entered against his own programme.</w:t>
      </w:r>
    </w:p>
  </w:footnote>
  <w:footnote w:id="82">
    <w:p>
      <w:pPr>
        <w:pStyle w:val="FootnoteText"/>
      </w:pPr>
      <w:r>
        <w:rPr>
          <w:rStyle w:val="FootnoteReference"/>
        </w:rPr>
        <w:footnoteRef/>
      </w:r>
      <w:r>
        <w:t xml:space="preserve"> </w:t>
      </w:r>
      <w:r>
        <w:t xml:space="preserve">The charge from presence descends from the critique of the self-transparency of the sign, and Derrida’s form of it is engaged at §2.3. The genealogical charge is Foucault’s, in the analyses of disciplinary subject-formation (</w:t>
      </w:r>
      <w:r>
        <w:rPr>
          <w:iCs/>
          <w:i/>
        </w:rPr>
        <w:t xml:space="preserve">Surveiller et punir</w:t>
      </w:r>
      <w:r>
        <w:t xml:space="preserve">, 1975) and of the bio-political administration of populations (</w:t>
      </w:r>
      <w:r>
        <w:rPr>
          <w:iCs/>
          <w:i/>
        </w:rPr>
        <w:t xml:space="preserve">La volonté de savoir</w:t>
      </w:r>
      <w:r>
        <w:t xml:space="preserve">, 1976). No single proponent of the evidential form is answered, since the reply meets the form and not an author.</w:t>
      </w:r>
    </w:p>
  </w:footnote>
  <w:footnote w:id="83">
    <w:p>
      <w:pPr>
        <w:pStyle w:val="FootnoteText"/>
      </w:pPr>
      <w:r>
        <w:rPr>
          <w:rStyle w:val="FootnoteReference"/>
        </w:rPr>
        <w:footnoteRef/>
      </w:r>
      <w:r>
        <w:t xml:space="preserve"> </w:t>
      </w:r>
      <w:r>
        <w:t xml:space="preserve">MCCA 32, in the enumeration quoted in n. 48, where the third failure-mode is marked</w:t>
      </w:r>
      <w:r>
        <w:t xml:space="preserve"> </w:t>
      </w:r>
      <w:r>
        <w:t xml:space="preserve">‘</w:t>
      </w:r>
      <w:r>
        <w:t xml:space="preserve">even more frequently</w:t>
      </w:r>
      <w:r>
        <w:t xml:space="preserve">’</w:t>
      </w:r>
      <w:r>
        <w:t xml:space="preserve">. The ranking is Habermas’s; its exploitation, that the commonest failure is of scope and not of content, is drawn here.</w:t>
      </w:r>
    </w:p>
  </w:footnote>
  <w:footnote w:id="84">
    <w:p>
      <w:pPr>
        <w:pStyle w:val="FootnoteText"/>
      </w:pPr>
      <w:r>
        <w:rPr>
          <w:rStyle w:val="FootnoteReference"/>
        </w:rPr>
        <w:footnoteRef/>
      </w:r>
      <w:r>
        <w:t xml:space="preserve"> </w:t>
      </w:r>
      <w:r>
        <w:t xml:space="preserve">BFN 129, the clause on transcendental purity quoted and the remainder reported in indirect discourse. The singular definite article is Habermas’s, and the models named are two hundred years of European constitutional law. The two readings drawn from the passage in the body are proposed readings.</w:t>
      </w:r>
    </w:p>
  </w:footnote>
  <w:footnote w:id="85">
    <w:p>
      <w:pPr>
        <w:pStyle w:val="FootnoteText"/>
      </w:pPr>
      <w:r>
        <w:rPr>
          <w:rStyle w:val="FootnoteReference"/>
        </w:rPr>
        <w:footnoteRef/>
      </w:r>
      <w:r>
        <w:t xml:space="preserve"> </w:t>
      </w:r>
      <w:r>
        <w:t xml:space="preserve">Hans Albert,</w:t>
      </w:r>
      <w:r>
        <w:t xml:space="preserve"> </w:t>
      </w:r>
      <w:r>
        <w:rPr>
          <w:iCs/>
          <w:i/>
        </w:rPr>
        <w:t xml:space="preserve">Traktat über kritische Vernunft</w:t>
      </w:r>
      <w:r>
        <w:t xml:space="preserve">, 5th edn (Tübingen: J. C. B. Mohr [Paul Siebeck], 1991; first published 1968), ch. 1, for the global fallibilism of critical rationalism. The position is characterised in the form the dispute has settled into and no wording of his is relied upon.</w:t>
      </w:r>
    </w:p>
  </w:footnote>
  <w:footnote w:id="86">
    <w:p>
      <w:pPr>
        <w:pStyle w:val="FootnoteText"/>
      </w:pPr>
      <w:r>
        <w:rPr>
          <w:rStyle w:val="FootnoteReference"/>
        </w:rPr>
        <w:footnoteRef/>
      </w:r>
      <w:r>
        <w:t xml:space="preserve"> </w:t>
      </w:r>
      <w:r>
        <w:t xml:space="preserve">JA 51; the inner quotation marks around the first phrase quoted in the body are the source’s own, and the custodian who arrogates the examination of norms on behalf of all others is quoted from the same discussion. Habermas’s own remedy is reported in paraphrase, as is his distinction between advocatory or</w:t>
      </w:r>
      <w:r>
        <w:t xml:space="preserve"> </w:t>
      </w:r>
      <w:r>
        <w:rPr>
          <w:iCs/>
          <w:i/>
        </w:rPr>
        <w:t xml:space="preserve">in mente</w:t>
      </w:r>
      <w:r>
        <w:t xml:space="preserve"> </w:t>
      </w:r>
      <w:r>
        <w:t xml:space="preserve">discourse and the monological examination of maxims.</w:t>
      </w:r>
    </w:p>
  </w:footnote>
  <w:footnote w:id="88">
    <w:p>
      <w:pPr>
        <w:pStyle w:val="FootnoteText"/>
      </w:pPr>
      <w:r>
        <w:rPr>
          <w:rStyle w:val="FootnoteReference"/>
        </w:rPr>
        <w:footnoteRef/>
      </w:r>
      <w:r>
        <w:t xml:space="preserve"> </w:t>
      </w:r>
      <w:r>
        <w:t xml:space="preserve">MCCA 32 for the weak transcendental argument cited here and for the first limb of the indexing argument conducted at §2.1.4. The triad is a compression of the detranscendentalisation programme; the page carries the weak transcendental argument and not the triad.</w:t>
      </w:r>
    </w:p>
  </w:footnote>
  <w:footnote w:id="89">
    <w:p>
      <w:pPr>
        <w:pStyle w:val="FootnoteText"/>
      </w:pPr>
      <w:r>
        <w:rPr>
          <w:rStyle w:val="FootnoteReference"/>
        </w:rPr>
        <w:footnoteRef/>
      </w:r>
      <w:r>
        <w:t xml:space="preserve"> </w:t>
      </w:r>
      <w:r>
        <w:t xml:space="preserve">TTP 32 for the impossibility of a private language and for the rule-following formulation. Apel,</w:t>
      </w:r>
      <w:r>
        <w:t xml:space="preserve"> </w:t>
      </w:r>
      <w:r>
        <w:rPr>
          <w:iCs/>
          <w:i/>
        </w:rPr>
        <w:t xml:space="preserve">Analytic Philosophy of Language and the Geisteswissenschaften</w:t>
      </w:r>
      <w:r>
        <w:t xml:space="preserve"> </w:t>
      </w:r>
      <w:r>
        <w:t xml:space="preserve">(1967), 43, where the argument is taken over through Winch, and 45 n. 84, where Apel says in his own voice that Wittgenstein showed the impossibility of a private language. Habermas’s own statement of the Wittgensteinian point, made in the chapter on Mead at TCA II 22, accords the two competences equal constitutive weight and a common logical genesis, the two being</w:t>
      </w:r>
      <w:r>
        <w:t xml:space="preserve"> </w:t>
      </w:r>
      <w:r>
        <w:t xml:space="preserve">‘</w:t>
      </w:r>
      <w:r>
        <w:t xml:space="preserve">equally constitutive for rule-consciousness</w:t>
      </w:r>
      <w:r>
        <w:t xml:space="preserve">’</w:t>
      </w:r>
      <w:r>
        <w:t xml:space="preserve"> </w:t>
      </w:r>
      <w:r>
        <w:t xml:space="preserve">and</w:t>
      </w:r>
      <w:r>
        <w:t xml:space="preserve"> </w:t>
      </w:r>
      <w:r>
        <w:t xml:space="preserve">‘</w:t>
      </w:r>
      <w:r>
        <w:t xml:space="preserve">equiprimordial in regard to logical genesis</w:t>
      </w:r>
      <w:r>
        <w:t xml:space="preserve">’</w:t>
      </w:r>
      <w:r>
        <w:t xml:space="preserve">; the second competence is the second person’s, which is the point the next paragraph argues.</w:t>
      </w:r>
    </w:p>
  </w:footnote>
  <w:footnote w:id="90">
    <w:p>
      <w:pPr>
        <w:pStyle w:val="FootnoteText"/>
      </w:pPr>
      <w:r>
        <w:rPr>
          <w:rStyle w:val="FootnoteReference"/>
        </w:rPr>
        <w:footnoteRef/>
      </w:r>
      <w:r>
        <w:t xml:space="preserve"> </w:t>
      </w:r>
      <w:r>
        <w:t xml:space="preserve">TTP 33 for the displacement of methodological solipsism by participation in a language game and for the self-understanding passage; TTP 44–45, in the notes to ch. 1, for the dating</w:t>
      </w:r>
      <w:r>
        <w:t xml:space="preserve"> </w:t>
      </w:r>
      <w:r>
        <w:t xml:space="preserve">‘</w:t>
      </w:r>
      <w:r>
        <w:t xml:space="preserve">from Descartes</w:t>
      </w:r>
      <w:r>
        <w:t xml:space="preserve">’</w:t>
      </w:r>
      <w:r>
        <w:t xml:space="preserve"> </w:t>
      </w:r>
      <w:r>
        <w:rPr>
          <w:iCs/>
          <w:i/>
        </w:rPr>
        <w:t xml:space="preserve">Meditationes</w:t>
      </w:r>
      <w:r>
        <w:t xml:space="preserve"> </w:t>
      </w:r>
      <w:r>
        <w:t xml:space="preserve">to Husserl’s</w:t>
      </w:r>
      <w:r>
        <w:t xml:space="preserve"> </w:t>
      </w:r>
      <w:r>
        <w:rPr>
          <w:iCs/>
          <w:i/>
        </w:rPr>
        <w:t xml:space="preserve">Cartesian Meditations</w:t>
      </w:r>
      <w:r>
        <w:t xml:space="preserve">’; the 1967 monograph, 47, brackets Wittgenstein and Heidegger as both rejecting methodical solipsism,</w:t>
      </w:r>
      <w:r>
        <w:t xml:space="preserve"> </w:t>
      </w:r>
      <w:r>
        <w:t xml:space="preserve">‘</w:t>
      </w:r>
      <w:r>
        <w:t xml:space="preserve">the last consequence of Cartesian subject-object metaphysics</w:t>
      </w:r>
      <w:r>
        <w:t xml:space="preserve">’</w:t>
      </w:r>
      <w:r>
        <w:t xml:space="preserve">. Apel,</w:t>
      </w:r>
      <w:r>
        <w:t xml:space="preserve"> </w:t>
      </w:r>
      <w:r>
        <w:t xml:space="preserve">‘</w:t>
      </w:r>
      <w:r>
        <w:t xml:space="preserve">C. S. Peirce and the Post-Tarskian Problem of an Adequate Explication of the Meaning of Truth, Part I</w:t>
      </w:r>
      <w:r>
        <w:t xml:space="preserve">’</w:t>
      </w:r>
      <w:r>
        <w:t xml:space="preserve">,</w:t>
      </w:r>
      <w:r>
        <w:t xml:space="preserve"> </w:t>
      </w:r>
      <w:r>
        <w:rPr>
          <w:iCs/>
          <w:i/>
        </w:rPr>
        <w:t xml:space="preserve">The Monist</w:t>
      </w:r>
      <w:r>
        <w:t xml:space="preserve"> </w:t>
      </w:r>
      <w:r>
        <w:t xml:space="preserve">63/3 (1980), 386–407, at 394, carries the same dating independently. The inference that the dating locates the doctrine’s home in the phenomenological tradition rather than in the analytic one is the chapter’s.</w:t>
      </w:r>
    </w:p>
  </w:footnote>
  <w:footnote w:id="91">
    <w:p>
      <w:pPr>
        <w:pStyle w:val="FootnoteText"/>
      </w:pPr>
      <w:r>
        <w:rPr>
          <w:rStyle w:val="FootnoteReference"/>
        </w:rPr>
        <w:footnoteRef/>
      </w:r>
      <w:r>
        <w:t xml:space="preserve"> </w:t>
      </w:r>
      <w:r>
        <w:t xml:space="preserve">The three questions are not drawn from either author.</w:t>
      </w:r>
    </w:p>
  </w:footnote>
  <w:footnote w:id="92">
    <w:p>
      <w:pPr>
        <w:pStyle w:val="FootnoteText"/>
      </w:pPr>
      <w:r>
        <w:rPr>
          <w:rStyle w:val="FootnoteReference"/>
        </w:rPr>
        <w:footnoteRef/>
      </w:r>
      <w:r>
        <w:t xml:space="preserve"> </w:t>
      </w:r>
      <w:r>
        <w:t xml:space="preserve">TCA I 106–07 for the argument that the interpreter cannot separate questions of meaning from questions of validity; TCA I 114 for</w:t>
      </w:r>
      <w:r>
        <w:t xml:space="preserve"> </w:t>
      </w:r>
      <w:r>
        <w:t xml:space="preserve">‘</w:t>
      </w:r>
      <w:r>
        <w:t xml:space="preserve">the virtual participation of the interpreter</w:t>
      </w:r>
      <w:r>
        <w:t xml:space="preserve">’</w:t>
      </w:r>
      <w:r>
        <w:t xml:space="preserve">; TCA I 120–21 for the consequence quoted in the body. Reported in indirect discourse apart from the clause quoted.</w:t>
      </w:r>
    </w:p>
  </w:footnote>
  <w:footnote w:id="93">
    <w:p>
      <w:pPr>
        <w:pStyle w:val="FootnoteText"/>
      </w:pPr>
      <w:r>
        <w:rPr>
          <w:rStyle w:val="FootnoteReference"/>
        </w:rPr>
        <w:footnoteRef/>
      </w:r>
      <w:r>
        <w:t xml:space="preserve"> </w:t>
      </w:r>
      <w:r>
        <w:t xml:space="preserve">Apel,</w:t>
      </w:r>
      <w:r>
        <w:t xml:space="preserve"> </w:t>
      </w:r>
      <w:r>
        <w:t xml:space="preserve">‘</w:t>
      </w:r>
      <w:r>
        <w:t xml:space="preserve">The Hermeneutic Dimension of Social Science and its Normative Foundation</w:t>
      </w:r>
      <w:r>
        <w:t xml:space="preserve">’</w:t>
      </w:r>
      <w:r>
        <w:t xml:space="preserve">,</w:t>
      </w:r>
      <w:r>
        <w:t xml:space="preserve"> </w:t>
      </w:r>
      <w:r>
        <w:rPr>
          <w:iCs/>
          <w:i/>
        </w:rPr>
        <w:t xml:space="preserve">Man and World</w:t>
      </w:r>
      <w:r>
        <w:t xml:space="preserve"> </w:t>
      </w:r>
      <w:r>
        <w:t xml:space="preserve">25 (1992), 247–70, at 260, for the third person as a partial and not a complete objectivisation and as a possible co-subject who may join the community of discourse; 256 for the refusal of radical interpretation on the Quinean and Davidsonian model. Both paraphrased.</w:t>
      </w:r>
    </w:p>
  </w:footnote>
  <w:footnote w:id="94">
    <w:p>
      <w:pPr>
        <w:pStyle w:val="FootnoteText"/>
      </w:pPr>
      <w:r>
        <w:rPr>
          <w:rStyle w:val="FootnoteReference"/>
        </w:rPr>
        <w:footnoteRef/>
      </w:r>
      <w:r>
        <w:t xml:space="preserve"> </w:t>
      </w:r>
      <w:r>
        <w:t xml:space="preserve">OPC 240, the two sentences quoted, in their printed order. The reading of the verb of relocation, and of the tension so relocated, is a proposal of the body.</w:t>
      </w:r>
    </w:p>
  </w:footnote>
  <w:footnote w:id="95">
    <w:p>
      <w:pPr>
        <w:pStyle w:val="FootnoteText"/>
      </w:pPr>
      <w:r>
        <w:rPr>
          <w:rStyle w:val="FootnoteReference"/>
        </w:rPr>
        <w:footnoteRef/>
      </w:r>
      <w:r>
        <w:t xml:space="preserve"> </w:t>
      </w:r>
      <w:r>
        <w:t xml:space="preserve">Barry Stroud,</w:t>
      </w:r>
      <w:r>
        <w:t xml:space="preserve"> </w:t>
      </w:r>
      <w:r>
        <w:t xml:space="preserve">‘</w:t>
      </w:r>
      <w:r>
        <w:t xml:space="preserve">Transcendental Arguments</w:t>
      </w:r>
      <w:r>
        <w:t xml:space="preserve">’</w:t>
      </w:r>
      <w:r>
        <w:t xml:space="preserve">,</w:t>
      </w:r>
      <w:r>
        <w:t xml:space="preserve"> </w:t>
      </w:r>
      <w:r>
        <w:rPr>
          <w:iCs/>
          <w:i/>
        </w:rPr>
        <w:t xml:space="preserve">Journal of Philosophy</w:t>
      </w:r>
      <w:r>
        <w:t xml:space="preserve"> </w:t>
      </w:r>
      <w:r>
        <w:t xml:space="preserve">65/9 (1968), 241–56, for the dilemma and for the objection; no wording of his is relied upon. Habermas’s own relation to the objection is concession rather than confinement, the weak transcendental argument being what remains once the point is granted; the confinement executed in the body is a construction upon that concession. The modest/ambitious idiom is not Stroud’s but the subsequent literature’s, from Charles Taylor,</w:t>
      </w:r>
      <w:r>
        <w:t xml:space="preserve"> </w:t>
      </w:r>
      <w:r>
        <w:t xml:space="preserve">‘</w:t>
      </w:r>
      <w:r>
        <w:t xml:space="preserve">The Validity of Transcendental Arguments</w:t>
      </w:r>
      <w:r>
        <w:t xml:space="preserve">’</w:t>
      </w:r>
      <w:r>
        <w:t xml:space="preserve">,</w:t>
      </w:r>
      <w:r>
        <w:t xml:space="preserve"> </w:t>
      </w:r>
      <w:r>
        <w:rPr>
          <w:iCs/>
          <w:i/>
        </w:rPr>
        <w:t xml:space="preserve">Proceedings of the Aristotelian Society</w:t>
      </w:r>
      <w:r>
        <w:t xml:space="preserve"> </w:t>
      </w:r>
      <w:r>
        <w:t xml:space="preserve">79 (1979), 151–66.</w:t>
      </w:r>
    </w:p>
  </w:footnote>
  <w:footnote w:id="96">
    <w:p>
      <w:pPr>
        <w:pStyle w:val="FootnoteText"/>
      </w:pPr>
      <w:r>
        <w:rPr>
          <w:rStyle w:val="FootnoteReference"/>
        </w:rPr>
        <w:footnoteRef/>
      </w:r>
      <w:r>
        <w:t xml:space="preserve"> </w:t>
      </w:r>
      <w:r>
        <w:t xml:space="preserve">Robert Stern’s dilemma for retorsive arguments, among whose exemplars Apel and Kuhlmann stand, is entered at Chapter Three §3.3.2 with the concession of its second horn:</w:t>
      </w:r>
      <w:r>
        <w:t xml:space="preserve"> </w:t>
      </w:r>
      <w:r>
        <w:t xml:space="preserve">‘</w:t>
      </w:r>
      <w:r>
        <w:t xml:space="preserve">Silencing the Sceptic? The Prospects for Transcendental Arguments in Practical Philosophy</w:t>
      </w:r>
      <w:r>
        <w:t xml:space="preserve">’</w:t>
      </w:r>
      <w:r>
        <w:t xml:space="preserve">, in Jens Peter Brune, Robert Stern and Micha H. Werner (eds),</w:t>
      </w:r>
      <w:r>
        <w:t xml:space="preserve"> </w:t>
      </w:r>
      <w:r>
        <w:rPr>
          <w:iCs/>
          <w:i/>
        </w:rPr>
        <w:t xml:space="preserve">Transcendental Arguments in Moral Theory</w:t>
      </w:r>
      <w:r>
        <w:t xml:space="preserve"> </w:t>
      </w:r>
      <w:r>
        <w:t xml:space="preserve">(Berlin: De Gruyter, 2017), 9–23, at 17.</w:t>
      </w:r>
    </w:p>
  </w:footnote>
  <w:footnote w:id="97">
    <w:p>
      <w:pPr>
        <w:pStyle w:val="FootnoteText"/>
      </w:pPr>
      <w:r>
        <w:rPr>
          <w:rStyle w:val="FootnoteReference"/>
        </w:rPr>
        <w:footnoteRef/>
      </w:r>
      <w:r>
        <w:t xml:space="preserve"> </w:t>
      </w:r>
      <w:r>
        <w:t xml:space="preserve">FTSPV 175 for the naming of the principle —</w:t>
      </w:r>
      <w:r>
        <w:t xml:space="preserve"> </w:t>
      </w:r>
      <w:r>
        <w:t xml:space="preserve">‘</w:t>
      </w:r>
      <w:r>
        <w:t xml:space="preserve">This I have called the self-recuperative principle (Selbsteinholungsprinzip)</w:t>
      </w:r>
      <w:r>
        <w:t xml:space="preserve">’</w:t>
      </w:r>
      <w:r>
        <w:t xml:space="preserve"> </w:t>
      </w:r>
      <w:r>
        <w:t xml:space="preserve">— and FTSPV 240–41 for its derivation from performative self-contradiction. The definition of performative self-contradiction given at §2.1.1 is common to both programmes; its use there in the behaviour of denial is not drawn from either programme.</w:t>
      </w:r>
    </w:p>
  </w:footnote>
  <w:footnote w:id="98">
    <w:p>
      <w:pPr>
        <w:pStyle w:val="FootnoteText"/>
      </w:pPr>
      <w:r>
        <w:rPr>
          <w:rStyle w:val="FootnoteReference"/>
        </w:rPr>
        <w:footnoteRef/>
      </w:r>
      <w:r>
        <w:t xml:space="preserve"> </w:t>
      </w:r>
      <w:r>
        <w:t xml:space="preserve">Apel’s own statement of the</w:t>
      </w:r>
      <w:r>
        <w:t xml:space="preserve"> </w:t>
      </w:r>
      <w:r>
        <w:rPr>
          <w:iCs/>
          <w:i/>
        </w:rPr>
        <w:t xml:space="preserve">Selbsteinholungsprinzip</w:t>
      </w:r>
      <w:r>
        <w:t xml:space="preserve"> </w:t>
      </w:r>
      <w:r>
        <w:t xml:space="preserve">stands at SE2 311–12, within</w:t>
      </w:r>
      <w:r>
        <w:t xml:space="preserve"> </w:t>
      </w:r>
      <w:r>
        <w:t xml:space="preserve">‘</w:t>
      </w:r>
      <w:r>
        <w:t xml:space="preserve">The Hermeneutic Dimension of Social Science</w:t>
      </w:r>
      <w:r>
        <w:t xml:space="preserve">’</w:t>
      </w:r>
      <w:r>
        <w:t xml:space="preserve"> </w:t>
      </w:r>
      <w:r>
        <w:t xml:space="preserve">(SE2 293–315), in the journal printing cited in n. 71, where the term stands at 266 as</w:t>
      </w:r>
      <w:r>
        <w:t xml:space="preserve"> </w:t>
      </w:r>
      <w:r>
        <w:t xml:space="preserve">‘</w:t>
      </w:r>
      <w:r>
        <w:t xml:space="preserve">self-matching-principle</w:t>
      </w:r>
      <w:r>
        <w:t xml:space="preserve">’</w:t>
      </w:r>
      <w:r>
        <w:t xml:space="preserve"> </w:t>
      </w:r>
      <w:r>
        <w:t xml:space="preserve">with the German supplied parenthetically by Apel himself. The principle is stated of the reconstructive social sciences, which</w:t>
      </w:r>
      <w:r>
        <w:t xml:space="preserve"> </w:t>
      </w:r>
      <w:r>
        <w:t xml:space="preserve">‘</w:t>
      </w:r>
      <w:r>
        <w:t xml:space="preserve">have got to reconstruct, i.e., to hermeneutically understand and to valuate, progress and regress in human history</w:t>
      </w:r>
      <w:r>
        <w:t xml:space="preserve">’</w:t>
      </w:r>
      <w:r>
        <w:t xml:space="preserve"> </w:t>
      </w:r>
      <w:r>
        <w:t xml:space="preserve">in the manner the body quotes (SE2 311).</w:t>
      </w:r>
    </w:p>
  </w:footnote>
  <w:footnote w:id="100">
    <w:p>
      <w:pPr>
        <w:pStyle w:val="FootnoteText"/>
      </w:pPr>
      <w:r>
        <w:rPr>
          <w:rStyle w:val="FootnoteReference"/>
        </w:rPr>
        <w:footnoteRef/>
      </w:r>
      <w:r>
        <w:t xml:space="preserve"> </w:t>
      </w:r>
      <w:r>
        <w:t xml:space="preserve">JA 83 (1991) and PSC 646 (2020) for the first two governings, both quoted below; the third, the epistemic standing of the theorist’s specification, is drawn from MCCA 32 and MCCA 97. The restrictions are Habermas’s; their division into three is not. The dated series observes one discipline throughout: a theorist who states his modal commitments in prose has left his texts as the evidence of them, so that the objection which tells against a reading is a different reading of the same words, with an account of why it is the better one, and not the complaint that the reading places more weight upon a word than its author is likely to have intended.</w:t>
      </w:r>
    </w:p>
  </w:footnote>
  <w:footnote w:id="101">
    <w:p>
      <w:pPr>
        <w:pStyle w:val="FootnoteText"/>
      </w:pPr>
      <w:r>
        <w:rPr>
          <w:rStyle w:val="FootnoteReference"/>
        </w:rPr>
        <w:footnoteRef/>
      </w:r>
      <w:r>
        <w:t xml:space="preserve"> </w:t>
      </w:r>
      <w:r>
        <w:t xml:space="preserve">In date order, the occurrences not displayed in the body. 1976: CES 21–22, where the weakened conception is stated as the analytic reception of Kant, Strawson’s work the example, makes it available,</w:t>
      </w:r>
      <w:r>
        <w:t xml:space="preserve"> </w:t>
      </w:r>
      <w:r>
        <w:t xml:space="preserve">‘</w:t>
      </w:r>
      <w:r>
        <w:t xml:space="preserve">as long as the assertion of its necessity and universality has not been refuted, we term transcendental the conceptual structure recurring in all coherent experiences</w:t>
      </w:r>
      <w:r>
        <w:t xml:space="preserve">’</w:t>
      </w:r>
      <w:r>
        <w:t xml:space="preserve">, the sentence straddling the page break; CES 23 for the</w:t>
      </w:r>
      <w:r>
        <w:t xml:space="preserve"> </w:t>
      </w:r>
      <w:r>
        <w:t xml:space="preserve">‘</w:t>
      </w:r>
      <w:r>
        <w:t xml:space="preserve">two reasons for hesitating</w:t>
      </w:r>
      <w:r>
        <w:t xml:space="preserve">’</w:t>
      </w:r>
      <w:r>
        <w:t xml:space="preserve"> </w:t>
      </w:r>
      <w:r>
        <w:t xml:space="preserve">to adopt the usage, and CES 25 for the conclusion that the expression is</w:t>
      </w:r>
      <w:r>
        <w:t xml:space="preserve"> </w:t>
      </w:r>
      <w:r>
        <w:t xml:space="preserve">‘</w:t>
      </w:r>
      <w:r>
        <w:t xml:space="preserve">unsuited to characterizing, without misunderstanding, a line of research such as universal pragmatics</w:t>
      </w:r>
      <w:r>
        <w:t xml:space="preserve">’</w:t>
      </w:r>
      <w:r>
        <w:t xml:space="preserve">, so that what is stated is the predicate and what is declined is the word. 1981: TCA I 310, the concession about wording,</w:t>
      </w:r>
      <w:r>
        <w:t xml:space="preserve"> </w:t>
      </w:r>
      <w:r>
        <w:t xml:space="preserve">‘</w:t>
      </w:r>
      <w:r>
        <w:t xml:space="preserve">make allowance for weak transcendental connotations</w:t>
      </w:r>
      <w:r>
        <w:t xml:space="preserve">’</w:t>
      </w:r>
      <w:r>
        <w:t xml:space="preserve">, with OPC 145 for Cooke’s rendering,</w:t>
      </w:r>
      <w:r>
        <w:t xml:space="preserve"> </w:t>
      </w:r>
      <w:r>
        <w:t xml:space="preserve">‘</w:t>
      </w:r>
      <w:r>
        <w:t xml:space="preserve">despite the weak transcendental connotations</w:t>
      </w:r>
      <w:r>
        <w:t xml:space="preserve">’</w:t>
      </w:r>
      <w:r>
        <w:t xml:space="preserve">, so that the concessive force is not stable across the translations; TCA I 137–38 for the confidence surrendered that a rigorous transcendental-pragmatic programme claiming ultimate grounds can be carried out, a check of the reconstructions against speakers’ intuitions across the broadest sociocultural spectrum being offered in place of a transcendental deduction. 1988: OPC 233, the structural constraints of a shared language impelling actors</w:t>
      </w:r>
      <w:r>
        <w:t xml:space="preserve"> </w:t>
      </w:r>
      <w:r>
        <w:t xml:space="preserve">‘</w:t>
      </w:r>
      <w:r>
        <w:t xml:space="preserve">in the sense of a weak transcendental necessity</w:t>
      </w:r>
      <w:r>
        <w:t xml:space="preserve">’</w:t>
      </w:r>
      <w:r>
        <w:t xml:space="preserve">. 1992: BFN 4, where Rehg renders</w:t>
      </w:r>
      <w:r>
        <w:t xml:space="preserve"> </w:t>
      </w:r>
      <w:r>
        <w:rPr>
          <w:iCs/>
          <w:i/>
        </w:rPr>
        <w:t xml:space="preserve">Nötigung</w:t>
      </w:r>
      <w:r>
        <w:t xml:space="preserve"> </w:t>
      </w:r>
      <w:r>
        <w:t xml:space="preserve">‘</w:t>
      </w:r>
      <w:r>
        <w:t xml:space="preserve">necessity</w:t>
      </w:r>
      <w:r>
        <w:t xml:space="preserve">’</w:t>
      </w:r>
      <w:r>
        <w:t xml:space="preserve">, in the phrases Chapter Four §4.2.3 displays.</w:t>
      </w:r>
    </w:p>
  </w:footnote>
  <w:footnote w:id="102">
    <w:p>
      <w:pPr>
        <w:pStyle w:val="FootnoteText"/>
      </w:pPr>
      <w:r>
        <w:rPr>
          <w:rStyle w:val="FootnoteReference"/>
        </w:rPr>
        <w:footnoteRef/>
      </w:r>
      <w:r>
        <w:t xml:space="preserve"> </w:t>
      </w:r>
      <w:r>
        <w:t xml:space="preserve">MCCA 96 for the characterisation quoted in the body, in the sentence reporting Schönrich’s warning. JA 81 (= EzD 191,</w:t>
      </w:r>
      <w:r>
        <w:t xml:space="preserve"> </w:t>
      </w:r>
      <w:r>
        <w:t xml:space="preserve">‘</w:t>
      </w:r>
      <w:r>
        <w:t xml:space="preserve">einer schwachen transzendentalen Nötigung</w:t>
      </w:r>
      <w:r>
        <w:t xml:space="preserve">’</w:t>
      </w:r>
      <w:r>
        <w:t xml:space="preserve">) for the</w:t>
      </w:r>
      <w:r>
        <w:t xml:space="preserve"> </w:t>
      </w:r>
      <w:r>
        <w:t xml:space="preserve">‘</w:t>
      </w:r>
      <w:r>
        <w:t xml:space="preserve">must</w:t>
      </w:r>
      <w:r>
        <w:t xml:space="preserve">’</w:t>
      </w:r>
      <w:r>
        <w:t xml:space="preserve"> </w:t>
      </w:r>
      <w:r>
        <w:t xml:space="preserve">that is not the prescriptive</w:t>
      </w:r>
      <w:r>
        <w:t xml:space="preserve"> </w:t>
      </w:r>
      <w:r>
        <w:t xml:space="preserve">‘</w:t>
      </w:r>
      <w:r>
        <w:t xml:space="preserve">must</w:t>
      </w:r>
      <w:r>
        <w:t xml:space="preserve">’</w:t>
      </w:r>
      <w:r>
        <w:t xml:space="preserve"> </w:t>
      </w:r>
      <w:r>
        <w:t xml:space="preserve">of a rule of action; the German has</w:t>
      </w:r>
      <w:r>
        <w:t xml:space="preserve"> </w:t>
      </w:r>
      <w:r>
        <w:rPr>
          <w:iCs/>
          <w:i/>
        </w:rPr>
        <w:t xml:space="preserve">Nötigung</w:t>
      </w:r>
      <w:r>
        <w:t xml:space="preserve">, necessitation, and not</w:t>
      </w:r>
      <w:r>
        <w:t xml:space="preserve"> </w:t>
      </w:r>
      <w:r>
        <w:rPr>
          <w:iCs/>
          <w:i/>
        </w:rPr>
        <w:t xml:space="preserve">Notwendigkeit</w:t>
      </w:r>
      <w:r>
        <w:t xml:space="preserve">. The restatement of 1992 is that of BFN 4 (n. 78).</w:t>
      </w:r>
    </w:p>
  </w:footnote>
  <w:footnote w:id="103">
    <w:p>
      <w:pPr>
        <w:pStyle w:val="FootnoteText"/>
      </w:pPr>
      <w:r>
        <w:rPr>
          <w:rStyle w:val="FootnoteReference"/>
        </w:rPr>
        <w:footnoteRef/>
      </w:r>
      <w:r>
        <w:t xml:space="preserve"> </w:t>
      </w:r>
      <w:r>
        <w:t xml:space="preserve">JA 83 for the absent equivalent to Kant’s transcendental deduction, for the weak transcendental arguments in Strawson’s sense and what they can establish only, in the words the body quotes, and for the functional-equivalent sentence (EzD 194). Cronin’s</w:t>
      </w:r>
      <w:r>
        <w:t xml:space="preserve"> </w:t>
      </w:r>
      <w:r>
        <w:t xml:space="preserve">‘</w:t>
      </w:r>
      <w:r>
        <w:t xml:space="preserve">factual inescapability</w:t>
      </w:r>
      <w:r>
        <w:t xml:space="preserve">’</w:t>
      </w:r>
      <w:r>
        <w:t xml:space="preserve"> </w:t>
      </w:r>
      <w:r>
        <w:t xml:space="preserve">renders</w:t>
      </w:r>
      <w:r>
        <w:t xml:space="preserve"> </w:t>
      </w:r>
      <w:r>
        <w:rPr>
          <w:iCs/>
          <w:i/>
        </w:rPr>
        <w:t xml:space="preserve">faktische Nichtverwerfbarkeit</w:t>
      </w:r>
      <w:r>
        <w:t xml:space="preserve"> </w:t>
      </w:r>
      <w:r>
        <w:t xml:space="preserve">at EzD 194. Habermas’s note at that point, JA 182 n. 73, is to Marcel Niquet,</w:t>
      </w:r>
      <w:r>
        <w:t xml:space="preserve"> </w:t>
      </w:r>
      <w:r>
        <w:rPr>
          <w:iCs/>
          <w:i/>
        </w:rPr>
        <w:t xml:space="preserve">Transzendentale Argumente</w:t>
      </w:r>
      <w:r>
        <w:t xml:space="preserve"> </w:t>
      </w:r>
      <w:r>
        <w:t xml:space="preserve">(Frankfurt, 1991), and not to Strawson. JA 84 carries the counter-instance quoted below.</w:t>
      </w:r>
    </w:p>
  </w:footnote>
  <w:footnote w:id="104">
    <w:p>
      <w:pPr>
        <w:pStyle w:val="FootnoteText"/>
      </w:pPr>
      <w:r>
        <w:rPr>
          <w:rStyle w:val="FootnoteReference"/>
        </w:rPr>
        <w:footnoteRef/>
      </w:r>
      <w:r>
        <w:t xml:space="preserve"> </w:t>
      </w:r>
      <w:r>
        <w:t xml:space="preserve">WuR 26 for the sentence on the change in the concept of the transcendental,</w:t>
      </w:r>
      <w:r>
        <w:t xml:space="preserve"> </w:t>
      </w:r>
      <w:r>
        <w:t xml:space="preserve">‘</w:t>
      </w:r>
      <w:r>
        <w:t xml:space="preserve">verändert sich der Begriff des Transzendentalen selber</w:t>
      </w:r>
      <w:r>
        <w:t xml:space="preserve">’</w:t>
      </w:r>
      <w:r>
        <w:t xml:space="preserve">, the profane lifeworld having taken the transmundane place of the noumenal, the renderings given here. WuR 52 for the bar upon the inference:</w:t>
      </w:r>
      <w:r>
        <w:t xml:space="preserve"> </w:t>
      </w:r>
      <w:r>
        <w:t xml:space="preserve">‘</w:t>
      </w:r>
      <w:r>
        <w:t xml:space="preserve">darf freilich dieser epistemisch unhintergehbare Zusammenhang nicht — im Sinne eines epistemischen Wahrheitsbegriffs — zu einem konzeptuell unauflöslichen Zusammenhang stilisiert werden</w:t>
      </w:r>
      <w:r>
        <w:t xml:space="preserve">’</w:t>
      </w:r>
      <w:r>
        <w:t xml:space="preserve">.</w:t>
      </w:r>
      <w:r>
        <w:t xml:space="preserve"> </w:t>
      </w:r>
      <w:r>
        <w:rPr>
          <w:iCs/>
          <w:i/>
        </w:rPr>
        <w:t xml:space="preserve">Postmetaphysical Thinking II</w:t>
      </w:r>
      <w:r>
        <w:t xml:space="preserve">, ch. 9, §III</w:t>
      </w:r>
      <w:r>
        <w:t xml:space="preserve"> </w:t>
      </w:r>
      <w:r>
        <w:t xml:space="preserve">‘</w:t>
      </w:r>
      <w:r>
        <w:t xml:space="preserve">Postmetaphysical, Not Freestanding</w:t>
      </w:r>
      <w:r>
        <w:t xml:space="preserve">’</w:t>
      </w:r>
      <w:r>
        <w:t xml:space="preserve"> </w:t>
      </w:r>
      <w:r>
        <w:t xml:space="preserve">(first printed in Finlayson and Freyenhagen (eds),</w:t>
      </w:r>
      <w:r>
        <w:t xml:space="preserve"> </w:t>
      </w:r>
      <w:r>
        <w:rPr>
          <w:iCs/>
          <w:i/>
        </w:rPr>
        <w:t xml:space="preserve">Habermas and Rawls</w:t>
      </w:r>
      <w:r>
        <w:t xml:space="preserve">, 283–304), for the concession; its n. 22 puts</w:t>
      </w:r>
      <w:r>
        <w:t xml:space="preserve"> </w:t>
      </w:r>
      <w:r>
        <w:t xml:space="preserve">‘</w:t>
      </w:r>
      <w:r>
        <w:t xml:space="preserve">unavoidable</w:t>
      </w:r>
      <w:r>
        <w:t xml:space="preserve">’</w:t>
      </w:r>
      <w:r>
        <w:t xml:space="preserve"> </w:t>
      </w:r>
      <w:r>
        <w:t xml:space="preserve">in Habermas’s own scare quotes. PSC 646 for the weaker sense.</w:t>
      </w:r>
    </w:p>
  </w:footnote>
  <w:footnote w:id="105">
    <w:p>
      <w:pPr>
        <w:pStyle w:val="FootnoteText"/>
      </w:pPr>
      <w:r>
        <w:rPr>
          <w:rStyle w:val="FootnoteReference"/>
        </w:rPr>
        <w:footnoteRef/>
      </w:r>
      <w:r>
        <w:t xml:space="preserve"> </w:t>
      </w:r>
      <w:r>
        <w:t xml:space="preserve">JA 84. The sentence which follows makes the deduction conditional, in the words the body quotes: were the principle so deducible, it would be shown to be unquestionable as such and questionable only in some particular interpretation. JA 83 for the Strawson passage.</w:t>
      </w:r>
    </w:p>
  </w:footnote>
  <w:footnote w:id="106">
    <w:p>
      <w:pPr>
        <w:pStyle w:val="FootnoteText"/>
      </w:pPr>
      <w:r>
        <w:rPr>
          <w:rStyle w:val="FootnoteReference"/>
        </w:rPr>
        <w:footnoteRef/>
      </w:r>
      <w:r>
        <w:t xml:space="preserve"> </w:t>
      </w:r>
      <w:r>
        <w:t xml:space="preserve">MCCA 32, quoted in the body (the genitive governs</w:t>
      </w:r>
      <w:r>
        <w:t xml:space="preserve"> </w:t>
      </w:r>
      <w:r>
        <w:t xml:space="preserve">‘</w:t>
      </w:r>
      <w:r>
        <w:t xml:space="preserve">presuppositions</w:t>
      </w:r>
      <w:r>
        <w:t xml:space="preserve">’</w:t>
      </w:r>
      <w:r>
        <w:t xml:space="preserve"> </w:t>
      </w:r>
      <w:r>
        <w:t xml:space="preserve">and not</w:t>
      </w:r>
      <w:r>
        <w:t xml:space="preserve"> </w:t>
      </w:r>
      <w:r>
        <w:t xml:space="preserve">‘</w:t>
      </w:r>
      <w:r>
        <w:t xml:space="preserve">cast aside</w:t>
      </w:r>
      <w:r>
        <w:t xml:space="preserve">’</w:t>
      </w:r>
      <w:r>
        <w:t xml:space="preserve">); MCCA 86, quoted at Chapter One §1.5.3, for the field of argumentation; MCCA 83, for arguments called transcendental only where they deal with discourses or competences so general that no functional equivalent can replace them; MCCA 130:</w:t>
      </w:r>
      <w:r>
        <w:t xml:space="preserve"> </w:t>
      </w:r>
      <w:r>
        <w:t xml:space="preserve">‘</w:t>
      </w:r>
      <w:r>
        <w:t xml:space="preserve">no one has the option of escaping to alternatives. The absence of alternatives means that those conditions are, in fact, inescapable</w:t>
      </w:r>
      <w:r>
        <w:t xml:space="preserve"> </w:t>
      </w:r>
      <w:r>
        <w:rPr>
          <w:iCs/>
          <w:i/>
        </w:rPr>
        <w:t xml:space="preserve">for us</w:t>
      </w:r>
      <w:r>
        <w:t xml:space="preserve">’</w:t>
      </w:r>
      <w:r>
        <w:t xml:space="preserve">, the argument being made there</w:t>
      </w:r>
      <w:r>
        <w:t xml:space="preserve"> </w:t>
      </w:r>
      <w:r>
        <w:t xml:space="preserve">‘</w:t>
      </w:r>
      <w:r>
        <w:t xml:space="preserve">from the reflective point of view, not from the empiricist attitude of an objectivating observer</w:t>
      </w:r>
      <w:r>
        <w:t xml:space="preserve">’</w:t>
      </w:r>
      <w:r>
        <w:t xml:space="preserve">; TJ 220, in the exposition of Putnam upon bivalence, where the inclusive</w:t>
      </w:r>
      <w:r>
        <w:t xml:space="preserve"> </w:t>
      </w:r>
      <w:r>
        <w:t xml:space="preserve">‘</w:t>
      </w:r>
      <w:r>
        <w:t xml:space="preserve">we</w:t>
      </w:r>
      <w:r>
        <w:t xml:space="preserve">’</w:t>
      </w:r>
      <w:r>
        <w:t xml:space="preserve"> </w:t>
      </w:r>
      <w:r>
        <w:t xml:space="preserve">is indexed to concrete communities; JA 83, the possibility of alteration running over into JA 84, with the proviso already at EzD 194 (</w:t>
      </w:r>
      <w:r>
        <w:t xml:space="preserve">‘</w:t>
      </w:r>
      <w:r>
        <w:t xml:space="preserve">unter dem Vorbehalt der Konstanz dieser Lebensform</w:t>
      </w:r>
      <w:r>
        <w:t xml:space="preserve">’</w:t>
      </w:r>
      <w:r>
        <w:t xml:space="preserve">); BFN 310, which defines an unavoidable practice as one fulfilling functions vital to human life and replaceable by no other. The enumeration is not his; the restrictions are, the fourth being stated of Putnam’s argument and transferred. The possibility of alteration is set aside at JA 84 as one that</w:t>
      </w:r>
      <w:r>
        <w:t xml:space="preserve"> </w:t>
      </w:r>
      <w:r>
        <w:t xml:space="preserve">‘</w:t>
      </w:r>
      <w:r>
        <w:t xml:space="preserve">remains an empty possibility</w:t>
      </w:r>
      <w:r>
        <w:t xml:space="preserve">’</w:t>
      </w:r>
      <w:r>
        <w:t xml:space="preserve">; the temporal restriction is given of Putnam upon bivalence, and its transfer to the presuppositions of argumentation is the chapter’s.</w:t>
      </w:r>
    </w:p>
  </w:footnote>
  <w:footnote w:id="107">
    <w:p>
      <w:pPr>
        <w:pStyle w:val="FootnoteText"/>
      </w:pPr>
      <w:r>
        <w:rPr>
          <w:rStyle w:val="FootnoteReference"/>
        </w:rPr>
        <w:footnoteRef/>
      </w:r>
      <w:r>
        <w:t xml:space="preserve"> </w:t>
      </w:r>
      <w:r>
        <w:t xml:space="preserve">BNR 27 for the formula, and for the</w:t>
      </w:r>
      <w:r>
        <w:t xml:space="preserve"> </w:t>
      </w:r>
      <w:r>
        <w:t xml:space="preserve">‘</w:t>
      </w:r>
      <w:r>
        <w:t xml:space="preserve">must</w:t>
      </w:r>
      <w:r>
        <w:t xml:space="preserve">’</w:t>
      </w:r>
      <w:r>
        <w:t xml:space="preserve"> </w:t>
      </w:r>
      <w:r>
        <w:t xml:space="preserve">declared Wittgensteinian rather than Kantian on the same page. WuR 51 for the candidate counter-instance:</w:t>
      </w:r>
      <w:r>
        <w:t xml:space="preserve"> </w:t>
      </w:r>
      <w:r>
        <w:t xml:space="preserve">‘</w:t>
      </w:r>
      <w:r>
        <w:t xml:space="preserve">Die normativ anspruchsvollen und nicht hintergehbaren Kommunikationsvoraussetzungen der Argumentationspraxis haben nach wie vor den Sinn einer strukturellen Nötigung zu unparteilicher Urteilsbildung</w:t>
      </w:r>
      <w:r>
        <w:t xml:space="preserve">’</w:t>
      </w:r>
      <w:r>
        <w:t xml:space="preserve">; the reservation is the chapter’s, and what it records are Habermas’s own restrictions. The third candidate is VuE 233 (1974), in the sentence quoted in the body, where the validity basis assumed for every speech act is called</w:t>
      </w:r>
      <w:r>
        <w:t xml:space="preserve"> </w:t>
      </w:r>
      <w:r>
        <w:rPr>
          <w:iCs/>
          <w:i/>
        </w:rPr>
        <w:t xml:space="preserve">nicht hintergehbar</w:t>
      </w:r>
      <w:r>
        <w:t xml:space="preserve">; the</w:t>
      </w:r>
      <w:r>
        <w:t xml:space="preserve"> </w:t>
      </w:r>
      <w:r>
        <w:rPr>
          <w:iCs/>
          <w:i/>
        </w:rPr>
        <w:t xml:space="preserve">gleichsam</w:t>
      </w:r>
      <w:r>
        <w:t xml:space="preserve"> </w:t>
      </w:r>
      <w:r>
        <w:t xml:space="preserve">hedges the transcendental predicate, the genitive indexes the basis to the speech act, and the sentence precedes the statement of 1976 from which the restricted predicate is dated. The second candidate stands in 2019, in the sentence Chapter Three §3.2.4 displays, where the word is predicated of the presuppositions a practice of enquiry must make and where, by the same sentence, they are accessible only in a reconstruction. The genitive of the first candidate indexes the presuppositions to a practice, which is the first of the five restrictions, and what those presuppositions yield in the same volume remains a reconstruction; what the sentence omits is the remainder of the indexing, and what it does not supply is the unrestricted sense.</w:t>
      </w:r>
    </w:p>
  </w:footnote>
  <w:footnote w:id="108">
    <w:p>
      <w:pPr>
        <w:pStyle w:val="FootnoteText"/>
      </w:pPr>
      <w:r>
        <w:rPr>
          <w:rStyle w:val="FootnoteReference"/>
        </w:rPr>
        <w:footnoteRef/>
      </w:r>
      <w:r>
        <w:t xml:space="preserve"> </w:t>
      </w:r>
      <w:r>
        <w:t xml:space="preserve">MCCA 203 (</w:t>
      </w:r>
      <w:r>
        <w:t xml:space="preserve">‘</w:t>
      </w:r>
      <w:r>
        <w:t xml:space="preserve">Morality and Ethical Life</w:t>
      </w:r>
      <w:r>
        <w:t xml:space="preserve">’</w:t>
      </w:r>
      <w:r>
        <w:t xml:space="preserve">, MCCA 195–215) for</w:t>
      </w:r>
      <w:r>
        <w:t xml:space="preserve"> </w:t>
      </w:r>
      <w:r>
        <w:t xml:space="preserve">‘</w:t>
      </w:r>
      <w:r>
        <w:t xml:space="preserve">the quasi-transcendental necessity with which subjects involved in communicative interaction orient themselves to validity claims</w:t>
      </w:r>
      <w:r>
        <w:t xml:space="preserve">’</w:t>
      </w:r>
      <w:r>
        <w:t xml:space="preserve">, a sentence which continues</w:t>
      </w:r>
      <w:r>
        <w:t xml:space="preserve"> </w:t>
      </w:r>
      <w:r>
        <w:t xml:space="preserve">‘</w:t>
      </w:r>
      <w:r>
        <w:t xml:space="preserve">is reflected only in their being constrained to speak and act under idealized conditions</w:t>
      </w:r>
      <w:r>
        <w:t xml:space="preserve">’</w:t>
      </w:r>
      <w:r>
        <w:t xml:space="preserve">; EzD 20 for the German it renders:</w:t>
      </w:r>
      <w:r>
        <w:t xml:space="preserve"> </w:t>
      </w:r>
      <w:r>
        <w:t xml:space="preserve">‘</w:t>
      </w:r>
      <w:r>
        <w:t xml:space="preserve">Eine gleichsam transzendentale Nötigung … macht sich nur in dem Zwang bemerkbar, unter idealisierenden Voraussetzungen zu sprechen und zu handeln.</w:t>
      </w:r>
      <w:r>
        <w:t xml:space="preserve">’</w:t>
      </w:r>
      <w:r>
        <w:t xml:space="preserve"> </w:t>
      </w:r>
      <w:r>
        <w:t xml:space="preserve">VuE 180 n. 45 (1973), replying to Schulz, for the burden of proof undertaken for the character Chapter One §1.5.1 displays, to be discharged by showing that participants entering discourse make</w:t>
      </w:r>
      <w:r>
        <w:t xml:space="preserve"> </w:t>
      </w:r>
      <w:r>
        <w:t xml:space="preserve">‘</w:t>
      </w:r>
      <w:r>
        <w:t xml:space="preserve">jene zugleich unvermeidlichen und allgemeinen Präsuppositionen</w:t>
      </w:r>
      <w:r>
        <w:t xml:space="preserve">’</w:t>
      </w:r>
      <w:r>
        <w:t xml:space="preserve"> </w:t>
      </w:r>
      <w:r>
        <w:t xml:space="preserve">which ideal speech situations must fulfil; VuE 233 (1974) for the validity basis quoted in the body; VuE 528 (1980) for the necessitation quoted in the body, whose object is that the demands participants in discourse must make are sufficiently realised under given empirical constraints. BNR 58 for Davidson’s principle; PSC 635 and 636 for Peirce’s enabling conditions and approach, the first said in Habermas’s reconstruction of Apel’s Peircean turn; PSC 645 for the sentence of 2020, in Cronin’s English, in which the word stands beside a necessitation, displayed at §2.1.5. The absence from</w:t>
      </w:r>
      <w:r>
        <w:t xml:space="preserve"> </w:t>
      </w:r>
      <w:r>
        <w:rPr>
          <w:iCs/>
          <w:i/>
        </w:rPr>
        <w:t xml:space="preserve">Between Facts and Norms</w:t>
      </w:r>
      <w:r>
        <w:t xml:space="preserve"> </w:t>
      </w:r>
      <w:r>
        <w:t xml:space="preserve">is recorded in the body; at JA xv the word is Cronin’s and at LC xxii McCarthy’s. Peirce’s approach is said to derive its</w:t>
      </w:r>
      <w:r>
        <w:t xml:space="preserve"> </w:t>
      </w:r>
      <w:r>
        <w:t xml:space="preserve">‘</w:t>
      </w:r>
      <w:r>
        <w:t xml:space="preserve">quasi-transcendental character</w:t>
      </w:r>
      <w:r>
        <w:t xml:space="preserve">’</w:t>
      </w:r>
      <w:r>
        <w:t xml:space="preserve"> </w:t>
      </w:r>
      <w:r>
        <w:t xml:space="preserve">from those conditions; where the word stands next to a modality, at MCCA 203,</w:t>
      </w:r>
      <w:r>
        <w:t xml:space="preserve"> </w:t>
      </w:r>
      <w:r>
        <w:rPr>
          <w:iCs/>
          <w:i/>
        </w:rPr>
        <w:t xml:space="preserve">gleichsam</w:t>
      </w:r>
      <w:r>
        <w:t xml:space="preserve"> </w:t>
      </w:r>
      <w:r>
        <w:t xml:space="preserve">hedges the predicate</w:t>
      </w:r>
      <w:r>
        <w:t xml:space="preserve"> </w:t>
      </w:r>
      <w:r>
        <w:rPr>
          <w:iCs/>
          <w:i/>
        </w:rPr>
        <w:t xml:space="preserve">transzendental</w:t>
      </w:r>
      <w:r>
        <w:t xml:space="preserve"> </w:t>
      </w:r>
      <w:r>
        <w:t xml:space="preserve">and leaves the</w:t>
      </w:r>
      <w:r>
        <w:t xml:space="preserve"> </w:t>
      </w:r>
      <w:r>
        <w:rPr>
          <w:iCs/>
          <w:i/>
        </w:rPr>
        <w:t xml:space="preserve">Nötigung</w:t>
      </w:r>
      <w:r>
        <w:t xml:space="preserve"> </w:t>
      </w:r>
      <w:r>
        <w:t xml:space="preserve">ungraded.</w:t>
      </w:r>
    </w:p>
  </w:footnote>
  <w:footnote w:id="109">
    <w:p>
      <w:pPr>
        <w:pStyle w:val="FootnoteText"/>
      </w:pPr>
      <w:r>
        <w:rPr>
          <w:rStyle w:val="FootnoteReference"/>
        </w:rPr>
        <w:footnoteRef/>
      </w:r>
      <w:r>
        <w:t xml:space="preserve"> </w:t>
      </w:r>
      <w:r>
        <w:t xml:space="preserve">Apel’s approving uses stand at TTP 88 (quoted at Chapter Three §3.3.4) and FTSPV 106,</w:t>
      </w:r>
      <w:r>
        <w:t xml:space="preserve"> </w:t>
      </w:r>
      <w:r>
        <w:t xml:space="preserve">‘</w:t>
      </w:r>
      <w:r>
        <w:t xml:space="preserve">the quasi-transcendental function of our preunderstanding of the lifeworld</w:t>
      </w:r>
      <w:r>
        <w:t xml:space="preserve">’</w:t>
      </w:r>
      <w:r>
        <w:t xml:space="preserve">; the pejorative use at FTSPV 95, in</w:t>
      </w:r>
      <w:r>
        <w:t xml:space="preserve"> </w:t>
      </w:r>
      <w:r>
        <w:t xml:space="preserve">‘</w:t>
      </w:r>
      <w:r>
        <w:t xml:space="preserve">Can an Ultimate Foundation of Knowledge Be Non-Metaphysical?</w:t>
      </w:r>
      <w:r>
        <w:t xml:space="preserve">’</w:t>
      </w:r>
      <w:r>
        <w:t xml:space="preserve"> </w:t>
      </w:r>
      <w:r>
        <w:t xml:space="preserve">(FTSPV 81–102; first published in</w:t>
      </w:r>
      <w:r>
        <w:t xml:space="preserve"> </w:t>
      </w:r>
      <w:r>
        <w:rPr>
          <w:iCs/>
          <w:i/>
        </w:rPr>
        <w:t xml:space="preserve">Journal of Speculative Philosophy</w:t>
      </w:r>
      <w:r>
        <w:t xml:space="preserve"> </w:t>
      </w:r>
      <w:r>
        <w:t xml:space="preserve">7/3 (1993), 171–90, trans. Benjamin Gregg), at 185 of the journal printing. The pejorative use names a philosophy</w:t>
      </w:r>
      <w:r>
        <w:t xml:space="preserve"> </w:t>
      </w:r>
      <w:r>
        <w:t xml:space="preserve">‘</w:t>
      </w:r>
      <w:r>
        <w:t xml:space="preserve">quasi-transcendental, yet one free of transcendental reflection</w:t>
      </w:r>
      <w:r>
        <w:t xml:space="preserve">’</w:t>
      </w:r>
      <w:r>
        <w:t xml:space="preserve">.</w:t>
      </w:r>
    </w:p>
  </w:footnote>
  <w:footnote w:id="110">
    <w:p>
      <w:pPr>
        <w:pStyle w:val="FootnoteText"/>
      </w:pPr>
      <w:r>
        <w:rPr>
          <w:rStyle w:val="FootnoteReference"/>
        </w:rPr>
        <w:footnoteRef/>
      </w:r>
      <w:r>
        <w:t xml:space="preserve"> </w:t>
      </w:r>
      <w:r>
        <w:t xml:space="preserve">MCCA 95, where Habermas displays the passage; his own note 77 (MCCA 114) refers it to Wolfgang Kuhlmann’s essay of 1981,</w:t>
      </w:r>
      <w:r>
        <w:t xml:space="preserve"> </w:t>
      </w:r>
      <w:r>
        <w:t xml:space="preserve">‘</w:t>
      </w:r>
      <w:r>
        <w:t xml:space="preserve">Ist eine philosophische Letztbegründung von Normen möglich?</w:t>
      </w:r>
      <w:r>
        <w:t xml:space="preserve">’</w:t>
      </w:r>
      <w:r>
        <w:t xml:space="preserve">, in</w:t>
      </w:r>
      <w:r>
        <w:t xml:space="preserve"> </w:t>
      </w:r>
      <w:r>
        <w:rPr>
          <w:iCs/>
          <w:i/>
        </w:rPr>
        <w:t xml:space="preserve">Funkkolleg Ethik</w:t>
      </w:r>
      <w:r>
        <w:t xml:space="preserve">, Studienbegleitbrief 8 (Weinheim, 1981), 57. The position is developed at length in Kuhlmann’s</w:t>
      </w:r>
      <w:r>
        <w:t xml:space="preserve"> </w:t>
      </w:r>
      <w:r>
        <w:rPr>
          <w:iCs/>
          <w:i/>
        </w:rPr>
        <w:t xml:space="preserve">Reflexive Letztbegründung: Untersuchungen zur Transzendentalpragmatik</w:t>
      </w:r>
      <w:r>
        <w:t xml:space="preserve"> </w:t>
      </w:r>
      <w:r>
        <w:t xml:space="preserve">(Freiburg and Munich: Karl Alber, 1985).</w:t>
      </w:r>
    </w:p>
  </w:footnote>
  <w:footnote w:id="111">
    <w:p>
      <w:pPr>
        <w:pStyle w:val="FootnoteText"/>
      </w:pPr>
      <w:r>
        <w:rPr>
          <w:rStyle w:val="FootnoteReference"/>
        </w:rPr>
        <w:footnoteRef/>
      </w:r>
      <w:r>
        <w:t xml:space="preserve"> </w:t>
      </w:r>
      <w:r>
        <w:t xml:space="preserve">MkH 14 (= MCCA 6), in</w:t>
      </w:r>
      <w:r>
        <w:t xml:space="preserve"> </w:t>
      </w:r>
      <w:r>
        <w:t xml:space="preserve">‘</w:t>
      </w:r>
      <w:r>
        <w:t xml:space="preserve">Die Philosophie als Platzhalter und Interpret</w:t>
      </w:r>
      <w:r>
        <w:t xml:space="preserve">’</w:t>
      </w:r>
      <w:r>
        <w:t xml:space="preserve">, for</w:t>
      </w:r>
      <w:r>
        <w:t xml:space="preserve"> </w:t>
      </w:r>
      <w:r>
        <w:t xml:space="preserve">‘</w:t>
      </w:r>
      <w:r>
        <w:t xml:space="preserve">das aus der Sicht der Transzendentalphilosophie nunmehr entstandene Begründungsdefizit</w:t>
      </w:r>
      <w:r>
        <w:t xml:space="preserve">’</w:t>
      </w:r>
      <w:r>
        <w:t xml:space="preserve">, rendered in the words the body quotes, a shortfall which constructivism and critical rationalism try in their different ways to make good, the modest transcendental philosopher being said there to seek the non-rejectability of his fundamental concepts by producing falsifying counterexamples; MkH 84 and 86 for the</w:t>
      </w:r>
      <w:r>
        <w:t xml:space="preserve"> </w:t>
      </w:r>
      <w:r>
        <w:rPr>
          <w:iCs/>
          <w:i/>
        </w:rPr>
        <w:t xml:space="preserve">Begründungsdefizit</w:t>
      </w:r>
      <w:r>
        <w:t xml:space="preserve"> </w:t>
      </w:r>
      <w:r>
        <w:t xml:space="preserve">Tugendhat’s argument leaves (</w:t>
      </w:r>
      <w:r>
        <w:t xml:space="preserve">‘</w:t>
      </w:r>
      <w:r>
        <w:t xml:space="preserve">Dieses Begründungsdefizit läßt sich erst ausgleichen …</w:t>
      </w:r>
      <w:r>
        <w:t xml:space="preserve">’</w:t>
      </w:r>
      <w:r>
        <w:t xml:space="preserve">).</w:t>
      </w:r>
    </w:p>
  </w:footnote>
  <w:footnote w:id="113">
    <w:p>
      <w:pPr>
        <w:pStyle w:val="FootnoteText"/>
      </w:pPr>
      <w:r>
        <w:rPr>
          <w:rStyle w:val="FootnoteReference"/>
        </w:rPr>
        <w:footnoteRef/>
      </w:r>
      <w:r>
        <w:t xml:space="preserve"> </w:t>
      </w:r>
      <w:r>
        <w:t xml:space="preserve">MCCA 95; MkH 105 for the German. The sentence is punctuated with a semicolon, and §2.4.1 reads it in its printed sequence with the two sentences which follow it. The reading of its grammar is advanced as a reading of what the sentence does, not as a report of a distinction Habermas states; the antecedent of</w:t>
      </w:r>
      <w:r>
        <w:t xml:space="preserve"> </w:t>
      </w:r>
      <w:r>
        <w:rPr>
          <w:iCs/>
          <w:i/>
        </w:rPr>
        <w:t xml:space="preserve">diese selbst</w:t>
      </w:r>
      <w:r>
        <w:t xml:space="preserve"> </w:t>
      </w:r>
      <w:r>
        <w:t xml:space="preserve">is fixed by the following sentence, on the participants’ having acknowledged</w:t>
      </w:r>
      <w:r>
        <w:t xml:space="preserve"> </w:t>
      </w:r>
      <w:r>
        <w:rPr>
          <w:iCs/>
          <w:i/>
        </w:rPr>
        <w:t xml:space="preserve">diese Regeln</w:t>
      </w:r>
      <w:r>
        <w:t xml:space="preserve">, and not by the grammar of the clause. The rival reading, on which both clauses concern the rules as norms of discourse and the second states only that indispensability is not justification, is not excluded by the grammar; the reading adopted is preferred because the object of the first clause is indexed to the practice and the object of the second is not.</w:t>
      </w:r>
    </w:p>
  </w:footnote>
  <w:footnote w:id="114">
    <w:p>
      <w:pPr>
        <w:pStyle w:val="FootnoteText"/>
      </w:pPr>
      <w:r>
        <w:rPr>
          <w:rStyle w:val="FootnoteReference"/>
        </w:rPr>
        <w:footnoteRef/>
      </w:r>
      <w:r>
        <w:t xml:space="preserve"> </w:t>
      </w:r>
      <w:r>
        <w:t xml:space="preserve">The argument of the three paragraphs above is not drawn from Habermas or from Apel. The token/type consequence of self-application for the reconstruction of the presuppositions is drawn at Chapter Three §3.2.3; what is drawn above is the consequence for the elenctic instrument, and the two are distinct results of one distinction. The three-way division of the second paragraph is the chapter’s reading of C3 and not Habermas’s.</w:t>
      </w:r>
    </w:p>
  </w:footnote>
  <w:footnote w:id="115">
    <w:p>
      <w:pPr>
        <w:pStyle w:val="FootnoteText"/>
      </w:pPr>
      <w:r>
        <w:rPr>
          <w:rStyle w:val="FootnoteReference"/>
        </w:rPr>
        <w:footnoteRef/>
      </w:r>
      <w:r>
        <w:t xml:space="preserve"> </w:t>
      </w:r>
      <w:r>
        <w:t xml:space="preserve">MCCA 32, the clause quoted:</w:t>
      </w:r>
      <w:r>
        <w:t xml:space="preserve"> </w:t>
      </w:r>
      <w:r>
        <w:t xml:space="preserve">‘</w:t>
      </w:r>
      <w:r>
        <w:t xml:space="preserve">all rational reconstructions, like other types of knowledge, have only hypothetical status</w:t>
      </w:r>
      <w:r>
        <w:t xml:space="preserve">’</w:t>
      </w:r>
      <w:r>
        <w:t xml:space="preserve">. The sentence it closes is read at §2.2.3 for its connective.</w:t>
      </w:r>
    </w:p>
  </w:footnote>
  <w:footnote w:id="116">
    <w:p>
      <w:pPr>
        <w:pStyle w:val="FootnoteText"/>
      </w:pPr>
      <w:r>
        <w:rPr>
          <w:rStyle w:val="FootnoteReference"/>
        </w:rPr>
        <w:footnoteRef/>
      </w:r>
      <w:r>
        <w:t xml:space="preserve"> </w:t>
      </w:r>
      <w:r>
        <w:t xml:space="preserve">PSC 645, the sentence quoted. Earlier on the same page the mode of normative validity of moral statements is traced to the binding sense and integrative force of social norms, a norm’s claim to validity being thematised in discourse only after being imported into it from the lifeworld; between the two passages Habermas states the line drawn here in his own words, his strategy of 1983 making</w:t>
      </w:r>
      <w:r>
        <w:t xml:space="preserve"> </w:t>
      </w:r>
      <w:r>
        <w:t xml:space="preserve">‘</w:t>
      </w:r>
      <w:r>
        <w:t xml:space="preserve">use of Apel’s procedure of reconstructing the content of the universal and necessary pragmatic presuppositions of rational discourse, but without claiming to derive from these presuppositions the obligatory meaning of the mode of normative validity</w:t>
      </w:r>
      <w:r>
        <w:t xml:space="preserve">’</w:t>
      </w:r>
      <w:r>
        <w:t xml:space="preserve">. The reading which sets the sentence against the sentence of 1991 displayed at §2.1.4, and finds the two on either side of one interval, is proposed here.</w:t>
      </w:r>
    </w:p>
  </w:footnote>
  <w:footnote w:id="119">
    <w:p>
      <w:pPr>
        <w:pStyle w:val="FootnoteText"/>
      </w:pPr>
      <w:r>
        <w:rPr>
          <w:rStyle w:val="FootnoteReference"/>
        </w:rPr>
        <w:footnoteRef/>
      </w:r>
      <w:r>
        <w:t xml:space="preserve"> </w:t>
      </w:r>
      <w:r>
        <w:t xml:space="preserve">Apel,</w:t>
      </w:r>
      <w:r>
        <w:t xml:space="preserve"> </w:t>
      </w:r>
      <w:r>
        <w:t xml:space="preserve">‘</w:t>
      </w:r>
      <w:r>
        <w:t xml:space="preserve">The Problem of Philosophical Fundamental-Grounding</w:t>
      </w:r>
      <w:r>
        <w:t xml:space="preserve">’</w:t>
      </w:r>
      <w:r>
        <w:t xml:space="preserve"> </w:t>
      </w:r>
      <w:r>
        <w:t xml:space="preserve">(n. 16), 262, where it follows the sentence beginning at the foot of 261, for the naming of the transcendental language game; SE2 85 for the question put to the pluralist, in which game his thesis is advanced; the same sentence stands at SE2 88, within the printing of that essay cited in n. 100 as</w:t>
      </w:r>
      <w:r>
        <w:t xml:space="preserve"> </w:t>
      </w:r>
      <w:r>
        <w:t xml:space="preserve">‘</w:t>
      </w:r>
      <w:r>
        <w:t xml:space="preserve">The Question of Grounding: Philosophy and Transcendental Pragmatics of Language</w:t>
      </w:r>
      <w:r>
        <w:t xml:space="preserve">’</w:t>
      </w:r>
      <w:r>
        <w:t xml:space="preserve">; TTP 138–139 for the two sentences on the transcendental language-game and the basic error, the first running over the page break; TTP 119 for the</w:t>
      </w:r>
      <w:r>
        <w:t xml:space="preserve"> </w:t>
      </w:r>
      <w:r>
        <w:t xml:space="preserve">‘</w:t>
      </w:r>
      <w:r>
        <w:t xml:space="preserve">meta-institution</w:t>
      </w:r>
      <w:r>
        <w:t xml:space="preserve">’</w:t>
      </w:r>
      <w:r>
        <w:t xml:space="preserve">. The separation of the two claims travelling in the inference is not Apel’s. Language is on Apel’s account not only the normatively binding institution of institutions but</w:t>
      </w:r>
      <w:r>
        <w:t xml:space="preserve"> </w:t>
      </w:r>
      <w:r>
        <w:t xml:space="preserve">‘</w:t>
      </w:r>
      <w:r>
        <w:t xml:space="preserve">the</w:t>
      </w:r>
      <w:r>
        <w:t xml:space="preserve"> </w:t>
      </w:r>
      <w:r>
        <w:t xml:space="preserve">“</w:t>
      </w:r>
      <w:r>
        <w:t xml:space="preserve">meta-institution</w:t>
      </w:r>
      <w:r>
        <w:t xml:space="preserve">”</w:t>
      </w:r>
      <w:r>
        <w:t xml:space="preserve"> </w:t>
      </w:r>
      <w:r>
        <w:t xml:space="preserve">of all dogmatically established institutions</w:t>
      </w:r>
      <w:r>
        <w:t xml:space="preserve">’</w:t>
      </w:r>
      <w:r>
        <w:t xml:space="preserve">.</w:t>
      </w:r>
    </w:p>
  </w:footnote>
  <w:footnote w:id="120">
    <w:p>
      <w:pPr>
        <w:pStyle w:val="FootnoteText"/>
      </w:pPr>
      <w:r>
        <w:rPr>
          <w:rStyle w:val="FootnoteReference"/>
        </w:rPr>
        <w:footnoteRef/>
      </w:r>
      <w:r>
        <w:t xml:space="preserve"> </w:t>
      </w:r>
      <w:r>
        <w:t xml:space="preserve">Apel,</w:t>
      </w:r>
      <w:r>
        <w:t xml:space="preserve"> </w:t>
      </w:r>
      <w:r>
        <w:t xml:space="preserve">‘</w:t>
      </w:r>
      <w:r>
        <w:t xml:space="preserve">Meaning constitution and justification of validity: has Heidegger overcome transcendental philosophy by history of being?</w:t>
      </w:r>
      <w:r>
        <w:t xml:space="preserve">’</w:t>
      </w:r>
      <w:r>
        <w:t xml:space="preserve"> </w:t>
      </w:r>
      <w:r>
        <w:t xml:space="preserve">(FTSPV 103–21; first published in 1990), at FTSPV 115 for the distinction and for the paradox quoted, and FTSPV 119 for the deficiency charged</w:t>
      </w:r>
      <w:r>
        <w:t xml:space="preserve"> </w:t>
      </w:r>
      <w:r>
        <w:rPr>
          <w:iCs/>
          <w:i/>
        </w:rPr>
        <w:t xml:space="preserve">Logosvergessenheit</w:t>
      </w:r>
      <w:r>
        <w:t xml:space="preserve">. Habermas works the same joint from the other side, in the reply to Taylor which Chapter Three §3.1 examines: a language’s power to disclose a world has first to prove itself within the world. Both programmes thus hold the constitution of meaning apart from the justification of validity, and divide over where the holding-apart is anchored. The inference that the paradox bears upon Habermas is the chapter’s.</w:t>
      </w:r>
    </w:p>
  </w:footnote>
  <w:footnote w:id="121">
    <w:p>
      <w:pPr>
        <w:pStyle w:val="FootnoteText"/>
      </w:pPr>
      <w:r>
        <w:rPr>
          <w:rStyle w:val="FootnoteReference"/>
        </w:rPr>
        <w:footnoteRef/>
      </w:r>
      <w:r>
        <w:t xml:space="preserve"> </w:t>
      </w:r>
      <w:r>
        <w:t xml:space="preserve">Apel, TTP 190, for the sentence in which such a science</w:t>
      </w:r>
      <w:r>
        <w:t xml:space="preserve"> </w:t>
      </w:r>
      <w:r>
        <w:t xml:space="preserve">‘</w:t>
      </w:r>
      <w:r>
        <w:t xml:space="preserve">must ultimately reconstruct its own rule-based competence in the rule-based competence of the</w:t>
      </w:r>
      <w:r>
        <w:t xml:space="preserve"> </w:t>
      </w:r>
      <w:r>
        <w:t xml:space="preserve">“</w:t>
      </w:r>
      <w:r>
        <w:t xml:space="preserve">ideal speaker-hearer</w:t>
      </w:r>
      <w:r>
        <w:t xml:space="preserve">”</w:t>
      </w:r>
      <w:r>
        <w:t xml:space="preserve"> </w:t>
      </w:r>
      <w:r>
        <w:t xml:space="preserve">(Chomsky)</w:t>
      </w:r>
      <w:r>
        <w:t xml:space="preserve">’</w:t>
      </w:r>
      <w:r>
        <w:t xml:space="preserve">. SE2 319 for the two-part division of the reconstructive process and for the name Apel gives the postulate,</w:t>
      </w:r>
      <w:r>
        <w:t xml:space="preserve"> </w:t>
      </w:r>
      <w:r>
        <w:rPr>
          <w:iCs/>
          <w:i/>
        </w:rPr>
        <w:t xml:space="preserve">Selbsteinholung</w:t>
      </w:r>
      <w:r>
        <w:t xml:space="preserve">. SE2 179 for the exemption, quoted in the body; the grammatical subject of Apel’s sentence is the self-accountability he postulates, with which, by comparison, the validity claims and their normative conditions are placed among the conditions of possibility, so that the verb is singular. The characterisation is Apel’s own and is adjudicated at §2.2.3.</w:t>
      </w:r>
    </w:p>
  </w:footnote>
  <w:footnote w:id="122">
    <w:p>
      <w:pPr>
        <w:pStyle w:val="FootnoteText"/>
      </w:pPr>
      <w:r>
        <w:rPr>
          <w:rStyle w:val="FootnoteReference"/>
        </w:rPr>
        <w:footnoteRef/>
      </w:r>
      <w:r>
        <w:t xml:space="preserve"> </w:t>
      </w:r>
      <w:r>
        <w:t xml:space="preserve">FTSPV 175–76. The first limb, the distinction of validity claims and testing methods between philosophy and the critical-reconstructive social sciences, stands at 175; the second, the incoherence of empirical testing, in the sentence quoted, and the third, the</w:t>
      </w:r>
      <w:r>
        <w:t xml:space="preserve"> </w:t>
      </w:r>
      <w:r>
        <w:t xml:space="preserve">‘</w:t>
      </w:r>
      <w:r>
        <w:t xml:space="preserve">rhetorical appeals to modesty</w:t>
      </w:r>
      <w:r>
        <w:t xml:space="preserve">’</w:t>
      </w:r>
      <w:r>
        <w:t xml:space="preserve"> </w:t>
      </w:r>
      <w:r>
        <w:t xml:space="preserve">which rest, on Apel’s view,</w:t>
      </w:r>
      <w:r>
        <w:t xml:space="preserve"> </w:t>
      </w:r>
      <w:r>
        <w:t xml:space="preserve">‘</w:t>
      </w:r>
      <w:r>
        <w:t xml:space="preserve">on an ideological confusion of methodological and sociological or psychological categories</w:t>
      </w:r>
      <w:r>
        <w:t xml:space="preserve">’</w:t>
      </w:r>
      <w:r>
        <w:t xml:space="preserve">. The construal of the second limb given in the body — that what is denied is certification and not description — is the chapter’s and not Apel’s formulation. What Apel calls ideological is the appeals to modesty; their identification with the stand-in and interpreter contrast is not ascribed to him.</w:t>
      </w:r>
    </w:p>
  </w:footnote>
  <w:footnote w:id="123">
    <w:p>
      <w:pPr>
        <w:pStyle w:val="FootnoteText"/>
      </w:pPr>
      <w:r>
        <w:rPr>
          <w:rStyle w:val="FootnoteReference"/>
        </w:rPr>
        <w:footnoteRef/>
      </w:r>
      <w:r>
        <w:t xml:space="preserve"> </w:t>
      </w:r>
      <w:r>
        <w:t xml:space="preserve">Apel,</w:t>
      </w:r>
      <w:r>
        <w:t xml:space="preserve"> </w:t>
      </w:r>
      <w:r>
        <w:t xml:space="preserve">‘</w:t>
      </w:r>
      <w:r>
        <w:t xml:space="preserve">The Hermeneutic Dimension of Social Science</w:t>
      </w:r>
      <w:r>
        <w:t xml:space="preserve">’</w:t>
      </w:r>
      <w:r>
        <w:t xml:space="preserve">, 253, for the parenthesis reported in the body, paraphrased. The refusal is confined, on Apel’s own position, to the conditions of argumentation and is not extended to Kant’s constitutive</w:t>
      </w:r>
      <w:r>
        <w:t xml:space="preserve"> </w:t>
      </w:r>
      <w:r>
        <w:rPr>
          <w:iCs/>
          <w:i/>
        </w:rPr>
        <w:t xml:space="preserve">a priori</w:t>
      </w:r>
      <w:r>
        <w:t xml:space="preserve">:</w:t>
      </w:r>
      <w:r>
        <w:t xml:space="preserve"> </w:t>
      </w:r>
      <w:r>
        <w:t xml:space="preserve">‘</w:t>
      </w:r>
      <w:r>
        <w:t xml:space="preserve">Can an Ultimate Foundation of Knowledge Be Non-Metaphysical?</w:t>
      </w:r>
      <w:r>
        <w:t xml:space="preserve">’</w:t>
      </w:r>
      <w:r>
        <w:t xml:space="preserve">, cited at §2.1.4, at 186–87 of the journal printing, where the constitutive conditions are exposed to</w:t>
      </w:r>
      <w:r>
        <w:t xml:space="preserve"> </w:t>
      </w:r>
      <w:r>
        <w:t xml:space="preserve">‘</w:t>
      </w:r>
      <w:r>
        <w:t xml:space="preserve">a fallibilistic relativization</w:t>
      </w:r>
      <w:r>
        <w:t xml:space="preserve">’</w:t>
      </w:r>
      <w:r>
        <w:t xml:space="preserve">.</w:t>
      </w:r>
    </w:p>
  </w:footnote>
  <w:footnote w:id="124">
    <w:p>
      <w:pPr>
        <w:pStyle w:val="FootnoteText"/>
      </w:pPr>
      <w:r>
        <w:rPr>
          <w:rStyle w:val="FootnoteReference"/>
        </w:rPr>
        <w:footnoteRef/>
      </w:r>
      <w:r>
        <w:t xml:space="preserve"> </w:t>
      </w:r>
      <w:r>
        <w:t xml:space="preserve">Matthias Kettner,</w:t>
      </w:r>
      <w:r>
        <w:t xml:space="preserve"> </w:t>
      </w:r>
      <w:r>
        <w:t xml:space="preserve">‘</w:t>
      </w:r>
      <w:r>
        <w:t xml:space="preserve">Pragmatism and Ultimate Justification</w:t>
      </w:r>
      <w:r>
        <w:t xml:space="preserve">’</w:t>
      </w:r>
      <w:r>
        <w:t xml:space="preserve">, in</w:t>
      </w:r>
      <w:r>
        <w:t xml:space="preserve"> </w:t>
      </w:r>
      <w:r>
        <w:rPr>
          <w:iCs/>
          <w:i/>
        </w:rPr>
        <w:t xml:space="preserve">The Habermas Handbook</w:t>
      </w:r>
      <w:r>
        <w:t xml:space="preserve">, ed. Brunkhorst, Kreide and Lafont (New York: Columbia University Press, 2018), 43–48, at 45–46: Apel holds Habermas able to</w:t>
      </w:r>
      <w:r>
        <w:t xml:space="preserve"> </w:t>
      </w:r>
      <w:r>
        <w:t xml:space="preserve">‘</w:t>
      </w:r>
      <w:r>
        <w:t xml:space="preserve">eschew strictly reflexive transcendental arguments only at the price of inconsistency</w:t>
      </w:r>
      <w:r>
        <w:t xml:space="preserve">’</w:t>
      </w:r>
      <w:r>
        <w:t xml:space="preserve"> </w:t>
      </w:r>
      <w:r>
        <w:t xml:space="preserve">(45, on the criterion of progress); and of the primacy claims of the theory of communicative action, made</w:t>
      </w:r>
      <w:r>
        <w:t xml:space="preserve"> </w:t>
      </w:r>
      <w:r>
        <w:t xml:space="preserve">‘</w:t>
      </w:r>
      <w:r>
        <w:t xml:space="preserve">with only sociological methods on board</w:t>
      </w:r>
      <w:r>
        <w:t xml:space="preserve">’</w:t>
      </w:r>
      <w:r>
        <w:t xml:space="preserve">, that they</w:t>
      </w:r>
      <w:r>
        <w:t xml:space="preserve"> </w:t>
      </w:r>
      <w:r>
        <w:t xml:space="preserve">‘</w:t>
      </w:r>
      <w:r>
        <w:t xml:space="preserve">admit proof only superficially, and they founder entirely with respect to cases of openly strategic action</w:t>
      </w:r>
      <w:r>
        <w:t xml:space="preserve">’</w:t>
      </w:r>
      <w:r>
        <w:t xml:space="preserve"> </w:t>
      </w:r>
      <w:r>
        <w:t xml:space="preserve">(46), the derivative status of purely strategic bargaining being provable only within argumentative discourse. The two sentences belong to two of the objections Kettner reports, and their conjunction is the chapter’s; the body reports them in paraphrase. Kettner’s own citation for the second, Apel,</w:t>
      </w:r>
      <w:r>
        <w:t xml:space="preserve"> </w:t>
      </w:r>
      <w:r>
        <w:t xml:space="preserve">‘</w:t>
      </w:r>
      <w:r>
        <w:t xml:space="preserve">Das Problem des offen strategischen Sprachgebrauchs in transzendentalpragmatischer Sicht</w:t>
      </w:r>
      <w:r>
        <w:t xml:space="preserve">’</w:t>
      </w:r>
      <w:r>
        <w:t xml:space="preserve">, in</w:t>
      </w:r>
      <w:r>
        <w:t xml:space="preserve"> </w:t>
      </w:r>
      <w:r>
        <w:rPr>
          <w:iCs/>
          <w:i/>
        </w:rPr>
        <w:t xml:space="preserve">Auseinandersetzungen in Erprobung des transzendentalpragmatischen Ansatzes</w:t>
      </w:r>
      <w:r>
        <w:t xml:space="preserve"> </w:t>
      </w:r>
      <w:r>
        <w:t xml:space="preserve">(Frankfurt am Main: Suhrkamp, 1998), 701–26, at 723–24, is recorded as his and not adopted; Apel’s own statement of the charge stands at Chapter One §1.6.3.</w:t>
      </w:r>
    </w:p>
  </w:footnote>
  <w:footnote w:id="125">
    <w:p>
      <w:pPr>
        <w:pStyle w:val="FootnoteText"/>
      </w:pPr>
      <w:r>
        <w:rPr>
          <w:rStyle w:val="FootnoteReference"/>
        </w:rPr>
        <w:footnoteRef/>
      </w:r>
      <w:r>
        <w:t xml:space="preserve"> </w:t>
      </w:r>
      <w:r>
        <w:t xml:space="preserve">Apel, TTP 140, the sentence the body quotes in two parts; the parenthesis is Apel’s. The inference that a scope so drawn would discharge the debt entered at §2.2.3 is drawn there, and whether the scope can be made good is the question Chapter Three leaves open at §3.3.6.</w:t>
      </w:r>
    </w:p>
  </w:footnote>
  <w:footnote w:id="127">
    <w:p>
      <w:pPr>
        <w:pStyle w:val="FootnoteText"/>
      </w:pPr>
      <w:r>
        <w:rPr>
          <w:rStyle w:val="FootnoteReference"/>
        </w:rPr>
        <w:footnoteRef/>
      </w:r>
      <w:r>
        <w:t xml:space="preserve"> </w:t>
      </w:r>
      <w:r>
        <w:t xml:space="preserve">SE2 87, within</w:t>
      </w:r>
      <w:r>
        <w:t xml:space="preserve"> </w:t>
      </w:r>
      <w:r>
        <w:t xml:space="preserve">‘</w:t>
      </w:r>
      <w:r>
        <w:t xml:space="preserve">The Question of Grounding: Philosophy and Transcendental Pragmatics of Language</w:t>
      </w:r>
      <w:r>
        <w:t xml:space="preserve">’</w:t>
      </w:r>
      <w:r>
        <w:t xml:space="preserve"> </w:t>
      </w:r>
      <w:r>
        <w:t xml:space="preserve">(SE2 68–102), for the liar-structured self-application quoted in the body, italics and inverted commas as printed. Apel concludes on the same page that pan-critical rationalism is an untenable standpoint or at least an exaggeration, and enters the restriction, that</w:t>
      </w:r>
      <w:r>
        <w:t xml:space="preserve"> </w:t>
      </w:r>
      <w:r>
        <w:t xml:space="preserve">‘</w:t>
      </w:r>
      <w:r>
        <w:t xml:space="preserve">at least some philosophical evidence</w:t>
      </w:r>
      <w:r>
        <w:t xml:space="preserve">’</w:t>
      </w:r>
      <w:r>
        <w:t xml:space="preserve"> </w:t>
      </w:r>
      <w:r>
        <w:t xml:space="preserve">must be</w:t>
      </w:r>
      <w:r>
        <w:t xml:space="preserve"> </w:t>
      </w:r>
      <w:r>
        <w:t xml:space="preserve">‘</w:t>
      </w:r>
      <w:r>
        <w:t xml:space="preserve">excluded from possible criticism</w:t>
      </w:r>
      <w:r>
        <w:t xml:space="preserve">’</w:t>
      </w:r>
      <w:r>
        <w:t xml:space="preserve"> </w:t>
      </w:r>
      <w:r>
        <w:t xml:space="preserve">from the beginning. The restriction is his. The inference — that both parties therefore require a restriction, so that neither may charge the other with</w:t>
      </w:r>
      <w:r>
        <w:t xml:space="preserve"> </w:t>
      </w:r>
      <w:r>
        <w:rPr>
          <w:iCs/>
          <w:i/>
        </w:rPr>
        <w:t xml:space="preserve">ad hoc</w:t>
      </w:r>
      <w:r>
        <w:t xml:space="preserve"> </w:t>
      </w:r>
      <w:r>
        <w:t xml:space="preserve">exemption, and that what divides them is the category of the excluded item rather than the extent of the exclusion — is drawn at §2.2.3.</w:t>
      </w:r>
    </w:p>
  </w:footnote>
  <w:footnote w:id="128">
    <w:p>
      <w:pPr>
        <w:pStyle w:val="FootnoteText"/>
      </w:pPr>
      <w:r>
        <w:rPr>
          <w:rStyle w:val="FootnoteReference"/>
        </w:rPr>
        <w:footnoteRef/>
      </w:r>
      <w:r>
        <w:t xml:space="preserve"> </w:t>
      </w:r>
      <w:r>
        <w:t xml:space="preserve">Apel’s metacritique of critical rationalism: SE2 71 ff., within the essay cited in the preceding note. Apel there submits the sketched position of critical rationalism to metacritical examination — an examination</w:t>
      </w:r>
      <w:r>
        <w:t xml:space="preserve"> </w:t>
      </w:r>
      <w:r>
        <w:t xml:space="preserve">‘</w:t>
      </w:r>
      <w:r>
        <w:t xml:space="preserve">which at first depends on nothing other than a self-application of critical rationalism itself</w:t>
      </w:r>
      <w:r>
        <w:t xml:space="preserve">’</w:t>
      </w:r>
      <w:r>
        <w:t xml:space="preserve"> </w:t>
      </w:r>
      <w:r>
        <w:t xml:space="preserve">— and enters the disclaimer that his purpose</w:t>
      </w:r>
      <w:r>
        <w:t xml:space="preserve"> </w:t>
      </w:r>
      <w:r>
        <w:t xml:space="preserve">‘</w:t>
      </w:r>
      <w:r>
        <w:t xml:space="preserve">cannot be the questioning of the principle of</w:t>
      </w:r>
      <w:r>
        <w:t xml:space="preserve"> </w:t>
      </w:r>
      <w:r>
        <w:t xml:space="preserve">“</w:t>
      </w:r>
      <w:r>
        <w:t xml:space="preserve">critical examination</w:t>
      </w:r>
      <w:r>
        <w:t xml:space="preserve">”</w:t>
      </w:r>
      <w:r>
        <w:t xml:space="preserve">’</w:t>
      </w:r>
      <w:r>
        <w:t xml:space="preserve">. The qualifier</w:t>
      </w:r>
      <w:r>
        <w:t xml:space="preserve"> </w:t>
      </w:r>
      <w:r>
        <w:t xml:space="preserve">‘</w:t>
      </w:r>
      <w:r>
        <w:t xml:space="preserve">at first</w:t>
      </w:r>
      <w:r>
        <w:t xml:space="preserve">’</w:t>
      </w:r>
      <w:r>
        <w:t xml:space="preserve"> </w:t>
      </w:r>
      <w:r>
        <w:t xml:space="preserve">is his and is retained here, since it marks the self-application as an opening move rather than a standing concession. The discrimination drawn in the body is not stated by Apel in that form.</w:t>
      </w:r>
    </w:p>
  </w:footnote>
  <w:footnote w:id="129">
    <w:p>
      <w:pPr>
        <w:pStyle w:val="FootnoteText"/>
      </w:pPr>
      <w:r>
        <w:rPr>
          <w:rStyle w:val="FootnoteReference"/>
        </w:rPr>
        <w:footnoteRef/>
      </w:r>
      <w:r>
        <w:t xml:space="preserve"> </w:t>
      </w:r>
      <w:r>
        <w:t xml:space="preserve">MCCA 79 for the metacritique, 80 for the consistent fallibilist and 81 for the minimum of unavoidable rules, in</w:t>
      </w:r>
      <w:r>
        <w:t xml:space="preserve"> </w:t>
      </w:r>
      <w:r>
        <w:t xml:space="preserve">‘</w:t>
      </w:r>
      <w:r>
        <w:t xml:space="preserve">Discourse Ethics</w:t>
      </w:r>
      <w:r>
        <w:t xml:space="preserve">’</w:t>
      </w:r>
      <w:r>
        <w:t xml:space="preserve"> </w:t>
      </w:r>
      <w:r>
        <w:t xml:space="preserve">(n. 44); MkH 90–91 for the German,</w:t>
      </w:r>
      <w:r>
        <w:t xml:space="preserve"> </w:t>
      </w:r>
      <w:r>
        <w:t xml:space="preserve">‘</w:t>
      </w:r>
      <w:r>
        <w:t xml:space="preserve">den Einwand des Münchhausentrilemmas entkräftet</w:t>
      </w:r>
      <w:r>
        <w:t xml:space="preserve">’</w:t>
      </w:r>
      <w:r>
        <w:t xml:space="preserve"> </w:t>
      </w:r>
      <w:r>
        <w:t xml:space="preserve">and</w:t>
      </w:r>
      <w:r>
        <w:t xml:space="preserve"> </w:t>
      </w:r>
      <w:r>
        <w:t xml:space="preserve">‘</w:t>
      </w:r>
      <w:r>
        <w:t xml:space="preserve">in dem Einwand des</w:t>
      </w:r>
      <w:r>
        <w:t xml:space="preserve"> </w:t>
      </w:r>
      <w:r>
        <w:t xml:space="preserve">“</w:t>
      </w:r>
      <w:r>
        <w:t xml:space="preserve">konsequenten Fallibilisten</w:t>
      </w:r>
      <w:r>
        <w:t xml:space="preserve">”</w:t>
      </w:r>
      <w:r>
        <w:t xml:space="preserve">’</w:t>
      </w:r>
      <w:r>
        <w:t xml:space="preserve">. The English of MCCA 79,</w:t>
      </w:r>
      <w:r>
        <w:t xml:space="preserve"> </w:t>
      </w:r>
      <w:r>
        <w:t xml:space="preserve">‘</w:t>
      </w:r>
      <w:r>
        <w:t xml:space="preserve">refuted the objection to the Münchhausen trilemma</w:t>
      </w:r>
      <w:r>
        <w:t xml:space="preserve">’</w:t>
      </w:r>
      <w:r>
        <w:t xml:space="preserve">, misrenders the genitive</w:t>
      </w:r>
      <w:r>
        <w:t xml:space="preserve"> </w:t>
      </w:r>
      <w:r>
        <w:rPr>
          <w:iCs/>
          <w:i/>
        </w:rPr>
        <w:t xml:space="preserve">des Münchhausentrilemmas</w:t>
      </w:r>
      <w:r>
        <w:t xml:space="preserve"> </w:t>
      </w:r>
      <w:r>
        <w:t xml:space="preserve">and strengthens</w:t>
      </w:r>
      <w:r>
        <w:t xml:space="preserve"> </w:t>
      </w:r>
      <w:r>
        <w:rPr>
          <w:iCs/>
          <w:i/>
        </w:rPr>
        <w:t xml:space="preserve">entkräftet</w:t>
      </w:r>
      <w:r>
        <w:t xml:space="preserve">; the German governs. MCCA 79 names the three horns of Albert’s trilemma as an infinite regress,</w:t>
      </w:r>
      <w:r>
        <w:t xml:space="preserve"> </w:t>
      </w:r>
      <w:r>
        <w:t xml:space="preserve">‘</w:t>
      </w:r>
      <w:r>
        <w:t xml:space="preserve">arbitrarily breaking off the chain of deduction</w:t>
      </w:r>
      <w:r>
        <w:t xml:space="preserve">’</w:t>
      </w:r>
      <w:r>
        <w:t xml:space="preserve">, and a circular argument; Apel’s later renderings of the break-off as a dogmatisation (DV 352; FTSPV 59, 82) are not adopted, since they invite confusion with the trilemma Popper reports from Fries.</w:t>
      </w:r>
    </w:p>
  </w:footnote>
  <w:footnote w:id="130">
    <w:p>
      <w:pPr>
        <w:pStyle w:val="FootnoteText"/>
      </w:pPr>
      <w:r>
        <w:rPr>
          <w:rStyle w:val="FootnoteReference"/>
        </w:rPr>
        <w:footnoteRef/>
      </w:r>
      <w:r>
        <w:t xml:space="preserve"> </w:t>
      </w:r>
      <w:r>
        <w:t xml:space="preserve">SE2 81–82 (=</w:t>
      </w:r>
      <w:r>
        <w:t xml:space="preserve"> </w:t>
      </w:r>
      <w:r>
        <w:rPr>
          <w:iCs/>
          <w:i/>
        </w:rPr>
        <w:t xml:space="preserve">Man and World</w:t>
      </w:r>
      <w:r>
        <w:t xml:space="preserve"> </w:t>
      </w:r>
      <w:r>
        <w:t xml:space="preserve">8/3 (1975), 254) for the proviso and its exception, and SE2 81 for the distinction of levels, in</w:t>
      </w:r>
      <w:r>
        <w:t xml:space="preserve"> </w:t>
      </w:r>
      <w:r>
        <w:t xml:space="preserve">‘</w:t>
      </w:r>
      <w:r>
        <w:t xml:space="preserve">The Question of Grounding: Philosophy and Transcendental Pragmatics of Language</w:t>
      </w:r>
      <w:r>
        <w:t xml:space="preserve">’</w:t>
      </w:r>
      <w:r>
        <w:t xml:space="preserve"> </w:t>
      </w:r>
      <w:r>
        <w:t xml:space="preserve">(SE2 68–102), the essay from which the liar-structured self-application is quoted above; Apel,</w:t>
      </w:r>
      <w:r>
        <w:t xml:space="preserve"> </w:t>
      </w:r>
      <w:r>
        <w:t xml:space="preserve">‘</w:t>
      </w:r>
      <w:r>
        <w:t xml:space="preserve">The Hermeneutic Dimension of Social Science</w:t>
      </w:r>
      <w:r>
        <w:t xml:space="preserve">’</w:t>
      </w:r>
      <w:r>
        <w:t xml:space="preserve">, 253 (= SE2 298, without the comma after</w:t>
      </w:r>
      <w:r>
        <w:t xml:space="preserve"> </w:t>
      </w:r>
      <w:r>
        <w:t xml:space="preserve">‘</w:t>
      </w:r>
      <w:r>
        <w:t xml:space="preserve">limits</w:t>
      </w:r>
      <w:r>
        <w:t xml:space="preserve">’</w:t>
      </w:r>
      <w:r>
        <w:t xml:space="preserve">), for the limits of fallibilism. Apel grounds the limit twice on that page, in the fallibilist’s own advancing of his argument and in the semantic presuppositions of the term</w:t>
      </w:r>
      <w:r>
        <w:t xml:space="preserve"> </w:t>
      </w:r>
      <w:r>
        <w:rPr>
          <w:iCs/>
          <w:i/>
        </w:rPr>
        <w:t xml:space="preserve">fallibilism</w:t>
      </w:r>
      <w:r>
        <w:t xml:space="preserve">; the second is cognate with the meaning-critical objection constructed at Chapter Three §3.2.2.</w:t>
      </w:r>
    </w:p>
  </w:footnote>
  <w:footnote w:id="131">
    <w:p>
      <w:pPr>
        <w:pStyle w:val="FootnoteText"/>
      </w:pPr>
      <w:r>
        <w:rPr>
          <w:rStyle w:val="FootnoteReference"/>
        </w:rPr>
        <w:footnoteRef/>
      </w:r>
      <w:r>
        <w:t xml:space="preserve"> </w:t>
      </w:r>
      <w:r>
        <w:t xml:space="preserve">Apel,</w:t>
      </w:r>
      <w:r>
        <w:t xml:space="preserve"> </w:t>
      </w:r>
      <w:r>
        <w:t xml:space="preserve">‘</w:t>
      </w:r>
      <w:r>
        <w:t xml:space="preserve">Kann der postkantische Standpunkt der Moralität noch einmal in substantielle Sittlichkeit</w:t>
      </w:r>
      <w:r>
        <w:t xml:space="preserve"> </w:t>
      </w:r>
      <w:r>
        <w:t xml:space="preserve">“</w:t>
      </w:r>
      <w:r>
        <w:t xml:space="preserve">aufgehoben</w:t>
      </w:r>
      <w:r>
        <w:t xml:space="preserve">”</w:t>
      </w:r>
      <w:r>
        <w:t xml:space="preserve"> </w:t>
      </w:r>
      <w:r>
        <w:t xml:space="preserve">werden?</w:t>
      </w:r>
      <w:r>
        <w:t xml:space="preserve">’</w:t>
      </w:r>
      <w:r>
        <w:t xml:space="preserve"> </w:t>
      </w:r>
      <w:r>
        <w:t xml:space="preserve">(1986), DV 103–53, at 111–13 n. 12, for the correspondence with Habermas’s position, the note naming</w:t>
      </w:r>
      <w:r>
        <w:t xml:space="preserve"> </w:t>
      </w:r>
      <w:r>
        <w:t xml:space="preserve">‘</w:t>
      </w:r>
      <w:r>
        <w:t xml:space="preserve">Was heißt Universalpragmatik?</w:t>
      </w:r>
      <w:r>
        <w:t xml:space="preserve">’</w:t>
      </w:r>
      <w:r>
        <w:t xml:space="preserve"> </w:t>
      </w:r>
      <w:r>
        <w:t xml:space="preserve">and</w:t>
      </w:r>
      <w:r>
        <w:t xml:space="preserve"> </w:t>
      </w:r>
      <w:r>
        <w:t xml:space="preserve">‘</w:t>
      </w:r>
      <w:r>
        <w:t xml:space="preserve">Diskursethik — Notizen zu einem Begründungsprogramm</w:t>
      </w:r>
      <w:r>
        <w:t xml:space="preserve">’</w:t>
      </w:r>
      <w:r>
        <w:t xml:space="preserve">, for the unintelligibility of an empirical testing, the self-correction and the half-empirical arguments, the last phrase running over a page break; DV 112 n. 12 also carries the regress which the self-applicable thesis must co-intend,</w:t>
      </w:r>
      <w:r>
        <w:t xml:space="preserve"> </w:t>
      </w:r>
      <w:r>
        <w:t xml:space="preserve">‘</w:t>
      </w:r>
      <w:r>
        <w:t xml:space="preserve">daß es nicht sicher ist, daß alles unsicher ist, und das erstere auch nicht usw. ad infinitum</w:t>
      </w:r>
      <w:r>
        <w:t xml:space="preserve">’</w:t>
      </w:r>
      <w:r>
        <w:t xml:space="preserve">. The renderings are the chapter’s.</w:t>
      </w:r>
    </w:p>
  </w:footnote>
  <w:footnote w:id="132">
    <w:p>
      <w:pPr>
        <w:pStyle w:val="FootnoteText"/>
      </w:pPr>
      <w:r>
        <w:rPr>
          <w:rStyle w:val="FootnoteReference"/>
        </w:rPr>
        <w:footnoteRef/>
      </w:r>
      <w:r>
        <w:t xml:space="preserve"> </w:t>
      </w:r>
      <w:r>
        <w:t xml:space="preserve">SE2 195–96, in</w:t>
      </w:r>
      <w:r>
        <w:t xml:space="preserve"> </w:t>
      </w:r>
      <w:r>
        <w:t xml:space="preserve">‘</w:t>
      </w:r>
      <w:r>
        <w:t xml:space="preserve">Limits of Discourse Ethics? An Attempt at a Provisional Assessment</w:t>
      </w:r>
      <w:r>
        <w:t xml:space="preserve">’</w:t>
      </w:r>
      <w:r>
        <w:t xml:space="preserve"> </w:t>
      </w:r>
      <w:r>
        <w:t xml:space="preserve">(SE2 192–218; German 1986), trans. Eduardo Mendieta, the German being</w:t>
      </w:r>
      <w:r>
        <w:t xml:space="preserve"> </w:t>
      </w:r>
      <w:r>
        <w:t xml:space="preserve">‘</w:t>
      </w:r>
      <w:r>
        <w:t xml:space="preserve">Grenzen der Diskursethik?</w:t>
      </w:r>
      <w:r>
        <w:t xml:space="preserve">’</w:t>
      </w:r>
      <w:r>
        <w:t xml:space="preserve">,</w:t>
      </w:r>
      <w:r>
        <w:t xml:space="preserve"> </w:t>
      </w:r>
      <w:r>
        <w:rPr>
          <w:iCs/>
          <w:i/>
        </w:rPr>
        <w:t xml:space="preserve">Zeitschrift für philosophische Forschung</w:t>
      </w:r>
      <w:r>
        <w:t xml:space="preserve"> </w:t>
      </w:r>
      <w:r>
        <w:t xml:space="preserve">40 (1986), 3–31; SE2 196 adds that discourse ethics</w:t>
      </w:r>
      <w:r>
        <w:t xml:space="preserve"> </w:t>
      </w:r>
      <w:r>
        <w:t xml:space="preserve">‘</w:t>
      </w:r>
      <w:r>
        <w:t xml:space="preserve">must presuppose not only an epistemological but also an ethical-normative principle in order to prove fallible norms, which itself can not be fallible</w:t>
      </w:r>
      <w:r>
        <w:t xml:space="preserve">’</w:t>
      </w:r>
      <w:r>
        <w:t xml:space="preserve">. Chapter Three §3.1.3 reads SE2 196–97 of the same essay.</w:t>
      </w:r>
    </w:p>
  </w:footnote>
  <w:footnote w:id="133">
    <w:p>
      <w:pPr>
        <w:pStyle w:val="FootnoteText"/>
      </w:pPr>
      <w:r>
        <w:rPr>
          <w:rStyle w:val="FootnoteReference"/>
        </w:rPr>
        <w:footnoteRef/>
      </w:r>
      <w:r>
        <w:t xml:space="preserve"> </w:t>
      </w:r>
      <w:r>
        <w:t xml:space="preserve">Apel,</w:t>
      </w:r>
      <w:r>
        <w:t xml:space="preserve"> </w:t>
      </w:r>
      <w:r>
        <w:t xml:space="preserve">‘</w:t>
      </w:r>
      <w:r>
        <w:t xml:space="preserve">Normatively Grounding</w:t>
      </w:r>
      <w:r>
        <w:t xml:space="preserve"> </w:t>
      </w:r>
      <w:r>
        <w:t xml:space="preserve">“</w:t>
      </w:r>
      <w:r>
        <w:t xml:space="preserve">Critical Theory</w:t>
      </w:r>
      <w:r>
        <w:t xml:space="preserve">”</w:t>
      </w:r>
      <w:r>
        <w:t xml:space="preserve"> </w:t>
      </w:r>
      <w:r>
        <w:t xml:space="preserve">through Recourse to the Lifeworld? A Transcendental-Pragmatic Attempt to Think with Habermas against Habermas</w:t>
      </w:r>
      <w:r>
        <w:t xml:space="preserve">’</w:t>
      </w:r>
      <w:r>
        <w:t xml:space="preserve">, trans. William Rehg, in Axel Honneth, Thomas McCarthy, Claus Offe and Albrecht Wellmer (eds),</w:t>
      </w:r>
      <w:r>
        <w:t xml:space="preserve"> </w:t>
      </w:r>
      <w:r>
        <w:rPr>
          <w:iCs/>
          <w:i/>
        </w:rPr>
        <w:t xml:space="preserve">Philosophical Interventions in the Unfinished Project of Enlightenment</w:t>
      </w:r>
      <w:r>
        <w:t xml:space="preserve"> </w:t>
      </w:r>
      <w:r>
        <w:t xml:space="preserve">(Cambridge, MA: MIT Press, 1992), 125–70, at 128 for the four clauses quoted, the German first printed in</w:t>
      </w:r>
      <w:r>
        <w:t xml:space="preserve"> </w:t>
      </w:r>
      <w:r>
        <w:rPr>
          <w:iCs/>
          <w:i/>
        </w:rPr>
        <w:t xml:space="preserve">Zwischenbetrachtungen im Prozeß der Aufklärung</w:t>
      </w:r>
      <w:r>
        <w:t xml:space="preserve"> </w:t>
      </w:r>
      <w:r>
        <w:t xml:space="preserve">(Frankfurt am Main: Suhrkamp, 1989), 15–65; 143 for the counter-proposal that universal-pragmatic statements be tested</w:t>
      </w:r>
      <w:r>
        <w:t xml:space="preserve"> </w:t>
      </w:r>
      <w:r>
        <w:t xml:space="preserve">‘</w:t>
      </w:r>
      <w:r>
        <w:t xml:space="preserve">according to whether they can be disputed without performative self-contradiction</w:t>
      </w:r>
      <w:r>
        <w:t xml:space="preserve">’</w:t>
      </w:r>
      <w:r>
        <w:t xml:space="preserve">. The same essay’s argument from two classes of statements is read at Chapter One §1.6.2.</w:t>
      </w:r>
    </w:p>
  </w:footnote>
  <w:footnote w:id="134">
    <w:p>
      <w:pPr>
        <w:pStyle w:val="FootnoteText"/>
      </w:pPr>
      <w:r>
        <w:rPr>
          <w:rStyle w:val="FootnoteReference"/>
        </w:rPr>
        <w:footnoteRef/>
      </w:r>
      <w:r>
        <w:t xml:space="preserve"> </w:t>
      </w:r>
      <w:r>
        <w:t xml:space="preserve">‘</w:t>
      </w:r>
      <w:r>
        <w:t xml:space="preserve">Normatively Grounding</w:t>
      </w:r>
      <w:r>
        <w:t xml:space="preserve"> </w:t>
      </w:r>
      <w:r>
        <w:t xml:space="preserve">“</w:t>
      </w:r>
      <w:r>
        <w:t xml:space="preserve">Critical Theory</w:t>
      </w:r>
      <w:r>
        <w:t xml:space="preserve">”</w:t>
      </w:r>
      <w:r>
        <w:t xml:space="preserve">’</w:t>
      </w:r>
      <w:r>
        <w:t xml:space="preserve">, 163–64 n. 9, for the explication of the fallibilism proviso found</w:t>
      </w:r>
      <w:r>
        <w:t xml:space="preserve"> </w:t>
      </w:r>
      <w:r>
        <w:t xml:space="preserve">‘</w:t>
      </w:r>
      <w:r>
        <w:t xml:space="preserve">unclear in his Reply</w:t>
      </w:r>
      <w:r>
        <w:t xml:space="preserve">’</w:t>
      </w:r>
      <w:r>
        <w:t xml:space="preserve">, for the meaning-critical argument, for the sentence on infallibility, and for the question quoted; the sentence of Habermas which Apel quotes stands in</w:t>
      </w:r>
      <w:r>
        <w:t xml:space="preserve"> </w:t>
      </w:r>
      <w:r>
        <w:t xml:space="preserve">‘</w:t>
      </w:r>
      <w:r>
        <w:t xml:space="preserve">A Reply</w:t>
      </w:r>
      <w:r>
        <w:t xml:space="preserve">’</w:t>
      </w:r>
      <w:r>
        <w:t xml:space="preserve">, in Axel Honneth and Hans Joas (eds),</w:t>
      </w:r>
      <w:r>
        <w:t xml:space="preserve"> </w:t>
      </w:r>
      <w:r>
        <w:rPr>
          <w:iCs/>
          <w:i/>
        </w:rPr>
        <w:t xml:space="preserve">Communicative Action: Essays on Jürgen Habermas’s The Theory of Communicative Action</w:t>
      </w:r>
      <w:r>
        <w:t xml:space="preserve">, trans. Jeremy Gaines and Doris L. Jones (Cambridge, MA: MIT Press, 1991), 214–64, at 231, and is quoted as Apel quotes it. The note refers the difference in principle between classes of statements to Wolfgang Kuhlmann,</w:t>
      </w:r>
      <w:r>
        <w:t xml:space="preserve"> </w:t>
      </w:r>
      <w:r>
        <w:t xml:space="preserve">‘</w:t>
      </w:r>
      <w:r>
        <w:t xml:space="preserve">Philosophie und rekonstruktive Wissenschaft</w:t>
      </w:r>
      <w:r>
        <w:t xml:space="preserve">’</w:t>
      </w:r>
      <w:r>
        <w:t xml:space="preserve">,</w:t>
      </w:r>
      <w:r>
        <w:t xml:space="preserve"> </w:t>
      </w:r>
      <w:r>
        <w:rPr>
          <w:iCs/>
          <w:i/>
        </w:rPr>
        <w:t xml:space="preserve">Zeitschrift für philosophische Forschung</w:t>
      </w:r>
      <w:r>
        <w:t xml:space="preserve"> </w:t>
      </w:r>
      <w:r>
        <w:t xml:space="preserve">40 (1986), 224–34.</w:t>
      </w:r>
    </w:p>
  </w:footnote>
  <w:footnote w:id="135">
    <w:p>
      <w:pPr>
        <w:pStyle w:val="FootnoteText"/>
      </w:pPr>
      <w:r>
        <w:rPr>
          <w:rStyle w:val="FootnoteReference"/>
        </w:rPr>
        <w:footnoteRef/>
      </w:r>
      <w:r>
        <w:t xml:space="preserve"> </w:t>
      </w:r>
      <w:r>
        <w:t xml:space="preserve">JA 82 for the three phrases quoted, JA 83 for the hierarchical gradation and JA 84 for the conclusion, in</w:t>
      </w:r>
      <w:r>
        <w:t xml:space="preserve"> </w:t>
      </w:r>
      <w:r>
        <w:t xml:space="preserve">‘</w:t>
      </w:r>
      <w:r>
        <w:t xml:space="preserve">Remarks on Discourse Ethics</w:t>
      </w:r>
      <w:r>
        <w:t xml:space="preserve">’</w:t>
      </w:r>
      <w:r>
        <w:t xml:space="preserve"> </w:t>
      </w:r>
      <w:r>
        <w:t xml:space="preserve">(JA 19–111); EzD 192–93 for the German,</w:t>
      </w:r>
      <w:r>
        <w:t xml:space="preserve"> </w:t>
      </w:r>
      <w:r>
        <w:t xml:space="preserve">‘</w:t>
      </w:r>
      <w:r>
        <w:t xml:space="preserve">die, selber infallibel, die Voraussetzungen des Fallibilismusprinzips erklärt</w:t>
      </w:r>
      <w:r>
        <w:t xml:space="preserve">’</w:t>
      </w:r>
      <w:r>
        <w:t xml:space="preserve">,</w:t>
      </w:r>
      <w:r>
        <w:t xml:space="preserve"> </w:t>
      </w:r>
      <w:r>
        <w:t xml:space="preserve">‘</w:t>
      </w:r>
      <w:r>
        <w:t xml:space="preserve">einen auf die transzendentale Bedingungsanalyse geschrumpften Restfundamentalismus</w:t>
      </w:r>
      <w:r>
        <w:t xml:space="preserve">’</w:t>
      </w:r>
      <w:r>
        <w:t xml:space="preserve">,</w:t>
      </w:r>
      <w:r>
        <w:t xml:space="preserve"> </w:t>
      </w:r>
      <w:r>
        <w:t xml:space="preserve">‘</w:t>
      </w:r>
      <w:r>
        <w:t xml:space="preserve">zum letzten Hort von Gewißheiten, die … sonst nicht mehr zu haben sind</w:t>
      </w:r>
      <w:r>
        <w:t xml:space="preserve">’</w:t>
      </w:r>
      <w:r>
        <w:t xml:space="preserve">, the ellipsis standing for the phrase the body quotes, and</w:t>
      </w:r>
      <w:r>
        <w:t xml:space="preserve"> </w:t>
      </w:r>
      <w:r>
        <w:t xml:space="preserve">‘</w:t>
      </w:r>
      <w:r>
        <w:t xml:space="preserve">eine hierarchische Aufstufung von Diskursen mit »geborenen« Metadiskursen</w:t>
      </w:r>
      <w:r>
        <w:t xml:space="preserve">’</w:t>
      </w:r>
      <w:r>
        <w:t xml:space="preserve">; EzD 195 for</w:t>
      </w:r>
      <w:r>
        <w:t xml:space="preserve"> </w:t>
      </w:r>
      <w:r>
        <w:t xml:space="preserve">‘</w:t>
      </w:r>
      <w:r>
        <w:t xml:space="preserve">weder möglich noch nötig</w:t>
      </w:r>
      <w:r>
        <w:t xml:space="preserve">’</w:t>
      </w:r>
      <w:r>
        <w:t xml:space="preserve">. Habermas’s source for Apel’s view at JA 82 is an unpublished manuscript of 1991 (JA 182 n. 70), and his n. 74 at JA 84 refers the reply on universalism to the essay of 1989 cited in the preceding notes. The observation of a single point of contact between the reply and the note of 1989 is the chapter’s.</w:t>
      </w:r>
    </w:p>
  </w:footnote>
  <w:footnote w:id="136">
    <w:p>
      <w:pPr>
        <w:pStyle w:val="FootnoteText"/>
      </w:pPr>
      <w:r>
        <w:rPr>
          <w:rStyle w:val="FootnoteReference"/>
        </w:rPr>
        <w:footnoteRef/>
      </w:r>
      <w:r>
        <w:t xml:space="preserve"> </w:t>
      </w:r>
      <w:r>
        <w:t xml:space="preserve">MCCA 81 for the credit, in the sentence Chapter Three §3.2.3 displays; MCCA 96 for the diagnosis, the same page crediting Apel with the change of paradigm the diagnosis charges him with abandoning; FTSPV 21 for Apel’s disclaimer, which Chapter Three §3.2.4 displays with its continuation.</w:t>
      </w:r>
    </w:p>
  </w:footnote>
  <w:footnote w:id="137">
    <w:p>
      <w:pPr>
        <w:pStyle w:val="FootnoteText"/>
      </w:pPr>
      <w:r>
        <w:rPr>
          <w:rStyle w:val="FootnoteReference"/>
        </w:rPr>
        <w:footnoteRef/>
      </w:r>
      <w:r>
        <w:t xml:space="preserve"> </w:t>
      </w:r>
      <w:r>
        <w:t xml:space="preserve">BNR 88 for the sentence quoted and for the nondeductive model followed; BNR 97 for the status of the transcendental-pragmatic argument and for the sentence on facets; both in</w:t>
      </w:r>
      <w:r>
        <w:t xml:space="preserve"> </w:t>
      </w:r>
      <w:r>
        <w:t xml:space="preserve">‘</w:t>
      </w:r>
      <w:r>
        <w:t xml:space="preserve">On the Architectonics of Discursive Differentiation: A Brief Response to a Major Controversy</w:t>
      </w:r>
      <w:r>
        <w:t xml:space="preserve">’</w:t>
      </w:r>
      <w:r>
        <w:t xml:space="preserve"> </w:t>
      </w:r>
      <w:r>
        <w:t xml:space="preserve">(2003). Habermas’s sentence is a conditional and denies that the argument, in the role Apel accords it, is an argument at all; the reading of the conditional as preparing the concession to Derrida is proposed at §2.3.3.</w:t>
      </w:r>
    </w:p>
  </w:footnote>
  <w:footnote w:id="138">
    <w:p>
      <w:pPr>
        <w:pStyle w:val="FootnoteText"/>
      </w:pPr>
      <w:r>
        <w:rPr>
          <w:rStyle w:val="FootnoteReference"/>
        </w:rPr>
        <w:footnoteRef/>
      </w:r>
      <w:r>
        <w:t xml:space="preserve"> </w:t>
      </w:r>
      <w:r>
        <w:t xml:space="preserve">PSC 636 for Peirce’s triadic relation. The reading that the refusal is a refusal of the inference and not of the unavailability of an exterior is a reading. Habermas describes Peirce’s semiotics as taking</w:t>
      </w:r>
      <w:r>
        <w:t xml:space="preserve"> </w:t>
      </w:r>
      <w:r>
        <w:t xml:space="preserve">‘</w:t>
      </w:r>
      <w:r>
        <w:t xml:space="preserve">as its starting point the triadic relation of the sign to the designated object and to the interpreter</w:t>
      </w:r>
      <w:r>
        <w:t xml:space="preserve">’</w:t>
      </w:r>
      <w:r>
        <w:t xml:space="preserve">.</w:t>
      </w:r>
    </w:p>
  </w:footnote>
  <w:footnote w:id="140">
    <w:p>
      <w:pPr>
        <w:pStyle w:val="FootnoteText"/>
      </w:pPr>
      <w:r>
        <w:rPr>
          <w:rStyle w:val="FootnoteReference"/>
        </w:rPr>
        <w:footnoteRef/>
      </w:r>
      <w:r>
        <w:t xml:space="preserve"> </w:t>
      </w:r>
      <w:r>
        <w:t xml:space="preserve">MCCA 32 and 98 for the corroboration thesis. The differentiated reply is not drawn from Habermas: the second limb conceded under a restriction, the first met by the two registers though not by the letter of the programme, the third taken at its methodological face. The claim that the two offices are separated by finality against provisionality, and not by manner, is argued at §2.1 above.</w:t>
      </w:r>
    </w:p>
  </w:footnote>
  <w:footnote w:id="141">
    <w:p>
      <w:pPr>
        <w:pStyle w:val="FootnoteText"/>
      </w:pPr>
      <w:r>
        <w:rPr>
          <w:rStyle w:val="FootnoteReference"/>
        </w:rPr>
        <w:footnoteRef/>
      </w:r>
      <w:r>
        <w:t xml:space="preserve"> </w:t>
      </w:r>
      <w:r>
        <w:t xml:space="preserve">TCA I 9, quoted directly:</w:t>
      </w:r>
      <w:r>
        <w:t xml:space="preserve"> </w:t>
      </w:r>
      <w:r>
        <w:t xml:space="preserve">‘</w:t>
      </w:r>
      <w:r>
        <w:t xml:space="preserve">An expression satisfies the precondition for rationality if and insofar as it embodies fallible knowledge and… is open to objective judgment.</w:t>
      </w:r>
      <w:r>
        <w:t xml:space="preserve">’</w:t>
      </w:r>
      <w:r>
        <w:t xml:space="preserve"> </w:t>
      </w:r>
      <w:r>
        <w:t xml:space="preserve">TCA I 11, quoted directly:</w:t>
      </w:r>
      <w:r>
        <w:t xml:space="preserve"> </w:t>
      </w:r>
      <w:r>
        <w:t xml:space="preserve">‘</w:t>
      </w:r>
      <w:r>
        <w:t xml:space="preserve">It is constitutive of the rationality of the utterance that the speaker raises a criticizable validity claim for the proposition p, a claim that the hearer can accept or reject for good reason.</w:t>
      </w:r>
      <w:r>
        <w:t xml:space="preserve">’</w:t>
      </w:r>
      <w:r>
        <w:t xml:space="preserve"> </w:t>
      </w:r>
      <w:r>
        <w:t xml:space="preserve">Both stand at the opening of the work, before either term is glossed separately. The claim that the two are given as one thesis is a reading of the juxtaposition, and is what the remainder of the section tests.</w:t>
      </w:r>
    </w:p>
  </w:footnote>
  <w:footnote w:id="142">
    <w:p>
      <w:pPr>
        <w:pStyle w:val="FootnoteText"/>
      </w:pPr>
      <w:r>
        <w:rPr>
          <w:rStyle w:val="FootnoteReference"/>
        </w:rPr>
        <w:footnoteRef/>
      </w:r>
      <w:r>
        <w:t xml:space="preserve"> </w:t>
      </w:r>
      <w:r>
        <w:rPr>
          <w:iCs/>
          <w:i/>
        </w:rPr>
        <w:t xml:space="preserve">Auch eine Geschichte der Philosophie</w:t>
      </w:r>
      <w:r>
        <w:t xml:space="preserve">, Bd. II, 828, in the</w:t>
      </w:r>
      <w:r>
        <w:t xml:space="preserve"> </w:t>
      </w:r>
      <w:r>
        <w:rPr>
          <w:iCs/>
          <w:i/>
        </w:rPr>
        <w:t xml:space="preserve">Nachwort zur Taschenbuchausgabe</w:t>
      </w:r>
      <w:r>
        <w:t xml:space="preserve"> </w:t>
      </w:r>
      <w:r>
        <w:t xml:space="preserve">of 2022, the sentence opening</w:t>
      </w:r>
      <w:r>
        <w:t xml:space="preserve"> </w:t>
      </w:r>
      <w:r>
        <w:t xml:space="preserve">‘</w:t>
      </w:r>
      <w:r>
        <w:t xml:space="preserve">Die Detranszendentalisierung der kantischen Moraltheorie bedeutet aber darüber hinaus auch noch den Verzicht auf die epistemische Kraft von a priori einsichtigen Gründen und das heißt …</w:t>
      </w:r>
      <w:r>
        <w:t xml:space="preserve">’</w:t>
      </w:r>
      <w:r>
        <w:t xml:space="preserve"> </w:t>
      </w:r>
      <w:r>
        <w:t xml:space="preserve">and closing in the phrase the body quotes. The rendering and the reading of its scope are the chapter’s.</w:t>
      </w:r>
    </w:p>
  </w:footnote>
  <w:footnote w:id="143">
    <w:p>
      <w:pPr>
        <w:pStyle w:val="FootnoteText"/>
      </w:pPr>
      <w:r>
        <w:rPr>
          <w:rStyle w:val="FootnoteReference"/>
        </w:rPr>
        <w:footnoteRef/>
      </w:r>
      <w:r>
        <w:t xml:space="preserve"> </w:t>
      </w:r>
      <w:r>
        <w:t xml:space="preserve">Apel,</w:t>
      </w:r>
      <w:r>
        <w:t xml:space="preserve"> </w:t>
      </w:r>
      <w:r>
        <w:rPr>
          <w:iCs/>
          <w:i/>
        </w:rPr>
        <w:t xml:space="preserve">Diskurs und Verantwortung: Das Problem des Übergangs zur postkonventionellen Moral</w:t>
      </w:r>
      <w:r>
        <w:t xml:space="preserve"> </w:t>
      </w:r>
      <w:r>
        <w:t xml:space="preserve">(Frankfurt am Main: Suhrkamp, 1988), cited in the German. The designation of</w:t>
      </w:r>
      <w:r>
        <w:t xml:space="preserve"> </w:t>
      </w:r>
      <w:r>
        <w:rPr>
          <w:iCs/>
          <w:i/>
        </w:rPr>
        <w:t xml:space="preserve">Teil B</w:t>
      </w:r>
      <w:r>
        <w:t xml:space="preserve"> </w:t>
      </w:r>
      <w:r>
        <w:t xml:space="preserve">as a</w:t>
      </w:r>
      <w:r>
        <w:t xml:space="preserve"> </w:t>
      </w:r>
      <w:r>
        <w:rPr>
          <w:iCs/>
          <w:i/>
        </w:rPr>
        <w:t xml:space="preserve">Begründungsteil</w:t>
      </w:r>
      <w:r>
        <w:t xml:space="preserve">, and its distinction from the familiar application problem of moral norms, stand in the preface, DV 11. The canonical statement of the division stands at 134:</w:t>
      </w:r>
      <w:r>
        <w:t xml:space="preserve"> </w:t>
      </w:r>
      <w:r>
        <w:t xml:space="preserve">‘</w:t>
      </w:r>
      <w:r>
        <w:t xml:space="preserve">Während in Teil A der Ethik — gemäß der Intention einer transzendentalpragmatischen Letztbegründung — das Prinzip der Ethik in dem, vom Argumentierenden unbestreitbar vorausgesetzten und kontrafaktisch antizipierten Ideal einer idealen Kommunikationsgemeinschaft festgemacht sein muß, stellt sich im Teil B die Aufgabe, den kontrafaktischen Charakter der gleichwohl notwendigen Antizipation des Ideals als Problem einer geschichtsbezogenen Verantwortungsethik eigens zu berücksichtigen.</w:t>
      </w:r>
      <w:r>
        <w:t xml:space="preserve">’</w:t>
      </w:r>
      <w:r>
        <w:t xml:space="preserve"> </w:t>
      </w:r>
      <w:r>
        <w:t xml:space="preserve">The English rendering in the body is made from the German for this chapter. Apel’s terms are</w:t>
      </w:r>
      <w:r>
        <w:t xml:space="preserve"> </w:t>
      </w:r>
      <w:r>
        <w:rPr>
          <w:iCs/>
          <w:i/>
        </w:rPr>
        <w:t xml:space="preserve">Teil A</w:t>
      </w:r>
      <w:r>
        <w:t xml:space="preserve">/</w:t>
      </w:r>
      <w:r>
        <w:rPr>
          <w:iCs/>
          <w:i/>
        </w:rPr>
        <w:t xml:space="preserve">Teil B</w:t>
      </w:r>
      <w:r>
        <w:t xml:space="preserve"> </w:t>
      </w:r>
      <w:r>
        <w:t xml:space="preserve">and</w:t>
      </w:r>
      <w:r>
        <w:t xml:space="preserve"> </w:t>
      </w:r>
      <w:r>
        <w:rPr>
          <w:iCs/>
          <w:i/>
        </w:rPr>
        <w:t xml:space="preserve">Begründungsteil A</w:t>
      </w:r>
      <w:r>
        <w:t xml:space="preserve">/</w:t>
      </w:r>
      <w:r>
        <w:rPr>
          <w:iCs/>
          <w:i/>
        </w:rPr>
        <w:t xml:space="preserve">Begründungsteil B</w:t>
      </w:r>
      <w:r>
        <w:t xml:space="preserve">.</w:t>
      </w:r>
    </w:p>
  </w:footnote>
  <w:footnote w:id="144">
    <w:p>
      <w:pPr>
        <w:pStyle w:val="FootnoteText"/>
      </w:pPr>
      <w:r>
        <w:rPr>
          <w:rStyle w:val="FootnoteReference"/>
        </w:rPr>
        <w:footnoteRef/>
      </w:r>
      <w:r>
        <w:t xml:space="preserve"> </w:t>
      </w:r>
      <w:r>
        <w:rPr>
          <w:iCs/>
          <w:i/>
        </w:rPr>
        <w:t xml:space="preserve">Understanding and Explanation</w:t>
      </w:r>
      <w:r>
        <w:t xml:space="preserve">, 91, running to 92, in the discussion which follows the reply to Stroud, displayed at Chapter Three §3.3.2:</w:t>
      </w:r>
      <w:r>
        <w:t xml:space="preserve"> </w:t>
      </w:r>
      <w:r>
        <w:t xml:space="preserve">‘</w:t>
      </w:r>
      <w:r>
        <w:t xml:space="preserve">With regard to von Wright’s discussion of the certainty of the margin of freedom in experimental action, we cannot, of course, secure the certainty of a transcendental-pragmatic reflection that has the same quality of not-being-able-to-be-gone-behind, as we can in the case of the existence of language.</w:t>
      </w:r>
      <w:r>
        <w:t xml:space="preserve">’</w:t>
      </w:r>
      <w:r>
        <w:t xml:space="preserve"> </w:t>
      </w:r>
      <w:r>
        <w:t xml:space="preserve">The withholding is entered by Apel in his own voice.</w:t>
      </w:r>
    </w:p>
  </w:footnote>
  <w:footnote w:id="145">
    <w:p>
      <w:pPr>
        <w:pStyle w:val="FootnoteText"/>
      </w:pPr>
      <w:r>
        <w:rPr>
          <w:rStyle w:val="FootnoteReference"/>
        </w:rPr>
        <w:footnoteRef/>
      </w:r>
      <w:r>
        <w:t xml:space="preserve"> </w:t>
      </w:r>
      <w:r>
        <w:t xml:space="preserve">MCCA 32, for the three characteristics and the connective. The three characteristics are given in Habermas’s wording; the emphasis upon</w:t>
      </w:r>
      <w:r>
        <w:t xml:space="preserve"> </w:t>
      </w:r>
      <w:r>
        <w:t xml:space="preserve">‘</w:t>
      </w:r>
      <w:r>
        <w:t xml:space="preserve">for this reason</w:t>
      </w:r>
      <w:r>
        <w:t xml:space="preserve">’</w:t>
      </w:r>
      <w:r>
        <w:t xml:space="preserve"> </w:t>
      </w:r>
      <w:r>
        <w:t xml:space="preserve">is added. The reading that the connective shows C3 to be a warning and no conclusion is the one proposed of the passage, and it is offered as corroboration of a thesis established independently by the two preceding arguments, the sentence which the connective governs following one which names the temptation to ultimate justification.</w:t>
      </w:r>
    </w:p>
  </w:footnote>
  <w:footnote w:id="146">
    <w:p>
      <w:pPr>
        <w:pStyle w:val="FootnoteText"/>
      </w:pPr>
      <w:r>
        <w:rPr>
          <w:rStyle w:val="FootnoteReference"/>
        </w:rPr>
        <w:footnoteRef/>
      </w:r>
      <w:r>
        <w:t xml:space="preserve"> </w:t>
      </w:r>
      <w:r>
        <w:t xml:space="preserve">Kuhlmann,</w:t>
      </w:r>
      <w:r>
        <w:t xml:space="preserve"> </w:t>
      </w:r>
      <w:r>
        <w:rPr>
          <w:iCs/>
          <w:i/>
        </w:rPr>
        <w:t xml:space="preserve">Reflexive Letztbegründung</w:t>
      </w:r>
      <w:r>
        <w:t xml:space="preserve"> </w:t>
      </w:r>
      <w:r>
        <w:t xml:space="preserve">(n. 87); Apel,</w:t>
      </w:r>
      <w:r>
        <w:t xml:space="preserve"> </w:t>
      </w:r>
      <w:r>
        <w:t xml:space="preserve">‘</w:t>
      </w:r>
      <w:r>
        <w:t xml:space="preserve">Fallibilismus, Konsenstheorie der Wahrheit und Letztbegründung</w:t>
      </w:r>
      <w:r>
        <w:t xml:space="preserve">’</w:t>
      </w:r>
      <w:r>
        <w:t xml:space="preserve">, in</w:t>
      </w:r>
      <w:r>
        <w:t xml:space="preserve"> </w:t>
      </w:r>
      <w:r>
        <w:rPr>
          <w:iCs/>
          <w:i/>
        </w:rPr>
        <w:t xml:space="preserve">Philosophie und Begründung</w:t>
      </w:r>
      <w:r>
        <w:t xml:space="preserve">, ed. Forum für Philosophie Bad Homburg (Frankfurt am Main: Suhrkamp, 1987), 116–211. The objection is stated as the controversy now stands, and no wording of either author is relied upon. The title of the essay of 1987 is itself evidence for the framing adopted below: fallibilism and ultimate justification are posed by Apel as the alternatives between which the yield-question decides.</w:t>
      </w:r>
    </w:p>
  </w:footnote>
  <w:footnote w:id="147">
    <w:p>
      <w:pPr>
        <w:pStyle w:val="FootnoteText"/>
      </w:pPr>
      <w:r>
        <w:rPr>
          <w:rStyle w:val="FootnoteReference"/>
        </w:rPr>
        <w:footnoteRef/>
      </w:r>
      <w:r>
        <w:t xml:space="preserve"> </w:t>
      </w:r>
      <w:r>
        <w:t xml:space="preserve">Heath 295 for the contrast the body reports in indirect discourse; and Heath 295–96, where Apel is charged with confusing the rules of discourse, which on Habermas’s account need no justification, with his own reconstruction of them, which does. The volume is Joseph Heath,</w:t>
      </w:r>
      <w:r>
        <w:t xml:space="preserve"> </w:t>
      </w:r>
      <w:r>
        <w:rPr>
          <w:iCs/>
          <w:i/>
        </w:rPr>
        <w:t xml:space="preserve">Communicative Action and Rational Choice</w:t>
      </w:r>
      <w:r>
        <w:t xml:space="preserve"> </w:t>
      </w:r>
      <w:r>
        <w:t xml:space="preserve">(Cambridge, MA: MIT Press, 2001) — a distinction cognate with the operative–propositional asymmetry, though Heath does not draw it in those terms. The primary-text anchors are two: Apel’s analysis of the rules of argumentation is offered as a transcendental-pragmatic grounding of the basic norm of ethics (TTP 277–78), which he identifies with a principle of universalisation in Habermas’s sense (DV 122), and Habermas holds that the obligatory meaning of the moral</w:t>
      </w:r>
      <w:r>
        <w:t xml:space="preserve"> </w:t>
      </w:r>
      <w:r>
        <w:t xml:space="preserve">‘</w:t>
      </w:r>
      <w:r>
        <w:t xml:space="preserve">ought</w:t>
      </w:r>
      <w:r>
        <w:t xml:space="preserve">’</w:t>
      </w:r>
      <w:r>
        <w:t xml:space="preserve"> </w:t>
      </w:r>
      <w:r>
        <w:t xml:space="preserve">cannot be derived from what participants must presuppose (PSC 630). The tracing to the yield-question is made in the body and is not Heath’s.</w:t>
      </w:r>
    </w:p>
  </w:footnote>
  <w:footnote w:id="148">
    <w:p>
      <w:pPr>
        <w:pStyle w:val="FootnoteText"/>
      </w:pPr>
      <w:r>
        <w:rPr>
          <w:rStyle w:val="FootnoteReference"/>
        </w:rPr>
        <w:footnoteRef/>
      </w:r>
      <w:r>
        <w:t xml:space="preserve"> </w:t>
      </w:r>
      <w:r>
        <w:t xml:space="preserve">The requirement, its naming at FTSPV 175 and its derivation from performative self-contradiction stand at §2.1.3 with their notes, where Apel’s alternative English,</w:t>
      </w:r>
      <w:r>
        <w:t xml:space="preserve"> </w:t>
      </w:r>
      <w:r>
        <w:t xml:space="preserve">‘</w:t>
      </w:r>
      <w:r>
        <w:t xml:space="preserve">self-matching-principle</w:t>
      </w:r>
      <w:r>
        <w:t xml:space="preserve">’</w:t>
      </w:r>
      <w:r>
        <w:t xml:space="preserve">, is also recorded. The application to the confutative method’s own employment is made in the body.</w:t>
      </w:r>
    </w:p>
  </w:footnote>
  <w:footnote w:id="151">
    <w:p>
      <w:pPr>
        <w:pStyle w:val="FootnoteText"/>
      </w:pPr>
      <w:r>
        <w:rPr>
          <w:rStyle w:val="FootnoteReference"/>
        </w:rPr>
        <w:footnoteRef/>
      </w:r>
      <w:r>
        <w:t xml:space="preserve"> </w:t>
      </w:r>
      <w:r>
        <w:t xml:space="preserve">Derrida,</w:t>
      </w:r>
      <w:r>
        <w:t xml:space="preserve"> </w:t>
      </w:r>
      <w:r>
        <w:rPr>
          <w:iCs/>
          <w:i/>
        </w:rPr>
        <w:t xml:space="preserve">Of Grammatology</w:t>
      </w:r>
      <w:r>
        <w:t xml:space="preserve">, trans. Gayatri Chakravorty Spivak (Baltimore, MD: Johns Hopkins University Press, 1976), Part I, in the Exergue which opens the book (3–5), at 3, for</w:t>
      </w:r>
      <w:r>
        <w:t xml:space="preserve"> </w:t>
      </w:r>
      <w:r>
        <w:t xml:space="preserve">‘</w:t>
      </w:r>
      <w:r>
        <w:t xml:space="preserve">logocentrism: the metaphysics of phonetic writing (for example, of the alphabet)</w:t>
      </w:r>
      <w:r>
        <w:t xml:space="preserve">’</w:t>
      </w:r>
      <w:r>
        <w:t xml:space="preserve">; the wording is reported as McCarthy reports it (</w:t>
      </w:r>
      <w:r>
        <w:rPr>
          <w:iCs/>
          <w:i/>
        </w:rPr>
        <w:t xml:space="preserve">Ideals and Illusions</w:t>
      </w:r>
      <w:r>
        <w:t xml:space="preserve">, 102, n. 23). The claim that practice too proceeds by iterable marks is the extension of the law of iterability to</w:t>
      </w:r>
      <w:r>
        <w:t xml:space="preserve"> </w:t>
      </w:r>
      <w:r>
        <w:t xml:space="preserve">‘</w:t>
      </w:r>
      <w:r>
        <w:t xml:space="preserve">all</w:t>
      </w:r>
      <w:r>
        <w:t xml:space="preserve"> </w:t>
      </w:r>
      <w:r>
        <w:t xml:space="preserve">“</w:t>
      </w:r>
      <w:r>
        <w:t xml:space="preserve">experience</w:t>
      </w:r>
      <w:r>
        <w:t xml:space="preserve">”</w:t>
      </w:r>
      <w:r>
        <w:t xml:space="preserve"> </w:t>
      </w:r>
      <w:r>
        <w:t xml:space="preserve">in general</w:t>
      </w:r>
      <w:r>
        <w:t xml:space="preserve">’</w:t>
      </w:r>
      <w:r>
        <w:t xml:space="preserve"> </w:t>
      </w:r>
      <w:r>
        <w:t xml:space="preserve">at</w:t>
      </w:r>
      <w:r>
        <w:t xml:space="preserve"> </w:t>
      </w:r>
      <w:r>
        <w:t xml:space="preserve">‘</w:t>
      </w:r>
      <w:r>
        <w:t xml:space="preserve">Signature Event Context</w:t>
      </w:r>
      <w:r>
        <w:t xml:space="preserve">’</w:t>
      </w:r>
      <w:r>
        <w:t xml:space="preserve">, in</w:t>
      </w:r>
      <w:r>
        <w:t xml:space="preserve"> </w:t>
      </w:r>
      <w:r>
        <w:rPr>
          <w:iCs/>
          <w:i/>
        </w:rPr>
        <w:t xml:space="preserve">Margins of Philosophy</w:t>
      </w:r>
      <w:r>
        <w:t xml:space="preserve">, trans. Alan Bass (Chicago: University of Chicago Press, 1982), 307–30 (SEC), at 318. The contrast between the two senses of the word is drawn here.</w:t>
      </w:r>
    </w:p>
  </w:footnote>
  <w:footnote w:id="152">
    <w:p>
      <w:pPr>
        <w:pStyle w:val="FootnoteText"/>
      </w:pPr>
      <w:r>
        <w:rPr>
          <w:rStyle w:val="FootnoteReference"/>
        </w:rPr>
        <w:footnoteRef/>
      </w:r>
      <w:r>
        <w:t xml:space="preserve"> </w:t>
      </w:r>
      <w:r>
        <w:t xml:space="preserve">Jacques Derrida,</w:t>
      </w:r>
      <w:r>
        <w:t xml:space="preserve"> </w:t>
      </w:r>
      <w:r>
        <w:rPr>
          <w:iCs/>
          <w:i/>
        </w:rPr>
        <w:t xml:space="preserve">Speech and Phenomena and Other Essays on Husserl’s Theory of Signs</w:t>
      </w:r>
      <w:r>
        <w:t xml:space="preserve">, trans. David B. Allison (Evanston: Northwestern University Press, 1973), chs 5–6, reported in indirect discourse. Habermas,</w:t>
      </w:r>
      <w:r>
        <w:t xml:space="preserve"> </w:t>
      </w:r>
      <w:r>
        <w:rPr>
          <w:iCs/>
          <w:i/>
        </w:rPr>
        <w:t xml:space="preserve">The Philosophical Discourse of Modernity: Twelve Lectures</w:t>
      </w:r>
      <w:r>
        <w:t xml:space="preserve">, trans. Frederick Lawrence (Cambridge, MA: MIT Press, 1987) (PDM), lecture VII,</w:t>
      </w:r>
      <w:r>
        <w:t xml:space="preserve"> </w:t>
      </w:r>
      <w:r>
        <w:t xml:space="preserve">‘</w:t>
      </w:r>
      <w:r>
        <w:t xml:space="preserve">Beyond a Temporalized Philosophy of Origins: Jacques Derrida’s Critique of Phonocentrism</w:t>
      </w:r>
      <w:r>
        <w:t xml:space="preserve">’</w:t>
      </w:r>
      <w:r>
        <w:t xml:space="preserve">, §II for the choice of target and §III for the sentence quoted, in which Habermas states what he calls Derrida’s central objection.</w:t>
      </w:r>
    </w:p>
  </w:footnote>
  <w:footnote w:id="153">
    <w:p>
      <w:pPr>
        <w:pStyle w:val="FootnoteText"/>
      </w:pPr>
      <w:r>
        <w:rPr>
          <w:rStyle w:val="FootnoteReference"/>
        </w:rPr>
        <w:footnoteRef/>
      </w:r>
      <w:r>
        <w:t xml:space="preserve"> </w:t>
      </w:r>
      <w:r>
        <w:t xml:space="preserve">SEC 315 for the two quoted sentences on the absence of the addressee and on the identity of the mark; 316 for the extension to the sender; 318 for the unity of the signifying form constituted only by its iterability; 320–21 for the sentence on the normal and the abnormal,</w:t>
      </w:r>
      <w:r>
        <w:t xml:space="preserve"> </w:t>
      </w:r>
      <w:r>
        <w:t xml:space="preserve">‘</w:t>
      </w:r>
      <w:r>
        <w:t xml:space="preserve">this iterability of the mark is not an accident or an anomaly, but is that (normal/abnormal) without which a mark could no longer even have a so-called</w:t>
      </w:r>
      <w:r>
        <w:t xml:space="preserve"> </w:t>
      </w:r>
      <w:r>
        <w:t xml:space="preserve">“</w:t>
      </w:r>
      <w:r>
        <w:t xml:space="preserve">normal</w:t>
      </w:r>
      <w:r>
        <w:t xml:space="preserve">”</w:t>
      </w:r>
      <w:r>
        <w:t xml:space="preserve"> </w:t>
      </w:r>
      <w:r>
        <w:t xml:space="preserve">functioning</w:t>
      </w:r>
      <w:r>
        <w:t xml:space="preserve">’</w:t>
      </w:r>
      <w:r>
        <w:t xml:space="preserve">; 326 for the intention which will never be completely present. The essay’s Austin section stands at 321–27, and its target is expressly</w:t>
      </w:r>
      <w:r>
        <w:t xml:space="preserve"> </w:t>
      </w:r>
      <w:r>
        <w:rPr>
          <w:iCs/>
          <w:i/>
        </w:rPr>
        <w:t xml:space="preserve">How to Do Things with Words</w:t>
      </w:r>
      <w:r>
        <w:t xml:space="preserve">.</w:t>
      </w:r>
    </w:p>
  </w:footnote>
  <w:footnote w:id="154">
    <w:p>
      <w:pPr>
        <w:pStyle w:val="FootnoteText"/>
      </w:pPr>
      <w:r>
        <w:rPr>
          <w:rStyle w:val="FootnoteReference"/>
        </w:rPr>
        <w:footnoteRef/>
      </w:r>
      <w:r>
        <w:t xml:space="preserve"> </w:t>
      </w:r>
      <w:r>
        <w:t xml:space="preserve">SEC 324–25 for Austin’s exclusion, quoted by Derrida from</w:t>
      </w:r>
      <w:r>
        <w:t xml:space="preserve"> </w:t>
      </w:r>
      <w:r>
        <w:rPr>
          <w:iCs/>
          <w:i/>
        </w:rPr>
        <w:t xml:space="preserve">How to Do Things with Words</w:t>
      </w:r>
      <w:r>
        <w:t xml:space="preserve">, 21–22, the italics on</w:t>
      </w:r>
      <w:r>
        <w:t xml:space="preserve"> </w:t>
      </w:r>
      <w:r>
        <w:t xml:space="preserve">‘</w:t>
      </w:r>
      <w:r>
        <w:t xml:space="preserve">not seriously</w:t>
      </w:r>
      <w:r>
        <w:t xml:space="preserve">’</w:t>
      </w:r>
      <w:r>
        <w:t xml:space="preserve"> </w:t>
      </w:r>
      <w:r>
        <w:t xml:space="preserve">marked by Derrida as his own; SEC 325 for the possibility to which every utterance is open and for the impure performative; SEC 326 for the coded or iterable statement, a performative being unable to succeed</w:t>
      </w:r>
      <w:r>
        <w:t xml:space="preserve"> </w:t>
      </w:r>
      <w:r>
        <w:t xml:space="preserve">‘</w:t>
      </w:r>
      <w:r>
        <w:t xml:space="preserve">if its formulation did not repeat a</w:t>
      </w:r>
      <w:r>
        <w:t xml:space="preserve"> </w:t>
      </w:r>
      <w:r>
        <w:t xml:space="preserve">“</w:t>
      </w:r>
      <w:r>
        <w:t xml:space="preserve">coded</w:t>
      </w:r>
      <w:r>
        <w:t xml:space="preserve">”</w:t>
      </w:r>
      <w:r>
        <w:t xml:space="preserve"> </w:t>
      </w:r>
      <w:r>
        <w:t xml:space="preserve">or iterable statement</w:t>
      </w:r>
      <w:r>
        <w:t xml:space="preserve">’</w:t>
      </w:r>
      <w:r>
        <w:t xml:space="preserve">, for the relative purity, for the differential typology — entered</w:t>
      </w:r>
      <w:r>
        <w:t xml:space="preserve"> </w:t>
      </w:r>
      <w:r>
        <w:t xml:space="preserve">‘</w:t>
      </w:r>
      <w:r>
        <w:t xml:space="preserve">supposing that this is a tenable project that can give rise to an exhaustive program, a question I am holding off on here</w:t>
      </w:r>
      <w:r>
        <w:t xml:space="preserve">’</w:t>
      </w:r>
      <w:r>
        <w:t xml:space="preserve"> </w:t>
      </w:r>
      <w:r>
        <w:t xml:space="preserve">— and for the place of intention. Austin’s text is cited only as Derrida cites it.</w:t>
      </w:r>
    </w:p>
  </w:footnote>
  <w:footnote w:id="155">
    <w:p>
      <w:pPr>
        <w:pStyle w:val="FootnoteText"/>
      </w:pPr>
      <w:r>
        <w:rPr>
          <w:rStyle w:val="FootnoteReference"/>
        </w:rPr>
        <w:footnoteRef/>
      </w:r>
      <w:r>
        <w:t xml:space="preserve"> </w:t>
      </w:r>
      <w:r>
        <w:t xml:space="preserve">SEC 327, for the disclaimer quoted in the body, which opens</w:t>
      </w:r>
      <w:r>
        <w:t xml:space="preserve"> </w:t>
      </w:r>
      <w:r>
        <w:t xml:space="preserve">‘</w:t>
      </w:r>
      <w:r>
        <w:t xml:space="preserve">Above all, I will not conclude from this</w:t>
      </w:r>
      <w:r>
        <w:t xml:space="preserve">’</w:t>
      </w:r>
      <w:r>
        <w:t xml:space="preserve"> </w:t>
      </w:r>
      <w:r>
        <w:t xml:space="preserve">and declines first to conclude</w:t>
      </w:r>
      <w:r>
        <w:t xml:space="preserve"> </w:t>
      </w:r>
      <w:r>
        <w:t xml:space="preserve">‘</w:t>
      </w:r>
      <w:r>
        <w:t xml:space="preserve">that there is no relative specificity of the effects of consciousness</w:t>
      </w:r>
      <w:r>
        <w:t xml:space="preserve">’</w:t>
      </w:r>
      <w:r>
        <w:t xml:space="preserve">. The elision is marked. Searle’s reply (</w:t>
      </w:r>
      <w:r>
        <w:t xml:space="preserve">‘</w:t>
      </w:r>
      <w:r>
        <w:t xml:space="preserve">Reiterating the Differences: A Reply to Derrida</w:t>
      </w:r>
      <w:r>
        <w:t xml:space="preserve">’</w:t>
      </w:r>
      <w:r>
        <w:t xml:space="preserve">,</w:t>
      </w:r>
      <w:r>
        <w:t xml:space="preserve"> </w:t>
      </w:r>
      <w:r>
        <w:rPr>
          <w:iCs/>
          <w:i/>
        </w:rPr>
        <w:t xml:space="preserve">Glyph</w:t>
      </w:r>
      <w:r>
        <w:t xml:space="preserve"> </w:t>
      </w:r>
      <w:r>
        <w:t xml:space="preserve">1 (1977), 198–208) is not engaged; the use made of the disclaimer does not depend upon the exchange.</w:t>
      </w:r>
    </w:p>
  </w:footnote>
  <w:footnote w:id="157">
    <w:p>
      <w:pPr>
        <w:pStyle w:val="FootnoteText"/>
      </w:pPr>
      <w:r>
        <w:rPr>
          <w:rStyle w:val="FootnoteReference"/>
        </w:rPr>
        <w:footnoteRef/>
      </w:r>
      <w:r>
        <w:t xml:space="preserve"> </w:t>
      </w:r>
      <w:r>
        <w:t xml:space="preserve">PDM, lecture VII, §II for the nodal point, in the sentence quoted; §III for the inversion and for the second sentence quoted; §IV for the archewriting as a subjectless generator of structures. The comparison of the two exits is the chapter’s.</w:t>
      </w:r>
    </w:p>
  </w:footnote>
  <w:footnote w:id="158">
    <w:p>
      <w:pPr>
        <w:pStyle w:val="FootnoteText"/>
      </w:pPr>
      <w:r>
        <w:rPr>
          <w:rStyle w:val="FootnoteReference"/>
        </w:rPr>
        <w:footnoteRef/>
      </w:r>
      <w:r>
        <w:t xml:space="preserve"> </w:t>
      </w:r>
      <w:r>
        <w:t xml:space="preserve">PDM,</w:t>
      </w:r>
      <w:r>
        <w:t xml:space="preserve"> </w:t>
      </w:r>
      <w:r>
        <w:t xml:space="preserve">‘</w:t>
      </w:r>
      <w:r>
        <w:t xml:space="preserve">Excursus on Leveling the Genre Distinction between Philosophy and Literature</w:t>
      </w:r>
      <w:r>
        <w:t xml:space="preserve">’</w:t>
      </w:r>
      <w:r>
        <w:t xml:space="preserve">, §I, the sentence opening the excursus being the one which pairs Adorno and Derrida.</w:t>
      </w:r>
    </w:p>
  </w:footnote>
  <w:footnote w:id="159">
    <w:p>
      <w:pPr>
        <w:pStyle w:val="FootnoteText"/>
      </w:pPr>
      <w:r>
        <w:rPr>
          <w:rStyle w:val="FootnoteReference"/>
        </w:rPr>
        <w:footnoteRef/>
      </w:r>
      <w:r>
        <w:t xml:space="preserve"> </w:t>
      </w:r>
      <w:r>
        <w:t xml:space="preserve">PDM, the excursus on levelling the genre distinction between philosophy and literature, §II, for all seven quoted phrases; 195–96 for the passage, within the excursus at 185–210. Habermas’s wording is weaker than a refutation of the position, in the form Culler gives it, would require: ordinary speech stands under constraints</w:t>
      </w:r>
      <w:r>
        <w:t xml:space="preserve"> </w:t>
      </w:r>
      <w:r>
        <w:t xml:space="preserve">‘</w:t>
      </w:r>
      <w:r>
        <w:t xml:space="preserve">different from</w:t>
      </w:r>
      <w:r>
        <w:t xml:space="preserve">’</w:t>
      </w:r>
      <w:r>
        <w:t xml:space="preserve"> </w:t>
      </w:r>
      <w:r>
        <w:t xml:space="preserve">those of fiction, and the claim that they differ in kind is carried by the burden the same passage lays upon Derrida. The excursus quotes no sentence of</w:t>
      </w:r>
      <w:r>
        <w:t xml:space="preserve"> </w:t>
      </w:r>
      <w:r>
        <w:t xml:space="preserve">‘</w:t>
      </w:r>
      <w:r>
        <w:t xml:space="preserve">Signature Event Context</w:t>
      </w:r>
      <w:r>
        <w:t xml:space="preserve">’</w:t>
      </w:r>
      <w:r>
        <w:t xml:space="preserve"> </w:t>
      </w:r>
      <w:r>
        <w:t xml:space="preserve">directly; the position it attacks is taken from Jonathan Culler’s exposition in</w:t>
      </w:r>
      <w:r>
        <w:t xml:space="preserve"> </w:t>
      </w:r>
      <w:r>
        <w:rPr>
          <w:iCs/>
          <w:i/>
        </w:rPr>
        <w:t xml:space="preserve">On Deconstruction: Theory and Criticism after Structuralism</w:t>
      </w:r>
      <w:r>
        <w:t xml:space="preserve"> </w:t>
      </w:r>
      <w:r>
        <w:t xml:space="preserve">(Ithaca: Cornell University Press, 1982), which Habermas cites in its London printing of 1983, and he announces that he will examine the argument in the form Derrida’s disciples give it. What the reply can be credited with establishing against the argument of SEC itself is bounded accordingly, and the concession made at §2.3.3 is made to Derrida’s text and not to the reception Habermas answers.</w:t>
      </w:r>
    </w:p>
  </w:footnote>
  <w:footnote w:id="161">
    <w:p>
      <w:pPr>
        <w:pStyle w:val="FootnoteText"/>
      </w:pPr>
      <w:r>
        <w:rPr>
          <w:rStyle w:val="FootnoteReference"/>
        </w:rPr>
        <w:footnoteRef/>
      </w:r>
      <w:r>
        <w:t xml:space="preserve"> </w:t>
      </w:r>
      <w:r>
        <w:t xml:space="preserve">MCCA 87, rule (1.3), quoted; the rule stands at the logical-semantic level beside</w:t>
      </w:r>
      <w:r>
        <w:t xml:space="preserve"> </w:t>
      </w:r>
      <w:r>
        <w:t xml:space="preserve">‘</w:t>
      </w:r>
      <w:r>
        <w:t xml:space="preserve">(1.1) No speaker may contradict himself</w:t>
      </w:r>
      <w:r>
        <w:t xml:space="preserve">’</w:t>
      </w:r>
      <w:r>
        <w:t xml:space="preserve"> </w:t>
      </w:r>
      <w:r>
        <w:t xml:space="preserve">and</w:t>
      </w:r>
      <w:r>
        <w:t xml:space="preserve"> </w:t>
      </w:r>
      <w:r>
        <w:t xml:space="preserve">‘</w:t>
      </w:r>
      <w:r>
        <w:t xml:space="preserve">(1.2) Every speaker who applies predicate</w:t>
      </w:r>
      <w:r>
        <w:t xml:space="preserve"> </w:t>
      </w:r>
      <w:r>
        <w:rPr>
          <w:iCs/>
          <w:i/>
        </w:rPr>
        <w:t xml:space="preserve">F</w:t>
      </w:r>
      <w:r>
        <w:t xml:space="preserve"> </w:t>
      </w:r>
      <w:r>
        <w:t xml:space="preserve">to object</w:t>
      </w:r>
      <w:r>
        <w:t xml:space="preserve"> </w:t>
      </w:r>
      <w:r>
        <w:rPr>
          <w:iCs/>
          <w:i/>
        </w:rPr>
        <w:t xml:space="preserve">A</w:t>
      </w:r>
      <w:r>
        <w:t xml:space="preserve"> </w:t>
      </w:r>
      <w:r>
        <w:t xml:space="preserve">must be prepared to apply</w:t>
      </w:r>
      <w:r>
        <w:t xml:space="preserve"> </w:t>
      </w:r>
      <w:r>
        <w:rPr>
          <w:iCs/>
          <w:i/>
        </w:rPr>
        <w:t xml:space="preserve">F</w:t>
      </w:r>
      <w:r>
        <w:t xml:space="preserve"> </w:t>
      </w:r>
      <w:r>
        <w:t xml:space="preserve">to all other objects resembling</w:t>
      </w:r>
      <w:r>
        <w:t xml:space="preserve"> </w:t>
      </w:r>
      <w:r>
        <w:rPr>
          <w:iCs/>
          <w:i/>
        </w:rPr>
        <w:t xml:space="preserve">A</w:t>
      </w:r>
      <w:r>
        <w:t xml:space="preserve"> </w:t>
      </w:r>
      <w:r>
        <w:t xml:space="preserve">in all relevant aspects</w:t>
      </w:r>
      <w:r>
        <w:t xml:space="preserve">’</w:t>
      </w:r>
      <w:r>
        <w:t xml:space="preserve">. The borrowing of the catalogue from Alexy</w:t>
      </w:r>
      <w:r>
        <w:t xml:space="preserve"> </w:t>
      </w:r>
      <w:r>
        <w:t xml:space="preserve">‘</w:t>
      </w:r>
      <w:r>
        <w:t xml:space="preserve">for simplicity</w:t>
      </w:r>
      <w:r>
        <w:t xml:space="preserve">’</w:t>
      </w:r>
      <w:r>
        <w:t xml:space="preserve"> </w:t>
      </w:r>
      <w:r>
        <w:t xml:space="preserve">and the exclusion of the level: MCCA 87, the sentences being displayed here and reported at Chapter One §1.5.2 and §1.5.3. The direction of borrowing reverses at MCCA 89, where Alexy is said to have suggested the rules of discourse</w:t>
      </w:r>
      <w:r>
        <w:t xml:space="preserve"> </w:t>
      </w:r>
      <w:r>
        <w:t xml:space="preserve">‘</w:t>
      </w:r>
      <w:r>
        <w:t xml:space="preserve">Following my analysis</w:t>
      </w:r>
      <w:r>
        <w:t xml:space="preserve">’</w:t>
      </w:r>
      <w:r>
        <w:t xml:space="preserve">; the constancy rule is Alexy’s, adopted, and the discourse rules are Habermas’s, adapted by Alexy. The decision to stage the concession upon the exhibition’s own requirement of recognisability, and not upon rule (1.3), is taken in the body.</w:t>
      </w:r>
    </w:p>
  </w:footnote>
  <w:footnote w:id="162">
    <w:p>
      <w:pPr>
        <w:pStyle w:val="FootnoteText"/>
      </w:pPr>
      <w:r>
        <w:rPr>
          <w:rStyle w:val="FootnoteReference"/>
        </w:rPr>
        <w:footnoteRef/>
      </w:r>
      <w:r>
        <w:t xml:space="preserve"> </w:t>
      </w:r>
      <w:r>
        <w:t xml:space="preserve">Derrida,</w:t>
      </w:r>
      <w:r>
        <w:t xml:space="preserve"> </w:t>
      </w:r>
      <w:r>
        <w:t xml:space="preserve">‘</w:t>
      </w:r>
      <w:r>
        <w:t xml:space="preserve">Faith and Knowledge: The Two Sources of</w:t>
      </w:r>
      <w:r>
        <w:t xml:space="preserve"> </w:t>
      </w:r>
      <w:r>
        <w:t xml:space="preserve">“</w:t>
      </w:r>
      <w:r>
        <w:t xml:space="preserve">Religion</w:t>
      </w:r>
      <w:r>
        <w:t xml:space="preserve">”</w:t>
      </w:r>
      <w:r>
        <w:t xml:space="preserve"> </w:t>
      </w:r>
      <w:r>
        <w:t xml:space="preserve">at the Limits of Reason Alone</w:t>
      </w:r>
      <w:r>
        <w:t xml:space="preserve">’</w:t>
      </w:r>
      <w:r>
        <w:t xml:space="preserve">, trans. Samuel Weber, in</w:t>
      </w:r>
      <w:r>
        <w:t xml:space="preserve"> </w:t>
      </w:r>
      <w:r>
        <w:rPr>
          <w:iCs/>
          <w:i/>
        </w:rPr>
        <w:t xml:space="preserve">Acts of Religion</w:t>
      </w:r>
      <w:r>
        <w:t xml:space="preserve">, ed. Gil Anidjar (New York: Routledge, 2002), 42–101, at 80, the essay being of 1996, for the</w:t>
      </w:r>
      <w:r>
        <w:t xml:space="preserve"> </w:t>
      </w:r>
      <w:r>
        <w:t xml:space="preserve">‘</w:t>
      </w:r>
      <w:r>
        <w:t xml:space="preserve">irreducible</w:t>
      </w:r>
      <w:r>
        <w:t xml:space="preserve"> </w:t>
      </w:r>
      <w:r>
        <w:t xml:space="preserve">“</w:t>
      </w:r>
      <w:r>
        <w:t xml:space="preserve">faith</w:t>
      </w:r>
      <w:r>
        <w:t xml:space="preserve">”</w:t>
      </w:r>
      <w:r>
        <w:t xml:space="preserve">’</w:t>
      </w:r>
      <w:r>
        <w:t xml:space="preserve"> </w:t>
      </w:r>
      <w:r>
        <w:t xml:space="preserve">of a</w:t>
      </w:r>
      <w:r>
        <w:t xml:space="preserve"> </w:t>
      </w:r>
      <w:r>
        <w:t xml:space="preserve">‘</w:t>
      </w:r>
      <w:r>
        <w:t xml:space="preserve">“</w:t>
      </w:r>
      <w:r>
        <w:t xml:space="preserve">sworn faith</w:t>
      </w:r>
      <w:r>
        <w:t xml:space="preserve">”</w:t>
      </w:r>
      <w:r>
        <w:t xml:space="preserve">’</w:t>
      </w:r>
      <w:r>
        <w:t xml:space="preserve"> </w:t>
      </w:r>
      <w:r>
        <w:t xml:space="preserve">which is</w:t>
      </w:r>
      <w:r>
        <w:t xml:space="preserve"> </w:t>
      </w:r>
      <w:r>
        <w:t xml:space="preserve">‘</w:t>
      </w:r>
      <w:r>
        <w:t xml:space="preserve">a performative of promising at work even in lying or perjury and without which no address to the other would be possible</w:t>
      </w:r>
      <w:r>
        <w:t xml:space="preserve">’</w:t>
      </w:r>
      <w:r>
        <w:t xml:space="preserve">. The structure is the warranty’s of TCA I 302 (Chapter One §1.2.2): a pledge entered with the utterance, prior to any redemption, binding the exchange before anything in it is made good. The difference is in what the pledge is a pledge of: for Habermas the speaker warrants that reasons can be produced, and the bond rests upon the offer of redemption; for Derrida the pledge is entered beyond all proof and demonstration. The parallel and the difference are the chapter’s.</w:t>
      </w:r>
    </w:p>
  </w:footnote>
  <w:footnote w:id="165">
    <w:p>
      <w:pPr>
        <w:pStyle w:val="FootnoteText"/>
      </w:pPr>
      <w:r>
        <w:rPr>
          <w:rStyle w:val="FootnoteReference"/>
        </w:rPr>
        <w:footnoteRef/>
      </w:r>
      <w:r>
        <w:t xml:space="preserve"> </w:t>
      </w:r>
      <w:r>
        <w:t xml:space="preserve">MCCA 95, the three sentences in their printed order, the first displayed at §2.1.5 and the second and third quoted here. The reading of the sequence advanced in the body is offered as a reading. The German</w:t>
      </w:r>
      <w:r>
        <w:t xml:space="preserve"> </w:t>
      </w:r>
      <w:r>
        <w:rPr>
          <w:iCs/>
          <w:i/>
        </w:rPr>
        <w:t xml:space="preserve">Faktum der Vernunft</w:t>
      </w:r>
      <w:r>
        <w:t xml:space="preserve"> </w:t>
      </w:r>
      <w:r>
        <w:t xml:space="preserve">is not supplied at this locus: the translation reads</w:t>
      </w:r>
      <w:r>
        <w:t xml:space="preserve"> </w:t>
      </w:r>
      <w:r>
        <w:t xml:space="preserve">‘</w:t>
      </w:r>
      <w:r>
        <w:t xml:space="preserve">fact of reason</w:t>
      </w:r>
      <w:r>
        <w:t xml:space="preserve">’</w:t>
      </w:r>
      <w:r>
        <w:t xml:space="preserve"> </w:t>
      </w:r>
      <w:r>
        <w:t xml:space="preserve">in quotation marks, which are the translators’, the German at MkH 105 printing the phrase without them.</w:t>
      </w:r>
    </w:p>
  </w:footnote>
  <w:footnote w:id="166">
    <w:p>
      <w:pPr>
        <w:pStyle w:val="FootnoteText"/>
      </w:pPr>
      <w:r>
        <w:rPr>
          <w:rStyle w:val="FootnoteReference"/>
        </w:rPr>
        <w:footnoteRef/>
      </w:r>
      <w:r>
        <w:t xml:space="preserve"> </w:t>
      </w:r>
      <w:r>
        <w:t xml:space="preserve">MCCA 95 for Kuhlmann’s sentence as Habermas displays it, in which participants have always already accepted the propositions and rules belonging to the presuppositions; MkH 105 for the German:</w:t>
      </w:r>
      <w:r>
        <w:t xml:space="preserve"> </w:t>
      </w:r>
      <w:r>
        <w:t xml:space="preserve">‘</w:t>
      </w:r>
      <w:r>
        <w:t xml:space="preserve">Wir haben die zu diesen Voraussetzungen gehörenden Aussagen und Regeln als Argumentierende immer schon notwendig anerkannt</w:t>
      </w:r>
      <w:r>
        <w:t xml:space="preserve">’</w:t>
      </w:r>
      <w:r>
        <w:t xml:space="preserve">. Habermas’s rejoinder opens</w:t>
      </w:r>
      <w:r>
        <w:t xml:space="preserve"> </w:t>
      </w:r>
      <w:r>
        <w:t xml:space="preserve">‘</w:t>
      </w:r>
      <w:r>
        <w:t xml:space="preserve">Dazu ist zu sagen, daß</w:t>
      </w:r>
      <w:r>
        <w:t xml:space="preserve">’</w:t>
      </w:r>
      <w:r>
        <w:t xml:space="preserve"> </w:t>
      </w:r>
      <w:r>
        <w:t xml:space="preserve">(MkH 105), rendered</w:t>
      </w:r>
      <w:r>
        <w:t xml:space="preserve"> </w:t>
      </w:r>
      <w:r>
        <w:t xml:space="preserve">‘</w:t>
      </w:r>
      <w:r>
        <w:t xml:space="preserve">In other words</w:t>
      </w:r>
      <w:r>
        <w:t xml:space="preserve">’</w:t>
      </w:r>
      <w:r>
        <w:t xml:space="preserve"> </w:t>
      </w:r>
      <w:r>
        <w:t xml:space="preserve">(MCCA 95), and its</w:t>
      </w:r>
      <w:r>
        <w:t xml:space="preserve"> </w:t>
      </w:r>
      <w:r>
        <w:rPr>
          <w:iCs/>
          <w:i/>
        </w:rPr>
        <w:t xml:space="preserve">Faktum</w:t>
      </w:r>
      <w:r>
        <w:t xml:space="preserve"> </w:t>
      </w:r>
      <w:r>
        <w:t xml:space="preserve">sentence runs</w:t>
      </w:r>
      <w:r>
        <w:t xml:space="preserve"> </w:t>
      </w:r>
      <w:r>
        <w:t xml:space="preserve">‘</w:t>
      </w:r>
      <w:r>
        <w:t xml:space="preserve">die Beteiligten müssen diese Regeln als ein Faktum der Vernunft allein dadurch, daß sie sich aufs Argumentieren verlegen, schon anerkannt haben</w:t>
      </w:r>
      <w:r>
        <w:t xml:space="preserve">’</w:t>
      </w:r>
      <w:r>
        <w:t xml:space="preserve">, where the translation’s</w:t>
      </w:r>
      <w:r>
        <w:t xml:space="preserve"> </w:t>
      </w:r>
      <w:r>
        <w:t xml:space="preserve">‘</w:t>
      </w:r>
      <w:r>
        <w:t xml:space="preserve">in setting out to argue</w:t>
      </w:r>
      <w:r>
        <w:t xml:space="preserve">’</w:t>
      </w:r>
      <w:r>
        <w:t xml:space="preserve"> </w:t>
      </w:r>
      <w:r>
        <w:t xml:space="preserve">carries no equivalent of</w:t>
      </w:r>
      <w:r>
        <w:t xml:space="preserve"> </w:t>
      </w:r>
      <w:r>
        <w:rPr>
          <w:iCs/>
          <w:i/>
        </w:rPr>
        <w:t xml:space="preserve">allein</w:t>
      </w:r>
      <w:r>
        <w:t xml:space="preserve">. The weight put upon the narrowing is the chapter’s.</w:t>
      </w:r>
    </w:p>
  </w:footnote>
  <w:footnote w:id="167">
    <w:p>
      <w:pPr>
        <w:pStyle w:val="FootnoteText"/>
      </w:pPr>
      <w:r>
        <w:rPr>
          <w:rStyle w:val="FootnoteReference"/>
        </w:rPr>
        <w:footnoteRef/>
      </w:r>
      <w:r>
        <w:t xml:space="preserve"> </w:t>
      </w:r>
      <w:r>
        <w:t xml:space="preserve">MCCA 130, the first sentence quoted directly, the second displayed at Chapter One §1.5.3 beside the other statements of what the argument establishes. The same passage grants that</w:t>
      </w:r>
      <w:r>
        <w:t xml:space="preserve"> </w:t>
      </w:r>
      <w:r>
        <w:t xml:space="preserve">‘</w:t>
      </w:r>
      <w:r>
        <w:t xml:space="preserve">this thrust of discourse ethics has a naturalistic ring to it, but it is by no means a naturalistic fallacy</w:t>
      </w:r>
      <w:r>
        <w:t xml:space="preserve">’</w:t>
      </w:r>
      <w:r>
        <w:t xml:space="preserve">, which bears upon the separation of genesis from reach drawn at §2.1.3.</w:t>
      </w:r>
    </w:p>
  </w:footnote>
  <w:footnote w:id="168">
    <w:p>
      <w:pPr>
        <w:pStyle w:val="FootnoteText"/>
      </w:pPr>
      <w:r>
        <w:rPr>
          <w:rStyle w:val="FootnoteReference"/>
        </w:rPr>
        <w:footnoteRef/>
      </w:r>
      <w:r>
        <w:t xml:space="preserve"> </w:t>
      </w:r>
      <w:r>
        <w:t xml:space="preserve">Habermas,</w:t>
      </w:r>
      <w:r>
        <w:t xml:space="preserve"> </w:t>
      </w:r>
      <w:r>
        <w:rPr>
          <w:iCs/>
          <w:i/>
        </w:rPr>
        <w:t xml:space="preserve">Auch eine Geschichte der Philosophie</w:t>
      </w:r>
      <w:r>
        <w:t xml:space="preserve">, Bd. I:</w:t>
      </w:r>
      <w:r>
        <w:t xml:space="preserve"> </w:t>
      </w:r>
      <w:r>
        <w:rPr>
          <w:iCs/>
          <w:i/>
        </w:rPr>
        <w:t xml:space="preserve">Die okzidentale Konstellation von Glauben und Wissen</w:t>
      </w:r>
      <w:r>
        <w:t xml:space="preserve"> </w:t>
      </w:r>
      <w:r>
        <w:t xml:space="preserve">(Berlin: Suhrkamp, 2019; paperback edition with a new afterword, suhrkamp taschenbuch wissenschaft 2384, 2022, whose pagination is followed throughout), 69. All three limbs of the objection stated at §2.1.2 stand in a single paragraph. The passage runs:</w:t>
      </w:r>
      <w:r>
        <w:t xml:space="preserve"> </w:t>
      </w:r>
      <w:r>
        <w:t xml:space="preserve">‘</w:t>
      </w:r>
      <w:r>
        <w:t xml:space="preserve">Aber auch dann, wenn es keine grundsätzliche Kontroverse über den</w:t>
      </w:r>
      <w:r>
        <w:t xml:space="preserve"> </w:t>
      </w:r>
      <w:r>
        <w:rPr>
          <w:iCs/>
          <w:i/>
        </w:rPr>
        <w:t xml:space="preserve">Umfang</w:t>
      </w:r>
      <w:r>
        <w:t xml:space="preserve"> </w:t>
      </w:r>
      <w:r>
        <w:t xml:space="preserve">… gäbe, müssten wir uns dem Einwand stellen, dass wir uns narzisstisch im jeweils eigenen Argumentationshorizont bewegen und die eigentlich kontroverse Frage präjudizieren. … dass solche eingrenzenden Rationalitätsbestimmungen entweder als</w:t>
      </w:r>
      <w:r>
        <w:t xml:space="preserve"> </w:t>
      </w:r>
      <w:r>
        <w:rPr>
          <w:iCs/>
          <w:i/>
        </w:rPr>
        <w:t xml:space="preserve">Definitionsvorschläge</w:t>
      </w:r>
      <w:r>
        <w:t xml:space="preserve"> </w:t>
      </w:r>
      <w:r>
        <w:t xml:space="preserve">oder als</w:t>
      </w:r>
      <w:r>
        <w:t xml:space="preserve"> </w:t>
      </w:r>
      <w:r>
        <w:rPr>
          <w:iCs/>
          <w:i/>
        </w:rPr>
        <w:t xml:space="preserve">Beschreibungen</w:t>
      </w:r>
      <w:r>
        <w:t xml:space="preserve"> </w:t>
      </w:r>
      <w:r>
        <w:t xml:space="preserve">von empirisch verbreiteten diskursiven Verhaltensweisen verstanden werden müssten.</w:t>
      </w:r>
      <w:r>
        <w:t xml:space="preserve">’</w:t>
      </w:r>
      <w:r>
        <w:t xml:space="preserve"> </w:t>
      </w:r>
      <w:r>
        <w:rPr>
          <w:iCs/>
          <w:i/>
        </w:rPr>
        <w:t xml:space="preserve">Definitionsvorschläge</w:t>
      </w:r>
      <w:r>
        <w:t xml:space="preserve"> </w:t>
      </w:r>
      <w:r>
        <w:t xml:space="preserve">are</w:t>
      </w:r>
      <w:r>
        <w:t xml:space="preserve"> </w:t>
      </w:r>
      <w:r>
        <w:rPr>
          <w:iCs/>
          <w:i/>
        </w:rPr>
        <w:t xml:space="preserve">proposals</w:t>
      </w:r>
      <w:r>
        <w:t xml:space="preserve"> </w:t>
      </w:r>
      <w:r>
        <w:t xml:space="preserve">for definitions, and Habermas’s point turns upon their being no more than proposals. The paragraph continues, two sentences later:</w:t>
      </w:r>
      <w:r>
        <w:t xml:space="preserve"> </w:t>
      </w:r>
      <w:r>
        <w:t xml:space="preserve">‘</w:t>
      </w:r>
      <w:r>
        <w:t xml:space="preserve">Deshalb verschiebt sich die Frage von der Geltung auf die Genesis von Überzeugungen, freilich auf eine ihrerseits als rational verstandene Genesis: Nur die Argumentationsmuster, die sich im Zuge von rational nachvollziehbaren Lernprozessen herausgebildet haben, bedürfen keiner weiteren Rechtfertigung</w:t>
      </w:r>
      <w:r>
        <w:t xml:space="preserve">’</w:t>
      </w:r>
      <w:r>
        <w:t xml:space="preserve">, and it requires learning steps which</w:t>
      </w:r>
      <w:r>
        <w:t xml:space="preserve"> </w:t>
      </w:r>
      <w:r>
        <w:t xml:space="preserve">‘</w:t>
      </w:r>
      <w:r>
        <w:t xml:space="preserve">den Beteiligten selbst als Lernschritte eingeleuchtet haben</w:t>
      </w:r>
      <w:r>
        <w:t xml:space="preserve">’</w:t>
      </w:r>
      <w:r>
        <w:t xml:space="preserve">. The renderings in the body are the chapter’s.</w:t>
      </w:r>
    </w:p>
  </w:footnote>
  <w:footnote w:id="169">
    <w:p>
      <w:pPr>
        <w:pStyle w:val="FootnoteText"/>
      </w:pPr>
      <w:r>
        <w:rPr>
          <w:rStyle w:val="FootnoteReference"/>
        </w:rPr>
        <w:footnoteRef/>
      </w:r>
      <w:r>
        <w:t xml:space="preserve"> </w:t>
      </w:r>
      <w:r>
        <w:t xml:space="preserve">AHP, Bd. I, 71:</w:t>
      </w:r>
      <w:r>
        <w:t xml:space="preserve"> </w:t>
      </w:r>
      <w:r>
        <w:t xml:space="preserve">‘</w:t>
      </w:r>
      <w:r>
        <w:t xml:space="preserve">Die</w:t>
      </w:r>
      <w:r>
        <w:t xml:space="preserve"> </w:t>
      </w:r>
      <w:r>
        <w:rPr>
          <w:iCs/>
          <w:i/>
        </w:rPr>
        <w:t xml:space="preserve">genealogische</w:t>
      </w:r>
      <w:r>
        <w:t xml:space="preserve"> </w:t>
      </w:r>
      <w:r>
        <w:t xml:space="preserve">Betrachtung von</w:t>
      </w:r>
      <w:r>
        <w:t xml:space="preserve"> </w:t>
      </w:r>
      <w:r>
        <w:rPr>
          <w:iCs/>
          <w:i/>
        </w:rPr>
        <w:t xml:space="preserve">Lern</w:t>
      </w:r>
      <w:r>
        <w:t xml:space="preserve">prozessen wäre freilich in sich ein Widerspruch, wenn sie nicht so ansetzte, dass auf der logisch-semantischen Ebene die Unabhängigkeit der Geltung von der Genesis der Aussagen gewahrt bleiben kann.</w:t>
      </w:r>
      <w:r>
        <w:t xml:space="preserve">’</w:t>
      </w:r>
      <w:r>
        <w:t xml:space="preserve"> </w:t>
      </w:r>
      <w:r>
        <w:t xml:space="preserve">English rendering made for this chapter.</w:t>
      </w:r>
    </w:p>
  </w:footnote>
  <w:footnote w:id="170">
    <w:p>
      <w:pPr>
        <w:pStyle w:val="FootnoteText"/>
      </w:pPr>
      <w:r>
        <w:rPr>
          <w:rStyle w:val="FootnoteReference"/>
        </w:rPr>
        <w:footnoteRef/>
      </w:r>
      <w:r>
        <w:t xml:space="preserve"> </w:t>
      </w:r>
      <w:r>
        <w:t xml:space="preserve">AHP, Bd. I, 70:</w:t>
      </w:r>
      <w:r>
        <w:t xml:space="preserve"> </w:t>
      </w:r>
      <w:r>
        <w:t xml:space="preserve">‘</w:t>
      </w:r>
      <w:r>
        <w:t xml:space="preserve">Erst die rational nachvollziehbare Dynamik des Erwerbs unserer epistemischen Hintergrundüberzeugungen befreit die Gültigkeit der selbstverständlich gewordenen Voraussetzungen des modernen Selbst- und Weltverständnisses von einer Kontingenz, die trotzig-dogmatisch behauptet oder auch mit seinsgeschichtlichem Tiefsinn denunziert wird.</w:t>
      </w:r>
      <w:r>
        <w:t xml:space="preserve">’</w:t>
      </w:r>
      <w:r>
        <w:t xml:space="preserve"> </w:t>
      </w:r>
      <w:r>
        <w:t xml:space="preserve">The reading of this sentence with the proviso of Bd. I, 71, as a negative service to validity and not a ground, is the chapter’s.</w:t>
      </w:r>
    </w:p>
  </w:footnote>
  <w:footnote w:id="171">
    <w:p>
      <w:pPr>
        <w:pStyle w:val="FootnoteText"/>
      </w:pPr>
      <w:r>
        <w:rPr>
          <w:rStyle w:val="FootnoteReference"/>
        </w:rPr>
        <w:footnoteRef/>
      </w:r>
      <w:r>
        <w:t xml:space="preserve"> </w:t>
      </w:r>
      <w:r>
        <w:t xml:space="preserve">AHP, Bd. I, 70:</w:t>
      </w:r>
      <w:r>
        <w:t xml:space="preserve"> </w:t>
      </w:r>
      <w:r>
        <w:t xml:space="preserve">‘</w:t>
      </w:r>
      <w:r>
        <w:t xml:space="preserve">Amy Allen hat mich auf die Unterscheidung zwischen einer »subversiven«, einer »problematisierenden« und einer »vindikatorischen« Genealogie aufmerksam gemacht</w:t>
      </w:r>
      <w:r>
        <w:t xml:space="preserve">’</w:t>
      </w:r>
      <w:r>
        <w:t xml:space="preserve">, Habermas’s endnote recording that Allen draws upon Bernard Williams and Colin Koopman (A. Allen,</w:t>
      </w:r>
      <w:r>
        <w:t xml:space="preserve"> </w:t>
      </w:r>
      <w:r>
        <w:t xml:space="preserve">‘</w:t>
      </w:r>
      <w:r>
        <w:t xml:space="preserve">Having One’s Cake and Eating it too: Habermas’s Genealogy of Postsecular Reason</w:t>
      </w:r>
      <w:r>
        <w:t xml:space="preserve">’</w:t>
      </w:r>
      <w:r>
        <w:t xml:space="preserve">, in C. Calhoun et al. (eds),</w:t>
      </w:r>
      <w:r>
        <w:t xml:space="preserve"> </w:t>
      </w:r>
      <w:r>
        <w:rPr>
          <w:iCs/>
          <w:i/>
        </w:rPr>
        <w:t xml:space="preserve">Habermas and Religion</w:t>
      </w:r>
      <w:r>
        <w:t xml:space="preserve"> </w:t>
      </w:r>
      <w:r>
        <w:t xml:space="preserve">(Cambridge, 2013), 132–53). Habermas’s order is subversive, problematising, vindicatory. Allen’s essay deploys the distinction critically, as its title announces, against the genealogy Habermas undertakes; the contest is recorded and not entered.</w:t>
      </w:r>
    </w:p>
  </w:footnote>
  <w:footnote w:id="172">
    <w:p>
      <w:pPr>
        <w:pStyle w:val="FootnoteText"/>
      </w:pPr>
      <w:r>
        <w:rPr>
          <w:rStyle w:val="FootnoteReference"/>
        </w:rPr>
        <w:footnoteRef/>
      </w:r>
      <w:r>
        <w:t xml:space="preserve"> </w:t>
      </w:r>
      <w:r>
        <w:t xml:space="preserve">On the retraction and its critics: the statement Chapter One §1.5.6 displays, in which Habermas names the objections of Wellmer and Lafont, with a reflection of Davidson’s; Cristina Lafont,</w:t>
      </w:r>
      <w:r>
        <w:t xml:space="preserve"> </w:t>
      </w:r>
      <w:r>
        <w:rPr>
          <w:iCs/>
          <w:i/>
        </w:rPr>
        <w:t xml:space="preserve">The Linguistic Turn in Hermeneutic Philosophy</w:t>
      </w:r>
      <w:r>
        <w:t xml:space="preserve">, trans. José Medina (Cambridge, MA: MIT Press, 1999); Wellmer,</w:t>
      </w:r>
      <w:r>
        <w:t xml:space="preserve"> </w:t>
      </w:r>
      <w:r>
        <w:t xml:space="preserve">‘</w:t>
      </w:r>
      <w:r>
        <w:t xml:space="preserve">Ethics and Dialogue</w:t>
      </w:r>
      <w:r>
        <w:t xml:space="preserve">’</w:t>
      </w:r>
      <w:r>
        <w:t xml:space="preserve">; and Habermas,</w:t>
      </w:r>
      <w:r>
        <w:t xml:space="preserve"> </w:t>
      </w:r>
      <w:r>
        <w:t xml:space="preserve">‘</w:t>
      </w:r>
      <w:r>
        <w:t xml:space="preserve">Richard Rorty’s Pragmatic Turn</w:t>
      </w:r>
      <w:r>
        <w:t xml:space="preserve">’</w:t>
      </w:r>
      <w:r>
        <w:t xml:space="preserve"> </w:t>
      </w:r>
      <w:r>
        <w:t xml:space="preserve">(1996), OPC 343–82, where the revised conception is set out, with the Rorty–Habermas exchange in</w:t>
      </w:r>
      <w:r>
        <w:t xml:space="preserve"> </w:t>
      </w:r>
      <w:r>
        <w:rPr>
          <w:iCs/>
          <w:i/>
        </w:rPr>
        <w:t xml:space="preserve">Rorty and His Critics</w:t>
      </w:r>
      <w:r>
        <w:t xml:space="preserve">, ed. Robert B. Brandom (Oxford: Blackwell, 2000). The attribution of the retraction to these critics is Habermas’s own and is not re-argued here.</w:t>
      </w:r>
    </w:p>
  </w:footnote>
  <w:footnote w:id="173">
    <w:p>
      <w:pPr>
        <w:pStyle w:val="FootnoteText"/>
      </w:pPr>
      <w:r>
        <w:rPr>
          <w:rStyle w:val="FootnoteReference"/>
        </w:rPr>
        <w:footnoteRef/>
      </w:r>
      <w:r>
        <w:t xml:space="preserve"> </w:t>
      </w:r>
      <w:r>
        <w:t xml:space="preserve">MCCA 96–97, displayed with the German at §2.1.1, where step (2), its substeps (2a)–(2c), the</w:t>
      </w:r>
      <w:r>
        <w:t xml:space="preserve"> </w:t>
      </w:r>
      <w:r>
        <w:t xml:space="preserve">‘</w:t>
      </w:r>
      <w:r>
        <w:t xml:space="preserve">unmistakable hypothetical elements</w:t>
      </w:r>
      <w:r>
        <w:t xml:space="preserve">’</w:t>
      </w:r>
      <w:r>
        <w:t xml:space="preserve"> </w:t>
      </w:r>
      <w:r>
        <w:t xml:space="preserve">and the</w:t>
      </w:r>
      <w:r>
        <w:t xml:space="preserve"> </w:t>
      </w:r>
      <w:r>
        <w:rPr>
          <w:iCs/>
          <w:i/>
        </w:rPr>
        <w:t xml:space="preserve">Gesetzeshypothese</w:t>
      </w:r>
      <w:r>
        <w:t xml:space="preserve"> </w:t>
      </w:r>
      <w:r>
        <w:t xml:space="preserve">comparison are quoted, the four numbered steps standing at Chapter One §1.5.3. The volume’s vocabulary of falsification stands at MCCA 54, where</w:t>
      </w:r>
      <w:r>
        <w:t xml:space="preserve"> </w:t>
      </w:r>
      <w:r>
        <w:t xml:space="preserve">‘</w:t>
      </w:r>
      <w:r>
        <w:t xml:space="preserve">normative statements cannot be verified or falsified</w:t>
      </w:r>
      <w:r>
        <w:t xml:space="preserve">’</w:t>
      </w:r>
      <w:r>
        <w:t xml:space="preserve"> </w:t>
      </w:r>
      <w:r>
        <w:t xml:space="preserve">is said of normative statements generally. A claim which must be checked against individual cases is falsifiable in the ordinary sense, and the historical component of the thesis needs only that.</w:t>
      </w:r>
    </w:p>
  </w:footnote>
  <w:footnote w:id="174">
    <w:p>
      <w:pPr>
        <w:pStyle w:val="FootnoteText"/>
      </w:pPr>
      <w:r>
        <w:rPr>
          <w:rStyle w:val="FootnoteReference"/>
        </w:rPr>
        <w:footnoteRef/>
      </w:r>
      <w:r>
        <w:t xml:space="preserve"> </w:t>
      </w:r>
      <w:r>
        <w:t xml:space="preserve">SE2 88, all three elements quoted directly, in the essay cited at §2.2.2. Apel names Stegmüller and Popper as exponents of the decisionist solution and refers it to Albert’s trilemma. The ethical-political variant, in which the existentialist situational ethics of the young Sartre and the political decisionism of Carl Schmitt are said to follow</w:t>
      </w:r>
      <w:r>
        <w:t xml:space="preserve"> </w:t>
      </w:r>
      <w:r>
        <w:t xml:space="preserve">‘</w:t>
      </w:r>
      <w:r>
        <w:t xml:space="preserve">the</w:t>
      </w:r>
      <w:r>
        <w:t xml:space="preserve"> </w:t>
      </w:r>
      <w:r>
        <w:rPr>
          <w:iCs/>
          <w:i/>
        </w:rPr>
        <w:t xml:space="preserve">logic of the alternative between objective-science and subjective value-decision</w:t>
      </w:r>
      <w:r>
        <w:t xml:space="preserve">’</w:t>
      </w:r>
      <w:r>
        <w:t xml:space="preserve">, stands at TTP 237, in two consecutive sentences and with the operative phrase italicised. The attributions there retained are Apel’s and are not endorsed here.</w:t>
      </w:r>
    </w:p>
  </w:footnote>
  <w:footnote w:id="175">
    <w:p>
      <w:pPr>
        <w:pStyle w:val="FootnoteText"/>
      </w:pPr>
      <w:r>
        <w:rPr>
          <w:rStyle w:val="FootnoteReference"/>
        </w:rPr>
        <w:footnoteRef/>
      </w:r>
      <w:r>
        <w:t xml:space="preserve"> </w:t>
      </w:r>
      <w:r>
        <w:t xml:space="preserve">MCCA 99–101 and SE2 94, quoted at Chapter One §1.6.2, where the dropout is examined and Apel’s later reply is read. The reading that the two positions divide over the placing of the floor, and not over whether some floor admits of no exit, is the one proposed.</w:t>
      </w:r>
    </w:p>
  </w:footnote>
  <w:footnote w:id="177">
    <w:p>
      <w:pPr>
        <w:pStyle w:val="FootnoteText"/>
      </w:pPr>
      <w:r>
        <w:rPr>
          <w:rStyle w:val="FootnoteReference"/>
        </w:rPr>
        <w:footnoteRef/>
      </w:r>
      <w:r>
        <w:t xml:space="preserve"> </w:t>
      </w:r>
      <w:r>
        <w:t xml:space="preserve">FTSPV 176, quoted at §2.2.1, where Apel objects that an empirical test of the presuppositions of argumentation could not be understood without their validity being already presupposed. The charge is entered here as the target of the first circularity.</w:t>
      </w:r>
    </w:p>
  </w:footnote>
  <w:footnote w:id="178">
    <w:p>
      <w:pPr>
        <w:pStyle w:val="FootnoteText"/>
      </w:pPr>
      <w:r>
        <w:rPr>
          <w:rStyle w:val="FootnoteReference"/>
        </w:rPr>
        <w:footnoteRef/>
      </w:r>
      <w:r>
        <w:t xml:space="preserve"> </w:t>
      </w:r>
      <w:r>
        <w:t xml:space="preserve">Albrecht Wellmer,</w:t>
      </w:r>
      <w:r>
        <w:t xml:space="preserve"> </w:t>
      </w:r>
      <w:r>
        <w:rPr>
          <w:iCs/>
          <w:i/>
        </w:rPr>
        <w:t xml:space="preserve">Ethik und Dialog</w:t>
      </w:r>
      <w:r>
        <w:t xml:space="preserve"> </w:t>
      </w:r>
      <w:r>
        <w:t xml:space="preserve">(Frankfurt am Main: Suhrkamp, 1986), 102, reported in indirect discourse; in David Midgley’s translation,</w:t>
      </w:r>
      <w:r>
        <w:t xml:space="preserve"> </w:t>
      </w:r>
      <w:r>
        <w:t xml:space="preserve">‘</w:t>
      </w:r>
      <w:r>
        <w:t xml:space="preserve">Ethics and Dialogue</w:t>
      </w:r>
      <w:r>
        <w:t xml:space="preserve">’</w:t>
      </w:r>
      <w:r>
        <w:t xml:space="preserve">, in</w:t>
      </w:r>
      <w:r>
        <w:t xml:space="preserve"> </w:t>
      </w:r>
      <w:r>
        <w:rPr>
          <w:iCs/>
          <w:i/>
        </w:rPr>
        <w:t xml:space="preserve">The Persistence of Modernity</w:t>
      </w:r>
      <w:r>
        <w:t xml:space="preserve">, trans. David Midgley (Cambridge: Polity, 1991), 113–231, §II,</w:t>
      </w:r>
      <w:r>
        <w:t xml:space="preserve"> </w:t>
      </w:r>
      <w:r>
        <w:t xml:space="preserve">‘</w:t>
      </w:r>
      <w:r>
        <w:t xml:space="preserve">A Critique of Discourse Ethics</w:t>
      </w:r>
      <w:r>
        <w:t xml:space="preserve">’</w:t>
      </w:r>
      <w:r>
        <w:t xml:space="preserve">. Wellmer states the charge in one sentence and declines to pursue it, referring for the premise to DE 103. The generalisation to any justification which presupposes its own result is the chapter’s; the charge in the form directed at the discourse principle is examined in Chapter Four.</w:t>
      </w:r>
    </w:p>
  </w:footnote>
  <w:footnote w:id="179">
    <w:p>
      <w:pPr>
        <w:pStyle w:val="FootnoteText"/>
      </w:pPr>
      <w:r>
        <w:rPr>
          <w:rStyle w:val="FootnoteReference"/>
        </w:rPr>
        <w:footnoteRef/>
      </w:r>
      <w:r>
        <w:t xml:space="preserve"> </w:t>
      </w:r>
      <w:r>
        <w:t xml:space="preserve">Aristotle,</w:t>
      </w:r>
      <w:r>
        <w:t xml:space="preserve"> </w:t>
      </w:r>
      <w:r>
        <w:rPr>
          <w:iCs/>
          <w:i/>
        </w:rPr>
        <w:t xml:space="preserve">Metaphysics</w:t>
      </w:r>
      <w:r>
        <w:t xml:space="preserve"> </w:t>
      </w:r>
      <w:r>
        <w:t xml:space="preserve">Β.1, 995a27–33, in W. D. Ross’s translation as revised in</w:t>
      </w:r>
      <w:r>
        <w:t xml:space="preserve"> </w:t>
      </w:r>
      <w:r>
        <w:rPr>
          <w:iCs/>
          <w:i/>
        </w:rPr>
        <w:t xml:space="preserve">The Complete Works of Aristotle: The Revised Oxford Translation</w:t>
      </w:r>
      <w:r>
        <w:t xml:space="preserve">, ed. Jonathan Barnes (Princeton: Princeton University Press, 1984), vol. 2, 1572, reported in indirect discourse; the passage is quoted at Chapter Three §3.3.1. Derrida,</w:t>
      </w:r>
      <w:r>
        <w:t xml:space="preserve"> </w:t>
      </w:r>
      <w:r>
        <w:rPr>
          <w:iCs/>
          <w:i/>
        </w:rPr>
        <w:t xml:space="preserve">Aporias</w:t>
      </w:r>
      <w:r>
        <w:t xml:space="preserve">, trans. Thomas Dutoit (Stanford: Stanford University Press, 1993), 12 for the nonpassage, 13 for the word’s appearance in</w:t>
      </w:r>
      <w:r>
        <w:t xml:space="preserve"> </w:t>
      </w:r>
      <w:r>
        <w:rPr>
          <w:iCs/>
          <w:i/>
        </w:rPr>
        <w:t xml:space="preserve">Physics</w:t>
      </w:r>
      <w:r>
        <w:t xml:space="preserve"> </w:t>
      </w:r>
      <w:r>
        <w:t xml:space="preserve">IV, 16 for the three negations and</w:t>
      </w:r>
      <w:r>
        <w:t xml:space="preserve"> </w:t>
      </w:r>
      <w:r>
        <w:t xml:space="preserve">‘</w:t>
      </w:r>
      <w:r>
        <w:t xml:space="preserve">an interminable experience</w:t>
      </w:r>
      <w:r>
        <w:t xml:space="preserve">’</w:t>
      </w:r>
      <w:r>
        <w:t xml:space="preserve">, 20–21 for the plural logic. The claim that the aporia of §2.4.2 is neither the Aristotelian nor the Derridean, with the two criteria offered for it, is the body’s.</w:t>
      </w:r>
    </w:p>
  </w:footnote>
  <w:footnote w:id="180">
    <w:p>
      <w:pPr>
        <w:pStyle w:val="FootnoteText"/>
      </w:pPr>
      <w:r>
        <w:rPr>
          <w:rStyle w:val="FootnoteReference"/>
        </w:rPr>
        <w:footnoteRef/>
      </w:r>
      <w:r>
        <w:t xml:space="preserve"> </w:t>
      </w:r>
      <w:r>
        <w:rPr>
          <w:iCs/>
          <w:i/>
        </w:rPr>
        <w:t xml:space="preserve">Aporias</w:t>
      </w:r>
      <w:r>
        <w:t xml:space="preserve">, 15, for iterability as the conditions of possibility as conditions of impossibility, in the words the body quotes,</w:t>
      </w:r>
      <w:r>
        <w:t xml:space="preserve"> </w:t>
      </w:r>
      <w:r>
        <w:t xml:space="preserve">‘</w:t>
      </w:r>
      <w:r>
        <w:t xml:space="preserve">which recurs almost everywhere, in particular in</w:t>
      </w:r>
      <w:r>
        <w:t xml:space="preserve"> </w:t>
      </w:r>
      <w:r>
        <w:t xml:space="preserve">“</w:t>
      </w:r>
      <w:r>
        <w:t xml:space="preserve">Signature Event Context</w:t>
      </w:r>
      <w:r>
        <w:t xml:space="preserve">”</w:t>
      </w:r>
      <w:r>
        <w:t xml:space="preserve"> </w:t>
      </w:r>
      <w:r>
        <w:t xml:space="preserve">(</w:t>
      </w:r>
      <w:r>
        <w:rPr>
          <w:iCs/>
          <w:i/>
        </w:rPr>
        <w:t xml:space="preserve">Margins</w:t>
      </w:r>
      <w:r>
        <w:t xml:space="preserve">) and in</w:t>
      </w:r>
      <w:r>
        <w:t xml:space="preserve"> </w:t>
      </w:r>
      <w:r>
        <w:rPr>
          <w:iCs/>
          <w:i/>
        </w:rPr>
        <w:t xml:space="preserve">Limited Inc.</w:t>
      </w:r>
      <w:r>
        <w:t xml:space="preserve">’</w:t>
      </w:r>
      <w:r>
        <w:t xml:space="preserve">; 16 for</w:t>
      </w:r>
      <w:r>
        <w:t xml:space="preserve"> </w:t>
      </w:r>
      <w:r>
        <w:t xml:space="preserve">‘</w:t>
      </w:r>
      <w:r>
        <w:t xml:space="preserve">a sort of nonpassive endurance of the aporia was the condition of responsibility and of decision</w:t>
      </w:r>
      <w:r>
        <w:t xml:space="preserve">’</w:t>
      </w:r>
      <w:r>
        <w:t xml:space="preserve">. The application of the gloss to the orientation to truth is made in the body.</w:t>
      </w:r>
    </w:p>
  </w:footnote>
  <w:footnote w:id="181">
    <w:p>
      <w:pPr>
        <w:pStyle w:val="FootnoteText"/>
      </w:pPr>
      <w:r>
        <w:rPr>
          <w:rStyle w:val="FootnoteReference"/>
        </w:rPr>
        <w:footnoteRef/>
      </w:r>
      <w:r>
        <w:t xml:space="preserve"> </w:t>
      </w:r>
      <w:r>
        <w:t xml:space="preserve">Steven Levine,</w:t>
      </w:r>
      <w:r>
        <w:t xml:space="preserve"> </w:t>
      </w:r>
      <w:r>
        <w:t xml:space="preserve">‘</w:t>
      </w:r>
      <w:r>
        <w:t xml:space="preserve">Habermas, Kantian Pragmatism, and Truth</w:t>
      </w:r>
      <w:r>
        <w:t xml:space="preserve">’</w:t>
      </w:r>
      <w:r>
        <w:t xml:space="preserve">,</w:t>
      </w:r>
      <w:r>
        <w:t xml:space="preserve"> </w:t>
      </w:r>
      <w:r>
        <w:rPr>
          <w:iCs/>
          <w:i/>
        </w:rPr>
        <w:t xml:space="preserve">Philosophy and Social Criticism</w:t>
      </w:r>
      <w:r>
        <w:t xml:space="preserve"> </w:t>
      </w:r>
      <w:r>
        <w:t xml:space="preserve">36/6 (2010), 677–95, which argues that the mature conception of objectivity is inconsistent with the pragmatic transformation the programme elsewhere carries through. The convergence corroborates and carries nothing, the chapter’s own route running through the three commitments and the asymmetry. Nor is it unanimous: Axel Seemann,</w:t>
      </w:r>
      <w:r>
        <w:t xml:space="preserve"> </w:t>
      </w:r>
      <w:r>
        <w:t xml:space="preserve">‘</w:t>
      </w:r>
      <w:r>
        <w:t xml:space="preserve">Lifeworld, Discourse and Realism: On Habermas’s</w:t>
      </w:r>
      <w:r>
        <w:t xml:space="preserve"> </w:t>
      </w:r>
      <w:r>
        <w:rPr>
          <w:iCs/>
          <w:i/>
        </w:rPr>
        <w:t xml:space="preserve">Truth and Justification</w:t>
      </w:r>
      <w:r>
        <w:t xml:space="preserve">’</w:t>
      </w:r>
      <w:r>
        <w:t xml:space="preserve">,</w:t>
      </w:r>
      <w:r>
        <w:t xml:space="preserve"> </w:t>
      </w:r>
      <w:r>
        <w:rPr>
          <w:iCs/>
          <w:i/>
        </w:rPr>
        <w:t xml:space="preserve">Philosophy and Social Criticism</w:t>
      </w:r>
      <w:r>
        <w:t xml:space="preserve"> </w:t>
      </w:r>
      <w:r>
        <w:t xml:space="preserve">30/4 (2004), 503–14, takes the mature position in a different direction.</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cs="Garamond" w:eastAsia="Garamond" w:hAnsi="Garamond"/>
      <w:sz w:val="24"/>
    </w:rPr>
  </w:style>
  <w:style w:styleId="BodyText" w:type="paragraph">
    <w:name w:val="Body Text"/>
    <w:basedOn w:val="Normal"/>
    <w:link w:val="BodyTextChar"/>
    <w:pPr>
      <w:spacing w:after="120" w:before="180" w:line="360" w:lineRule="auto"/>
    </w:pPr>
    <w:qFormat/>
    <w:rPr>
      <w:rFonts w:ascii="Garamond" w:cs="Garamond" w:eastAsia="Garamond" w:hAnsi="Garamond"/>
      <w:sz w:val="24"/>
    </w:rPr>
  </w:style>
  <w:style w:customStyle="1" w:styleId="FirstParagraph" w:type="paragraph">
    <w:name w:val="First Paragraph"/>
    <w:basedOn w:val="BodyText"/>
    <w:next w:val="BodyText"/>
    <w:qFormat/>
    <w:pPr>
      <w:spacing w:after="120" w:line="360" w:lineRule="auto"/>
    </w:pPr>
    <w:rPr>
      <w:rFonts w:ascii="Garamond" w:cs="Garamond" w:eastAsia="Garamond" w:hAnsi="Garamond"/>
      <w:sz w:val="24"/>
    </w:rPr>
  </w:style>
  <w:style w:customStyle="1" w:styleId="Compact" w:type="paragraph">
    <w:name w:val="Compact"/>
    <w:basedOn w:val="BodyText"/>
    <w:qFormat/>
    <w:pPr>
      <w:spacing w:after="36" w:before="36"/>
    </w:pPr>
    <w:rPr>
      <w:rFonts w:ascii="Garamond" w:cs="Garamond" w:eastAsia="Garamond" w:hAnsi="Garamond"/>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Garamond" w:asciiTheme="majorHAnsi" w:cs="Garamond" w:cstheme="majorBidi" w:eastAsia="Garamond" w:eastAsiaTheme="majorEastAsia" w:hAnsi="Garamond" w:hAnsiTheme="majorHAnsi"/>
      <w:b w:val="0"/>
      <w:bCs/>
      <w:i w:val="0"/>
      <w:smallCaps/>
      <w:sz w:val="32"/>
      <w:szCs w:val="32"/>
    </w:rPr>
  </w:style>
  <w:style w:styleId="Heading2" w:type="paragraph">
    <w:name w:val="Heading 2"/>
    <w:basedOn w:val="Normal"/>
    <w:next w:val="BodyText"/>
    <w:uiPriority w:val="9"/>
    <w:unhideWhenUsed/>
    <w:qFormat/>
    <w:pPr>
      <w:keepNext/>
      <w:keepLines/>
      <w:spacing w:after="0" w:before="200"/>
      <w:outlineLvl w:val="1"/>
    </w:pPr>
    <w:rPr>
      <w:rFonts w:ascii="Garamond" w:asciiTheme="majorHAnsi" w:cs="Garamond" w:cstheme="majorBidi" w:eastAsia="Garamond" w:eastAsiaTheme="majorEastAsia" w:hAnsi="Garamond" w:hAnsiTheme="majorHAnsi"/>
      <w:b w:val="0"/>
      <w:bCs/>
      <w:i w:val="0"/>
      <w:smallCaps w:val="0"/>
      <w:sz w:val="28"/>
      <w:szCs w:val="28"/>
    </w:rPr>
  </w:style>
  <w:style w:styleId="Heading3" w:type="paragraph">
    <w:name w:val="Heading 3"/>
    <w:basedOn w:val="Normal"/>
    <w:next w:val="BodyText"/>
    <w:uiPriority w:val="9"/>
    <w:unhideWhenUsed/>
    <w:qFormat/>
    <w:pPr>
      <w:keepNext/>
      <w:keepLines/>
      <w:spacing w:after="0" w:before="200"/>
      <w:outlineLvl w:val="2"/>
    </w:pPr>
    <w:rPr>
      <w:rFonts w:ascii="Garamond" w:asciiTheme="majorHAnsi" w:cs="Garamond" w:cstheme="majorBidi" w:eastAsia="Garamond" w:eastAsiaTheme="majorEastAsia" w:hAnsi="Garamond" w:hAnsiTheme="majorHAnsi"/>
      <w:b w:val="0"/>
      <w:bCs/>
      <w:i/>
      <w:smallCaps w:val="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aramond" w:cs="Garamond" w:eastAsia="Garamond" w:hAnsi="Garamond"/>
      <w:sz w:val="24"/>
    </w:rPr>
  </w:style>
  <w:style w:styleId="FootnoteText" w:type="paragraph">
    <w:name w:val="Footnote Text"/>
    <w:basedOn w:val="Normal"/>
    <w:next w:val="FootnoteText"/>
    <w:uiPriority w:val="9"/>
    <w:unhideWhenUsed/>
    <w:qFormat/>
    <w:pPr>
      <w:spacing w:line="240" w:lineRule="auto"/>
    </w:pPr>
    <w:rPr>
      <w:rFonts w:ascii="Garamond" w:cs="Garamond" w:eastAsia="Garamond" w:hAnsi="Garamond"/>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Garamond" w:cs="Garamond" w:eastAsia="Garamond" w:hAnsi="Garamond"/>
    </w:rPr>
  </w:style>
  <w:style w:customStyle="1" w:styleId="VerbatimChar" w:type="character">
    <w:name w:val="Verbatim Char"/>
    <w:basedOn w:val="BodyTextChar"/>
    <w:rPr>
      <w:rFonts w:ascii="Garamond" w:cs="Garamond" w:eastAsia="Garamond" w:hAnsi="Garamond"/>
      <w:sz w:val="22"/>
    </w:rPr>
  </w:style>
  <w:style w:customStyle="1" w:styleId="SectionNumber" w:type="character">
    <w:name w:val="Section Number"/>
    <w:basedOn w:val="BodyTextChar"/>
  </w:style>
  <w:style w:styleId="FootnoteReference" w:type="character">
    <w:name w:val="Footnote Reference"/>
    <w:basedOn w:val="BodyTextChar"/>
    <w:rPr>
      <w:rFonts w:ascii="Garamond" w:cs="Garamond" w:eastAsia="Garamond" w:hAnsi="Garamond"/>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2026-10-01T22:59:27Z</dcterms:created>
  <dcterms:modified xsi:type="dcterms:W3CDTF">2026-10-01T22:59:27Z</dcterms:modified>
</cp:coreProperties>
</file>

<file path=docProps/custom.xml><?xml version="1.0" encoding="utf-8"?>
<Properties xmlns="http://schemas.openxmlformats.org/officeDocument/2006/custom-properties" xmlns:vt="http://schemas.openxmlformats.org/officeDocument/2006/docPropsVTypes"/>
</file>