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art-two-the-aporetic-core"/>
    <w:p>
      <w:pPr>
        <w:pStyle w:val="Heading1"/>
      </w:pPr>
      <w:r>
        <w:t xml:space="preserve">PART TWO · THE APORETIC CORE</w:t>
      </w:r>
    </w:p>
    <w:bookmarkEnd w:id="9"/>
    <w:bookmarkStart w:id="156" w:name="chapter-three"/>
    <w:p>
      <w:pPr>
        <w:pStyle w:val="Heading1"/>
      </w:pPr>
      <w:r>
        <w:t xml:space="preserve">CHAPTER THREE</w:t>
      </w:r>
    </w:p>
    <w:bookmarkStart w:id="11" w:name="X8f37beaa39b5fba9b47098fe240e47b1b90993d"/>
    <w:p>
      <w:pPr>
        <w:pStyle w:val="Heading2"/>
      </w:pPr>
      <w:r>
        <w:t xml:space="preserve">The Formal-Pragmatic Threshold: The Apel–Habermas Dispute, Reflexive Irrefutability, and the Aporia of the Meaning of Truth</w:t>
      </w:r>
    </w:p>
    <w:p>
      <w:pPr>
        <w:pStyle w:val="FirstParagraph"/>
      </w:pPr>
      <w:r>
        <w:rPr>
          <w:i/>
          <w:iCs/>
        </w:rPr>
        <w:t xml:space="preserve">Conventions.</w:t>
      </w:r>
      <w:r>
        <w:t xml:space="preserve"> </w:t>
      </w:r>
      <w:r>
        <w:t xml:space="preserve">Works by Habermas and Apel are cited by the abbreviations fixed in the front matter (MCCA, JA, TJ, BNR, TCA I, OPC, BFN, PSC for the essay of 2020, SE1 and SE2 for the two volumes of Apel’s</w:t>
      </w:r>
      <w:r>
        <w:t xml:space="preserve"> </w:t>
      </w:r>
      <w:r>
        <w:rPr>
          <w:i/>
          <w:iCs/>
        </w:rPr>
        <w:t xml:space="preserve">Selected Essays</w:t>
      </w:r>
      <w:r>
        <w:t xml:space="preserve">, TTP for</w:t>
      </w:r>
      <w:r>
        <w:t xml:space="preserve"> </w:t>
      </w:r>
      <w:r>
        <w:rPr>
          <w:i/>
          <w:iCs/>
        </w:rPr>
        <w:t xml:space="preserve">Towards a Transformation of Philosophy</w:t>
      </w:r>
      <w:r>
        <w:t xml:space="preserve"> </w:t>
      </w:r>
      <w:r>
        <w:t xml:space="preserve">in the edition named in the front matter, FTSPV for</w:t>
      </w:r>
      <w:r>
        <w:t xml:space="preserve"> </w:t>
      </w:r>
      <w:r>
        <w:rPr>
          <w:i/>
          <w:iCs/>
        </w:rPr>
        <w:t xml:space="preserve">From a Transcendental-Semiotic Point of View</w:t>
      </w:r>
      <w:r>
        <w:t xml:space="preserve">, DV for</w:t>
      </w:r>
      <w:r>
        <w:t xml:space="preserve"> </w:t>
      </w:r>
      <w:r>
        <w:rPr>
          <w:i/>
          <w:iCs/>
        </w:rPr>
        <w:t xml:space="preserve">Diskurs und Verantwortung</w:t>
      </w:r>
      <w:r>
        <w:t xml:space="preserve">, and ML for the Mercier Lectures). Where an inference is drawn from a cited passage and not stated in it, the inference is the chapter’s; the apparatus records the cited wording and does not repeat this disclaimer at every note. Aristotle is quoted from the Revised Oxford Translation unless another rendering is named; the Greek of</w:t>
      </w:r>
      <w:r>
        <w:t xml:space="preserve"> </w:t>
      </w:r>
      <w:r>
        <w:rPr>
          <w:i/>
          <w:iCs/>
        </w:rPr>
        <w:t xml:space="preserve">Metaphysics</w:t>
      </w:r>
      <w:r>
        <w:t xml:space="preserve"> </w:t>
      </w:r>
      <w:r>
        <w:t xml:space="preserve">Γ is that of Ross’s edition of 1924, and Bekker numeration is used throughout.</w:t>
      </w:r>
    </w:p>
    <w:bookmarkStart w:id="10" w:name="introduction"/>
    <w:p>
      <w:pPr>
        <w:pStyle w:val="Heading3"/>
      </w:pPr>
      <w:r>
        <w:t xml:space="preserve">Introduction</w:t>
      </w:r>
    </w:p>
    <w:p>
      <w:pPr>
        <w:pStyle w:val="FirstParagraph"/>
      </w:pPr>
      <w:r>
        <w:t xml:space="preserve">This chapter conducts the dispute between Apel and Habermas over the ultimate justification (</w:t>
      </w:r>
      <w:r>
        <w:rPr>
          <w:i/>
          <w:iCs/>
        </w:rPr>
        <w:t xml:space="preserve">Letztbegründung</w:t>
      </w:r>
      <w:r>
        <w:t xml:space="preserve">) of ethics, and it is the ground on which the thesis reaches the aporia stated in §3.4. Its finding is that the dispute has been mislocated by both its parties’ readers and, at moments, by the parties themselves. It is not a contest between a foundationalist and an anti-foundationalist method. Both thinkers have executed the pragmatic turn; both convict the denier of the presuppositions of argumentation out of his own performance; and neither grounds by deriving one sentence from another, which is the conception of grounding Apel takes Albert’s trilemma to presuppose. What divides them is what the shared method yields: the location and the modal standing of the presuppositions it discloses. Once the dispute is placed there, it ceases to be a quarrel about how strongly the presuppositions bind, on which the reception has circled without result, and becomes a question of scope with a determinate burden of proof on each side: whether the conditions of determinate signification already carry the reciprocal norms which the rules of discourse articulate. That reformulation is the chapter’s principal result.</w:t>
      </w:r>
    </w:p>
    <w:p>
      <w:pPr>
        <w:pStyle w:val="BodyText"/>
      </w:pPr>
      <w:r>
        <w:t xml:space="preserve">The chapter has four parts. §3.1 locates the dispute: the paradigm of language which both programmes share and the counter-programme Apel raises upon it; the diagnosis of an abstractive fallacy which both level at the tradition and neither at the other; the site at which the two divide, which is a difference between two concepts of grounding and not a difference of degree; and the state of the question in the literature. §3.2 takes up the instrument with which the modal question is to be adjudicated. The categorial premise which Chapter Two §2.2.2 states, that what a speaker enacts in arguing and the proposition in which a theorist states it are items of different kinds, is defended here against the objections an inferentialist and a transcendental pragmatist would raise, is declared falsifiable, and is used to show that no resource of a reconstructive science carries the modal standing of an enactment across to a proposition about it. §3.3 supplies the form of investigation which the question then requires, which is elenctic and not demonstrative, fixes what such an investigation yields under the name of reflexive irrefutability, and converts the modal quarrel into a question of scope. §3.4 carries the result into the theory of truth, where the aporia of the meaning of truth appears as the modal fracture of §3.1 in another register.</w:t>
      </w:r>
    </w:p>
    <w:p>
      <w:pPr>
        <w:pStyle w:val="BodyText"/>
      </w:pPr>
      <w:r>
        <w:t xml:space="preserve">Two disciplines hold throughout. The universalisation principle (U) and the discourse principle (D) are distinguished wherever either appears, the first in its wording of 1983 (Chapter One §1.5.3) and the second in that of 1992 (Chapter Four §4.2.1). Performative self-contradiction is used in the bounded sense fixed at Chapter Two §2.2.2, on which a speaker’s assertion is defeated not by a contrary proposition but by the conditions of his own asserting, and in no wider sense. From Chapter One the chapter takes the illocutionary bond (§1.4.2), the retraction of the epistemic conception of truth (§1.5.6), and Apel’s counter-programme as it stands upon the interval between reconstruction and bindingness (§1.6). From Chapter Two it takes the three constitutive commitments of reconstructive science and the categorial premise. To Chapter Four it hands the second-stage question on which the dropout turns, and to the Conclusion the aporia.</w:t>
      </w:r>
    </w:p>
    <w:bookmarkEnd w:id="10"/>
    <w:bookmarkEnd w:id="11"/>
    <w:bookmarkStart w:id="155" w:name="the-dispute-correctly-located"/>
    <w:p>
      <w:pPr>
        <w:pStyle w:val="Heading2"/>
      </w:pPr>
      <w:r>
        <w:t xml:space="preserve">§3.1 · The Dispute Correctly Located</w:t>
      </w:r>
    </w:p>
    <w:bookmarkStart w:id="17" w:name="Xa7c3829987336461927a1f7384de6781fb1a60b"/>
    <w:p>
      <w:pPr>
        <w:pStyle w:val="Heading3"/>
      </w:pPr>
      <w:r>
        <w:t xml:space="preserve">§3.1.1 · The paradigm of language and the counter-programme</w:t>
      </w:r>
    </w:p>
    <w:p>
      <w:pPr>
        <w:pStyle w:val="FirstParagraph"/>
      </w:pPr>
      <w:r>
        <w:t xml:space="preserve">The later of Habermas’s two direct replies to Apel credits him with a displacement rather than a doctrine. Habermas regards</w:t>
      </w:r>
      <w:r>
        <w:t xml:space="preserve"> </w:t>
      </w:r>
      <w:r>
        <w:t xml:space="preserve">‘his critical step from logical semantics to formal pragmatics (and the paradigm shift from the philosophy of consciousness to the philosophy of language built upon it) in any case as his groundbreaking achievement’</w:t>
      </w:r>
      <w:r>
        <w:t xml:space="preserve">, and the essay’s abstract adds a complaint: that the achievement, which consisted in completing the linguistic turn,</w:t>
      </w:r>
      <w:r>
        <w:t xml:space="preserve"> </w:t>
      </w:r>
      <w:r>
        <w:t xml:space="preserve">‘has been unjustly overshadowed by the tenacious debate over the</w:t>
      </w:r>
      <w:r>
        <w:t xml:space="preserve"> </w:t>
      </w:r>
      <w:r>
        <w:t xml:space="preserve">“ultimate justification”</w:t>
      </w:r>
      <w:r>
        <w:t xml:space="preserve"> </w:t>
      </w:r>
      <w:r>
        <w:t xml:space="preserve">of ethics’</w:t>
      </w:r>
      <w:r>
        <w:t xml:space="preserve">.</w:t>
      </w:r>
      <w:r>
        <w:rPr>
          <w:rStyle w:val="FootnoteReference"/>
        </w:rPr>
        <w:footnoteReference w:id="12"/>
      </w:r>
      <w:r>
        <w:t xml:space="preserve"> </w:t>
      </w:r>
      <w:r>
        <w:t xml:space="preserve">The complaint is entered by one of the two parties, and it is granted here in the following form: the step the debate has overshadowed is stated before the debate is conducted, and the debate is conducted upon it. That what the two thinkers share is not a preliminary to their disagreement but the achievement on which their disagreement depends is a further claim, argued at §3.1.2.</w:t>
      </w:r>
    </w:p>
    <w:p>
      <w:pPr>
        <w:pStyle w:val="BodyText"/>
      </w:pPr>
      <w:r>
        <w:t xml:space="preserve">The shift from the philosophy of consciousness to the philosophy of language is not a change of subject-matter but a change in what is taken as given. Where the philosophy of consciousness begins with a subject’s representations and asks how they reach a world and other subjects, the philosophy of language begins with an achievement which is already intersubjective and asks what a subject must be in order to participate in it. The two questions are not versions of one another, and an answer to the second is not to be had by accumulating answers to the first. Both programmes stand on the far side of that reordering, Apel in the Preface of 1978 quoted below and Habermas in the acknowledgement quoted above, and where they part is fixed at §3.1.3.</w:t>
      </w:r>
    </w:p>
    <w:p>
      <w:pPr>
        <w:pStyle w:val="BodyText"/>
      </w:pPr>
      <w:r>
        <w:t xml:space="preserve">Apel presents his counter-programme as a paradigm and not as a position within one. In the Preface to the English edition of</w:t>
      </w:r>
      <w:r>
        <w:t xml:space="preserve"> </w:t>
      </w:r>
      <w:r>
        <w:rPr>
          <w:i/>
          <w:iCs/>
        </w:rPr>
        <w:t xml:space="preserve">Towards a Transformation of Philosophy</w:t>
      </w:r>
      <w:r>
        <w:t xml:space="preserve"> </w:t>
      </w:r>
      <w:r>
        <w:t xml:space="preserve">he describes the integration of a transcendental pragmatics of language into a transcendental semiotics</w:t>
      </w:r>
      <w:r>
        <w:t xml:space="preserve"> </w:t>
      </w:r>
      <w:r>
        <w:t xml:space="preserve">‘which is considered as a new (third) paradigm of First Philosophy (after pre-Kantian ontology and the post-Kantian transcendental philosophy of consciousness)’</w:t>
      </w:r>
      <w:r>
        <w:t xml:space="preserve">.</w:t>
      </w:r>
      <w:r>
        <w:rPr>
          <w:rStyle w:val="FootnoteReference"/>
        </w:rPr>
        <w:footnoteReference w:id="13"/>
      </w:r>
      <w:r>
        <w:t xml:space="preserve"> </w:t>
      </w:r>
      <w:r>
        <w:t xml:space="preserve">The sequence is not a chronicle. Elsewhere he derives it from the triadic relation of the sign-function by what he presents as a logic of abstraction, each earlier paradigm characterised by what it fails to thematise and its difficulties following from that failure.</w:t>
      </w:r>
      <w:r>
        <w:rPr>
          <w:rStyle w:val="FootnoteReference"/>
        </w:rPr>
        <w:footnoteReference w:id="14"/>
      </w:r>
      <w:r>
        <w:t xml:space="preserve"> </w:t>
      </w:r>
      <w:r>
        <w:t xml:space="preserve">The diagnosis of an abstractive fallacy, stated at §3.1.2, is accordingly Apel’s own instrument and not one applied to him from outside; §3.3.3 turns it upon the counter-programme’s strongest form.</w:t>
      </w:r>
    </w:p>
    <w:p>
      <w:pPr>
        <w:pStyle w:val="BodyText"/>
      </w:pPr>
      <w:r>
        <w:t xml:space="preserve">Beneath the paradigm-claim lies a thesis about meaning on which the modal claims of the counter-programme rest and which §3.3.4 examines: that the sign-function which mediates the intersubjective validity of any constitution of meaning</w:t>
      </w:r>
      <w:r>
        <w:t xml:space="preserve"> </w:t>
      </w:r>
      <w:r>
        <w:t xml:space="preserve">‘turns out to be a transcendental condition of the possibility, rather than a possible object, of sign-mediated knowledge’</w:t>
      </w:r>
      <w:r>
        <w:t xml:space="preserve">.</w:t>
      </w:r>
      <w:r>
        <w:rPr>
          <w:rStyle w:val="FootnoteReference"/>
        </w:rPr>
        <w:footnoteReference w:id="15"/>
      </w:r>
      <w:r>
        <w:t xml:space="preserve"> </w:t>
      </w:r>
      <w:r>
        <w:t xml:space="preserve">The paradigm-claim turns on the constitution of intersubjective validity in sign-use and not on the commonplace that signs are used. Only the first denies that a solitary subject’s meaning is a prior achievement which language then transmits, and no party disputes the second.</w:t>
      </w:r>
    </w:p>
    <w:p>
      <w:pPr>
        <w:pStyle w:val="BodyText"/>
      </w:pPr>
      <w:r>
        <w:t xml:space="preserve">Apel also enters a charge about the refusal of ultimate justification, and it fixes from his side where the disagreement lies: Habermas seems more concerned, as he puts it, to avoid the term ultimate foundation than to avoid what the term refers to.</w:t>
      </w:r>
      <w:r>
        <w:rPr>
          <w:rStyle w:val="FootnoteReference"/>
        </w:rPr>
        <w:footnoteReference w:id="16"/>
      </w:r>
      <w:r>
        <w:t xml:space="preserve"> </w:t>
      </w:r>
      <w:r>
        <w:t xml:space="preserve">What the charge locates is not the method, which both practise, but the standing of what the method yields. The reluctance it reports attaches to the term and not to the thing named, so that what stands between the two thinkers is what may be claimed for the yield and not how the yield is reached. The remainder of §3.1 locates that claim.</w:t>
      </w:r>
    </w:p>
    <w:bookmarkEnd w:id="17"/>
    <w:bookmarkStart w:id="23" w:name="X4d7d241b6d4247dcc3f50529f5cda47ed5b4583"/>
    <w:p>
      <w:pPr>
        <w:pStyle w:val="Heading3"/>
      </w:pPr>
      <w:r>
        <w:t xml:space="preserve">§3.1.2 · The abstractive fallacy as shared diagnosis, and the shared instrument</w:t>
      </w:r>
    </w:p>
    <w:p>
      <w:pPr>
        <w:pStyle w:val="FirstParagraph"/>
      </w:pPr>
      <w:r>
        <w:t xml:space="preserve">Apel’s name for the fault which the three abstractions of formal semantics commit (Chapter One §1.3.1) is</w:t>
      </w:r>
      <w:r>
        <w:t xml:space="preserve"> </w:t>
      </w:r>
      <w:r>
        <w:t xml:space="preserve">‘abstractive fallacy’</w:t>
      </w:r>
      <w:r>
        <w:t xml:space="preserve">, and the name is semiotic before it is epistemological.</w:t>
      </w:r>
      <w:r>
        <w:rPr>
          <w:rStyle w:val="FootnoteReference"/>
        </w:rPr>
        <w:footnoteReference w:id="18"/>
      </w:r>
      <w:r>
        <w:t xml:space="preserve"> </w:t>
      </w:r>
      <w:r>
        <w:t xml:space="preserve">The fallacy is committed wherever the triadicity of semiosis is reduced: wherever the third place in the sign-relation, held by an interpreter for whom something stands for something, is dissolved into the sign-system instead of being reflected upon. The dissolution is intelligible as a methodological economy rather than as a blunder. A two-term relation between a sign and its designatum is tractable by the instruments the tradition had refined, whereas the third term cannot be specified without reference to a community of interpreters and to the conditions under which what a sign stands for is available to them as this rather than that. What the economy costs is settled by the place it vacates: meaning is analysed without the interpreter, and the categories of the analysis are categories in which no interpreter is named.</w:t>
      </w:r>
    </w:p>
    <w:p>
      <w:pPr>
        <w:pStyle w:val="BodyText"/>
      </w:pPr>
      <w:r>
        <w:t xml:space="preserve">Two consequences follow for what a critic of the tradition may then do. First, the fault lies in what was set aside and not in the treatment of what remained, so that the semantic apparatus built under the abstraction stands and is available for adoption entire; what is contested is a claim to completeness, not a body of analysis. Second, a domain narrowed by omission is repaired by supplement, and the additions may be, as the sequence Chapter One §1.3.1 sets out shows they were, the tradition’s own. The species of the fault which operates in this chapter is not the semantic one but its counterpart in the theory of grounding. Where the interpreter is absent from the account of meaning, the arguer is absent from the account of justification, and the trilemma is the shape the grounding problem assumes once he is gone. Apel’s own statement is that the reduction of grounding</w:t>
      </w:r>
      <w:r>
        <w:t xml:space="preserve"> </w:t>
      </w:r>
      <w:r>
        <w:t xml:space="preserve">‘to the sense of the deduction of sentences from sentences’</w:t>
      </w:r>
      <w:r>
        <w:t xml:space="preserve"> </w:t>
      </w:r>
      <w:r>
        <w:t xml:space="preserve">rests</w:t>
      </w:r>
      <w:r>
        <w:t xml:space="preserve"> </w:t>
      </w:r>
      <w:r>
        <w:t xml:space="preserve">‘fundamentally on an</w:t>
      </w:r>
      <w:r>
        <w:t xml:space="preserve"> </w:t>
      </w:r>
      <w:r>
        <w:t xml:space="preserve">“abstractive fallacy”</w:t>
      </w:r>
      <w:r>
        <w:t xml:space="preserve">’</w:t>
      </w:r>
      <w:r>
        <w:t xml:space="preserve">, the abstraction being from the pragmatic dimension of argumentative language use.</w:t>
      </w:r>
      <w:r>
        <w:rPr>
          <w:rStyle w:val="FootnoteReference"/>
        </w:rPr>
        <w:footnoteReference w:id="19"/>
      </w:r>
      <w:r>
        <w:t xml:space="preserve"> </w:t>
      </w:r>
      <w:r>
        <w:t xml:space="preserve">On the formulation this chapter adopts, and which Apel does not state in this form, the trilemma is generated by the abstraction rather than discovered by the analysis: where the performative dimension is bracketed, every candidate ground appears as one more sentence in need of a further one, and regress, circle and arbitrary break-off exhaust the field by construction. With the bracketed dimension restored a fourth possibility appears which the trilemma cannot classify, a condition which is not asserted but exercised.</w:t>
      </w:r>
    </w:p>
    <w:p>
      <w:pPr>
        <w:pStyle w:val="BodyText"/>
      </w:pPr>
      <w:r>
        <w:t xml:space="preserve">The fourth possibility is available to any foundationalist who cares to claim it, and a criterion which cannot tell an elenctic exhibition from a dogmatic break-off dressed in performative vocabulary is no criterion. One mark distinguishes them, and §3.3.1 applies it: whether the procedure advances a proposition of its own. What is claimed at this stage is narrow, and its failure condition goes with it. The exhaustiveness of the trilemma was secured by an abstraction; should §3.3 fail to show that an exhibition of the elenctic kind escapes the trilemma, the thesis fails at its constructive step and not at its diagnostic one, the deficit having been derived in Chapter Two independently of the exhibition.</w:t>
      </w:r>
    </w:p>
    <w:p>
      <w:pPr>
        <w:pStyle w:val="BodyText"/>
      </w:pPr>
      <w:r>
        <w:t xml:space="preserve">Both thinkers stand on the same side of this diagnosis and employ the same instrument. Apel formulates the shared method in 1993: discourse ethics</w:t>
      </w:r>
      <w:r>
        <w:t xml:space="preserve"> </w:t>
      </w:r>
      <w:r>
        <w:t xml:space="preserve">‘gives a rational foundation of its claim to universal validity without making use of the traditional type of grounding through deriving something from something else, i.e. through deduction, induction or abduction’</w:t>
      </w:r>
      <w:r>
        <w:t xml:space="preserve">, and</w:t>
      </w:r>
      <w:r>
        <w:t xml:space="preserve"> </w:t>
      </w:r>
      <w:r>
        <w:t xml:space="preserve">‘makes use of a transcendental-reflexive and communicative type of rationality’</w:t>
      </w:r>
      <w:r>
        <w:t xml:space="preserve"> </w:t>
      </w:r>
      <w:r>
        <w:t xml:space="preserve">instead.</w:t>
      </w:r>
      <w:r>
        <w:rPr>
          <w:rStyle w:val="FootnoteReference"/>
        </w:rPr>
        <w:footnoteReference w:id="20"/>
      </w:r>
      <w:r>
        <w:t xml:space="preserve"> </w:t>
      </w:r>
      <w:r>
        <w:t xml:space="preserve">Habermas acknowledges in 1983 that his own procedure of exhibiting the idealising content of unavoidable presuppositions follows Apel’s strategy of confirming presuppositions indirectly, by identifying the performative contradictions into which their denial falls.</w:t>
      </w:r>
      <w:r>
        <w:rPr>
          <w:rStyle w:val="FootnoteReference"/>
        </w:rPr>
        <w:footnoteReference w:id="21"/>
      </w:r>
      <w:r>
        <w:t xml:space="preserve"> </w:t>
      </w:r>
      <w:r>
        <w:t xml:space="preserve">Apel levels the fallacy at Carnap, Popper and Albert under that name; Habermas, on the acknowledgement of 1983, took from Apel the method which repairs it. Neither levels the fault at the other.</w:t>
      </w:r>
    </w:p>
    <w:p>
      <w:pPr>
        <w:pStyle w:val="BodyText"/>
      </w:pPr>
      <w:r>
        <w:t xml:space="preserve">The recalibration secures at the outset that the dispute is not, in the first instance, methodological. Both thinkers have executed the pragmatic turn; both practise the confutative method; and both proceed non-deductively, Habermas recording in 2003 that he follows</w:t>
      </w:r>
      <w:r>
        <w:t xml:space="preserve"> </w:t>
      </w:r>
      <w:r>
        <w:t xml:space="preserve">‘the nondeductive model of justification developed by Apel’</w:t>
      </w:r>
      <w:r>
        <w:t xml:space="preserve">.</w:t>
      </w:r>
      <w:r>
        <w:rPr>
          <w:rStyle w:val="FootnoteReference"/>
        </w:rPr>
        <w:footnoteReference w:id="22"/>
      </w:r>
      <w:r>
        <w:t xml:space="preserve"> </w:t>
      </w:r>
      <w:r>
        <w:t xml:space="preserve">They do not, however, abandon the same thing. Apel abandons the deductivist conception of grounding on which the trilemma depends. What Habermas surrenders, later and more narrowly, is the aspiration to derive (U) from the rules of discourse by strictly formal means, in favour of an abductive justification (Chapter One §1.5.5). The disagreement presupposes a shared achievement and concerns the location and modal status of what that achievement yields; it does not concern the general form of inquiry by which the yield is reached.</w:t>
      </w:r>
    </w:p>
    <w:bookmarkEnd w:id="23"/>
    <w:bookmarkStart w:id="39" w:name="Xe60c63b2461a0930451d26944a7d599fe9a7620"/>
    <w:p>
      <w:pPr>
        <w:pStyle w:val="Heading3"/>
      </w:pPr>
      <w:r>
        <w:t xml:space="preserve">§3.1.3 · The site of the disagreement: two concepts of grounding, the asymmetry of provenance, and the socio-ontology of the moral</w:t>
      </w:r>
      <w:r>
        <w:t xml:space="preserve"> </w:t>
      </w:r>
      <w:r>
        <w:t xml:space="preserve">‘ought’</w:t>
      </w:r>
    </w:p>
    <w:p>
      <w:pPr>
        <w:pStyle w:val="FirstParagraph"/>
      </w:pPr>
      <w:r>
        <w:t xml:space="preserve">The reception has cast the dispute as reconstruction, on Habermas’s side, against strict reflection on the side of Apel and Kuhlmann.</w:t>
      </w:r>
      <w:r>
        <w:rPr>
          <w:rStyle w:val="FootnoteReference"/>
        </w:rPr>
        <w:footnoteReference w:id="24"/>
      </w:r>
      <w:r>
        <w:t xml:space="preserve"> </w:t>
      </w:r>
      <w:r>
        <w:t xml:space="preserve">The contrast is correct about the two methods and too coarse about what divides them, because the deeper dispute opens only after the pragmatic turn has been made and the confutative procedure accepted by both, and it concerns what that procedure yields. At issue is neither whether moral norms must be exposed to practical discourse nor whether validity claims require intersubjective assessment, both of which Apel affirms. The question arises one level earlier: what makes a reason capable of grounding a validity claim, and by what criterion reasons are ranked without validity collapsing into effectiveness, convenience, or the bare success of a proposal in securing assent. McCarthy put the point in 1978 against the consensus theory of that time:</w:t>
      </w:r>
      <w:r>
        <w:t xml:space="preserve"> </w:t>
      </w:r>
      <w:r>
        <w:t xml:space="preserve">‘if the criteria that serve to distinguish a</w:t>
      </w:r>
      <w:r>
        <w:t xml:space="preserve"> </w:t>
      </w:r>
      <w:r>
        <w:t xml:space="preserve">“grounded”</w:t>
      </w:r>
      <w:r>
        <w:t xml:space="preserve"> </w:t>
      </w:r>
      <w:r>
        <w:t xml:space="preserve">from an illusory consensus themselves require discursive justification, we are moving in a circle; if not, we have transcended the consensus framework’</w:t>
      </w:r>
      <w:r>
        <w:t xml:space="preserve">.</w:t>
      </w:r>
      <w:r>
        <w:rPr>
          <w:rStyle w:val="FootnoteReference"/>
        </w:rPr>
        <w:footnoteReference w:id="25"/>
      </w:r>
      <w:r>
        <w:t xml:space="preserve"> </w:t>
      </w:r>
      <w:r>
        <w:t xml:space="preserve">A reason may be the more effective in producing agreement without being the more valid, and the relation between a reason’s efficacy and its validity is not a scale on which the second is a higher degree of the first.</w:t>
      </w:r>
    </w:p>
    <w:p>
      <w:pPr>
        <w:pStyle w:val="BodyText"/>
      </w:pPr>
      <w:r>
        <w:t xml:space="preserve">Apel located his objection at this level himself, in the programmatic paper of 2014, so that the placement need not be inferred on his behalf. Reviewing the divergence, he charges, with the reservation</w:t>
      </w:r>
      <w:r>
        <w:t xml:space="preserve"> </w:t>
      </w:r>
      <w:r>
        <w:t xml:space="preserve">‘wenn ich recht verstehe’</w:t>
      </w:r>
      <w:r>
        <w:t xml:space="preserve">, that Habermas abandoned the grounding of ethics in a presupposition of discourse and reduced the normative relevance of the discourse a priori to</w:t>
      </w:r>
      <w:r>
        <w:t xml:space="preserve"> </w:t>
      </w:r>
      <w:r>
        <w:t xml:space="preserve">‘die moralisch neutrale Funktion einer »formalen« Diskursbedingung’</w:t>
      </w:r>
      <w:r>
        <w:t xml:space="preserve">. Were such a reduction possible, the possibility of a rational grounding of morality would be surrendered altogether, because only the structure of argumentative discourse is, in any rational discussion,</w:t>
      </w:r>
      <w:r>
        <w:t xml:space="preserve"> </w:t>
      </w:r>
      <w:r>
        <w:t xml:space="preserve">‘ein nicht hintergehbares und daher unbestreitbares Apriori’</w:t>
      </w:r>
      <w:r>
        <w:t xml:space="preserve">: an a priori which cannot be gone behind and is for that reason indisputable.</w:t>
      </w:r>
      <w:r>
        <w:rPr>
          <w:rStyle w:val="FootnoteReference"/>
        </w:rPr>
        <w:footnoteReference w:id="26"/>
      </w:r>
      <w:r>
        <w:t xml:space="preserve"> </w:t>
      </w:r>
      <w:r>
        <w:t xml:space="preserve">The formulation is directed at the neutralisation of the discourse a priori and not at any doctrine about moral norms; what is at issue is the possibility of rational grounding as such; and its warrant is a claim about the standing of a structure and not about how strongly the presuppositions bind.</w:t>
      </w:r>
    </w:p>
    <w:p>
      <w:pPr>
        <w:pStyle w:val="BodyText"/>
      </w:pPr>
      <w:r>
        <w:t xml:space="preserve">The same paper makes the underlying commitment explicit in a form which settles what kind of dispute this is. Apel records that he never contested Albert’s trilemma as such; what he contested were Albert’s presuppositions concerning the philosophically relevant concept of grounding. Albert assumes a deductive concept, or more broadly a concept of derivation from something else; Apel had from the outset assumed a reflexive concept, whose logical point lies in the avoidance of the performative self-contradiction of argumentation, the procedure for which Kuhlmann later supplied the term</w:t>
      </w:r>
      <w:r>
        <w:t xml:space="preserve"> </w:t>
      </w:r>
      <w:r>
        <w:rPr>
          <w:i/>
          <w:iCs/>
        </w:rPr>
        <w:t xml:space="preserve">strikte Reflexion</w:t>
      </w:r>
      <w:r>
        <w:t xml:space="preserve">.</w:t>
      </w:r>
      <w:r>
        <w:rPr>
          <w:rStyle w:val="FootnoteReference"/>
        </w:rPr>
        <w:footnoteReference w:id="27"/>
      </w:r>
      <w:r>
        <w:t xml:space="preserve"> </w:t>
      </w:r>
      <w:r>
        <w:t xml:space="preserve">The commitment is not a late one. Reconstructing the trilemma in 1975, he had held that</w:t>
      </w:r>
      <w:r>
        <w:t xml:space="preserve"> </w:t>
      </w:r>
      <w:r>
        <w:t xml:space="preserve">‘the possible argumentation against the evidence postulate of classical rationalism has no direct connection with the third alternative of this formal-logically deduced trilemma’</w:t>
      </w:r>
      <w:r>
        <w:t xml:space="preserve">, what is contested being the concept of grounding under which an arrest of the regress counts as a suspension.</w:t>
      </w:r>
      <w:r>
        <w:rPr>
          <w:rStyle w:val="FootnoteReference"/>
        </w:rPr>
        <w:footnoteReference w:id="28"/>
      </w:r>
      <w:r>
        <w:t xml:space="preserve"> </w:t>
      </w:r>
      <w:r>
        <w:t xml:space="preserve">The dispute is therefore, in the last analysis, not a disagreement about morality but a disagreement about what it is for a reason to be grounded, conducted between two rival concepts of grounding. It is not adjudicable by the arguments so far offered within moral theory, which is where the literature has largely conducted it, and that is part of why it has not been resolved.</w:t>
      </w:r>
    </w:p>
    <w:p>
      <w:pPr>
        <w:pStyle w:val="BodyText"/>
      </w:pPr>
      <w:r>
        <w:t xml:space="preserve">What both programmes take as their ground is a practice, which Habermas calls the practice of argumentation: in 1981 the court of appeal which continues communicative action with other means when routine repair fails, in 2020</w:t>
      </w:r>
      <w:r>
        <w:t xml:space="preserve"> </w:t>
      </w:r>
      <w:r>
        <w:t xml:space="preserve">‘this practice of giving and asking for reasons’</w:t>
      </w:r>
      <w:r>
        <w:t xml:space="preserve">, for which no functional equivalent is known</w:t>
      </w:r>
      <w:r>
        <w:t xml:space="preserve"> </w:t>
      </w:r>
      <w:r>
        <w:t xml:space="preserve">‘in any of the sociocultural forms of life that we know of’</w:t>
      </w:r>
      <w:r>
        <w:t xml:space="preserve">.</w:t>
      </w:r>
      <w:r>
        <w:rPr>
          <w:rStyle w:val="FootnoteReference"/>
        </w:rPr>
        <w:footnoteReference w:id="29"/>
      </w:r>
      <w:r>
        <w:t xml:space="preserve"> </w:t>
      </w:r>
      <w:r>
        <w:t xml:space="preserve">Apel describes the same practice under a stronger predicate and presents the predicate as demonstrated. In the provisional assessment of 1986 he takes up an objection which would have the presuppositions of argumentation established empirically, by interrogating competent speakers after Chomsky’s manner under the licence of the reconstructive sciences, and answers it by a retorsion on the proposal itself: the methodical sense of the proposed procedure cannot be comprehended without the validity claims and their possible discursive redemption being already presupposed. With this, he writes,</w:t>
      </w:r>
      <w:r>
        <w:t xml:space="preserve"> </w:t>
      </w:r>
      <w:r>
        <w:t xml:space="preserve">‘it is patently demonstrated’</w:t>
      </w:r>
      <w:r>
        <w:t xml:space="preserve"> </w:t>
      </w:r>
      <w:r>
        <w:t xml:space="preserve">that the presuppositions are, for everyone who argues,</w:t>
      </w:r>
      <w:r>
        <w:t xml:space="preserve"> </w:t>
      </w:r>
      <w:r>
        <w:t xml:space="preserve">‘uncircumventable, untranscendable, (</w:t>
      </w:r>
      <w:r>
        <w:rPr>
          <w:i/>
          <w:iCs/>
        </w:rPr>
        <w:t xml:space="preserve">nichthintergehbar</w:t>
      </w:r>
      <w:r>
        <w:t xml:space="preserve">) and inasmuch, undebatable, unquestionable’</w:t>
      </w:r>
      <w:r>
        <w:t xml:space="preserve">; and their affirmation</w:t>
      </w:r>
      <w:r>
        <w:t xml:space="preserve"> </w:t>
      </w:r>
      <w:r>
        <w:t xml:space="preserve">‘is infallible inasmuch as they make possible that fallible hypotheses and their demonstration have meaning’</w:t>
      </w:r>
      <w:r>
        <w:t xml:space="preserve">.</w:t>
      </w:r>
      <w:r>
        <w:rPr>
          <w:rStyle w:val="FootnoteReference"/>
        </w:rPr>
        <w:footnoteReference w:id="30"/>
      </w:r>
      <w:r>
        <w:t xml:space="preserve"> </w:t>
      </w:r>
      <w:r>
        <w:t xml:space="preserve">The predicate</w:t>
      </w:r>
      <w:r>
        <w:t xml:space="preserve"> </w:t>
      </w:r>
      <w:r>
        <w:t xml:space="preserve">‘infallible’</w:t>
      </w:r>
      <w:r>
        <w:t xml:space="preserve"> </w:t>
      </w:r>
      <w:r>
        <w:t xml:space="preserve">is not Habermas’s. The demarcation between the two programmes is, however, one of claim and not of vocabulary, as §3.2.4 shows of</w:t>
      </w:r>
      <w:r>
        <w:t xml:space="preserve"> </w:t>
      </w:r>
      <w:r>
        <w:rPr>
          <w:i/>
          <w:iCs/>
        </w:rPr>
        <w:t xml:space="preserve">nichthintergehbar</w:t>
      </w:r>
      <w:r>
        <w:t xml:space="preserve">: unavoidability for a practice which has no known functional equivalent, and untranscendability, are claims of different kinds and not two grades of one claim.</w:t>
      </w:r>
    </w:p>
    <w:p>
      <w:pPr>
        <w:pStyle w:val="BodyText"/>
      </w:pPr>
      <w:r>
        <w:t xml:space="preserve">The difference of kind has a provenance, and the present reading locates it there. Habermas reaches the ineliminable second person through the acceptability conditions of speech acts, which</w:t>
      </w:r>
      <w:r>
        <w:t xml:space="preserve"> </w:t>
      </w:r>
      <w:r>
        <w:t xml:space="preserve">‘cannot be satisfied one-sidedly, either relative to the speaker or to the hearer’</w:t>
      </w:r>
      <w:r>
        <w:t xml:space="preserve">, being conditions for the intersubjective recognition of a linguistic claim; the resulting principle of formal pragmatics, he writes in 2020,</w:t>
      </w:r>
      <w:r>
        <w:t xml:space="preserve"> </w:t>
      </w:r>
      <w:r>
        <w:t xml:space="preserve">‘generalizes Apel’s reflection on validity (</w:t>
      </w:r>
      <w:r>
        <w:rPr>
          <w:i/>
          <w:iCs/>
        </w:rPr>
        <w:t xml:space="preserve">Geltungsreflexion</w:t>
      </w:r>
      <w:r>
        <w:t xml:space="preserve">) from</w:t>
      </w:r>
      <w:r>
        <w:t xml:space="preserve"> </w:t>
      </w:r>
      <w:r>
        <w:t xml:space="preserve">“truth”</w:t>
      </w:r>
      <w:r>
        <w:t xml:space="preserve"> </w:t>
      </w:r>
      <w:r>
        <w:t xml:space="preserve">to a variety of rationally redeemable validity claims’</w:t>
      </w:r>
      <w:r>
        <w:t xml:space="preserve">.</w:t>
      </w:r>
      <w:r>
        <w:rPr>
          <w:rStyle w:val="FootnoteReference"/>
        </w:rPr>
        <w:footnoteReference w:id="31"/>
      </w:r>
      <w:r>
        <w:t xml:space="preserve"> </w:t>
      </w:r>
      <w:r>
        <w:t xml:space="preserve">Apel reaches the same second person through the interpretant, the third place in the sign-relation whose dissolution §3.1.2 diagnosed, without which nothing is a sign. Both locate the ineliminable other in the internal relation of meaning and validity, Habermas in the conditions of a practice, Apel in those of signification as such. The difference is named here the</w:t>
      </w:r>
      <w:r>
        <w:t xml:space="preserve"> </w:t>
      </w:r>
      <w:r>
        <w:rPr>
          <w:i/>
          <w:iCs/>
        </w:rPr>
        <w:t xml:space="preserve">asymmetry of provenance</w:t>
      </w:r>
      <w:r>
        <w:t xml:space="preserve">: an asymmetry not in what the two programmes conclude but in the standing of the premise from which each reaches its conclusion. A practice may in principle have been otherwise; a condition of signification may not, on pain of there being nothing with which to imagine the alternative. Apel’s Peircean argument, examined at §3.3.4, is conditional in form: if the subject of truth-claims is conceived as a subject of sign-interpretation, then his claims are not redeemable by his own apperception; and its antecedent is a claim about what it is to mean anything at all. Habermas’s argument begins from what participants in a practice must concede to one another if the practice is to go on, and its warrant is a reconstruction of that practice. The first kind of premise is not defeated by exhibiting a community which does otherwise, if the argument of §3.3.2 holds, since a community which did otherwise would not be signifying; the second can be so defeated, and the indexing of the presuppositions to the forms of life so far known leaves it open to that defeat. The modal disagreement is seated there and not in a difference of confidence about a shared result.</w:t>
      </w:r>
    </w:p>
    <w:p>
      <w:pPr>
        <w:pStyle w:val="BodyText"/>
      </w:pPr>
      <w:r>
        <w:t xml:space="preserve">Habermas himself objects to a reading of this shape, and the objection must be met before the reading is used. A detranscendentalised conception</w:t>
      </w:r>
      <w:r>
        <w:t xml:space="preserve"> </w:t>
      </w:r>
      <w:r>
        <w:t xml:space="preserve">‘of de facto unavoidability for our species’</w:t>
      </w:r>
      <w:r>
        <w:t xml:space="preserve">, he holds,</w:t>
      </w:r>
      <w:r>
        <w:t xml:space="preserve"> </w:t>
      </w:r>
      <w:r>
        <w:t xml:space="preserve">‘also follows from Apel’s own anthropological grounding of epistemology’</w:t>
      </w:r>
      <w:r>
        <w:t xml:space="preserve">, since it was Apel who argued, against Gehlen, that a species released from instinctual guidance finds its stabilisation in language rather than in repressive institutions; and Apel, he adds,</w:t>
      </w:r>
      <w:r>
        <w:t xml:space="preserve"> </w:t>
      </w:r>
      <w:r>
        <w:t xml:space="preserve">‘was wary of the relativistic implications of an unacknowledged detranscendentalization of reason, although in fact he could not avoid it either’</w:t>
      </w:r>
      <w:r>
        <w:t xml:space="preserve">.</w:t>
      </w:r>
      <w:r>
        <w:rPr>
          <w:rStyle w:val="FootnoteReference"/>
        </w:rPr>
        <w:footnoteReference w:id="32"/>
      </w:r>
      <w:r>
        <w:t xml:space="preserve"> </w:t>
      </w:r>
      <w:r>
        <w:t xml:space="preserve">If the remark is right, both provenances lie on the side of a practice, Apel’s conditions of signification being themselves the conditions of a species-specific form of life, and the asymmetry collapses into a disagreement about emphasis. Three replies are available, and the third concedes what the objection is entitled to. The remark concerns the modality of the conclusion, whereas the present reading concerns the provenance of the premise, and an argument from conditions of signification may terminate in a claim indexed to the human species without its premise being a claim about that species. The remark is, further, an inference Habermas draws about what follows from Apel’s anthropology and not a report of what Apel argues, and Apel’s own statements at §3.3.4 do not take that route. Whether a condition of signification can ground more than de facto unavoidability is, however, the question §3.2.4 localises and §3.3 tests, and until it is settled the asymmetry of provenance is a location and not a result. No result below is inferred from it. Where the difference between an indexed claim and one that is not does work, at §3.3.2 and §3.3.6, it is carried by the retorsion and by the strong reading of the claim to intelligibility, and not by the provenance of either premise.</w:t>
      </w:r>
    </w:p>
    <w:p>
      <w:pPr>
        <w:pStyle w:val="BodyText"/>
      </w:pPr>
      <w:r>
        <w:t xml:space="preserve">Habermas’s essay of 2020 locates the disagreement at this same level, in terms of the mode of being of moral norms. The thesis it announces states the diagnosis of this chapter in his voice: the</w:t>
      </w:r>
      <w:r>
        <w:t xml:space="preserve"> </w:t>
      </w:r>
      <w:r>
        <w:t xml:space="preserve">‘direct strategy’</w:t>
      </w:r>
      <w:r>
        <w:t xml:space="preserve"> </w:t>
      </w:r>
      <w:r>
        <w:t xml:space="preserve">of an ultimate justification of moral demands fails</w:t>
      </w:r>
      <w:r>
        <w:t xml:space="preserve"> </w:t>
      </w:r>
      <w:r>
        <w:t xml:space="preserve">‘because the strong obligatory meaning of the moral</w:t>
      </w:r>
      <w:r>
        <w:t xml:space="preserve"> </w:t>
      </w:r>
      <w:r>
        <w:t xml:space="preserve">“ought”</w:t>
      </w:r>
      <w:r>
        <w:t xml:space="preserve"> </w:t>
      </w:r>
      <w:r>
        <w:t xml:space="preserve">(</w:t>
      </w:r>
      <w:r>
        <w:rPr>
          <w:i/>
          <w:iCs/>
        </w:rPr>
        <w:t xml:space="preserve">Sollgeltung</w:t>
      </w:r>
      <w:r>
        <w:t xml:space="preserve">) cannot be derived from the idealizing contents of what participants must conceptually presuppose when they enter rational discourse’</w:t>
      </w:r>
      <w:r>
        <w:t xml:space="preserve">.</w:t>
      </w:r>
      <w:r>
        <w:rPr>
          <w:rStyle w:val="FootnoteReference"/>
        </w:rPr>
        <w:footnoteReference w:id="33"/>
      </w:r>
      <w:r>
        <w:t xml:space="preserve"> </w:t>
      </w:r>
      <w:r>
        <w:t xml:space="preserve">What is declared to fail is a determinate strategy, and the essay’s closing movement offers an answer of another kind rather than abandoning the question. The positive account of where the obligatory meaning resides is socio-ontological, and it is reconstructed here in three moments.</w:t>
      </w:r>
    </w:p>
    <w:p>
      <w:pPr>
        <w:pStyle w:val="BodyText"/>
      </w:pPr>
      <w:r>
        <w:t xml:space="preserve">The first moment grants Apel the reciprocal structure of discourse in the concessive voice.</w:t>
      </w:r>
      <w:r>
        <w:t xml:space="preserve"> </w:t>
      </w:r>
      <w:r>
        <w:t xml:space="preserve">‘I do agree’</w:t>
      </w:r>
      <w:r>
        <w:t xml:space="preserve">, Habermas writes,</w:t>
      </w:r>
      <w:r>
        <w:t xml:space="preserve"> </w:t>
      </w:r>
      <w:r>
        <w:t xml:space="preserve">‘that Apel’s method of involving the sceptic in performative self-contradictions allows us to uncover in the general and necessary pragmatic presuppositions of rational discourse a normative layer comprising a few strong idealizations, such as the mutual expectation of equal treatment, comprehensive inclusion, as well as equal and unforced treatment of everybody possibly affected.’</w:t>
      </w:r>
      <w:r>
        <w:rPr>
          <w:rStyle w:val="FootnoteReference"/>
        </w:rPr>
        <w:footnoteReference w:id="34"/>
      </w:r>
      <w:r>
        <w:t xml:space="preserve"> </w:t>
      </w:r>
      <w:r>
        <w:t xml:space="preserve">The concession is unstinting, and it furnishes the premise from which §3.1.4 turns his own argument against him. The second moment withholds from that structure the moral</w:t>
      </w:r>
      <w:r>
        <w:t xml:space="preserve"> </w:t>
      </w:r>
      <w:r>
        <w:t xml:space="preserve">‘ought’</w:t>
      </w:r>
      <w:r>
        <w:t xml:space="preserve">.</w:t>
      </w:r>
      <w:r>
        <w:t xml:space="preserve"> </w:t>
      </w:r>
      <w:r>
        <w:t xml:space="preserve">‘The meaning of the moral</w:t>
      </w:r>
      <w:r>
        <w:t xml:space="preserve"> </w:t>
      </w:r>
      <w:r>
        <w:t xml:space="preserve">“ought”</w:t>
      </w:r>
      <w:r>
        <w:t xml:space="preserve"> </w:t>
      </w:r>
      <w:r>
        <w:t xml:space="preserve">as such cannot be extracted from the presuppositions of discourse’</w:t>
      </w:r>
      <w:r>
        <w:t xml:space="preserve">, because the orientation to reaching understanding which those presuppositions carry</w:t>
      </w:r>
      <w:r>
        <w:t xml:space="preserve"> </w:t>
      </w:r>
      <w:r>
        <w:t xml:space="preserve">‘is bound up with the discursive examination of a truth claim and therefore has a purely epistemic meaning’</w:t>
      </w:r>
      <w:r>
        <w:t xml:space="preserve">; even in practical discourses, which require participants to adopt one another’s perspectives,</w:t>
      </w:r>
      <w:r>
        <w:t xml:space="preserve"> </w:t>
      </w:r>
      <w:r>
        <w:t xml:space="preserve">‘what is at stake is mainly the epistemic meaning of the moral-cognitive question’</w:t>
      </w:r>
      <w:r>
        <w:t xml:space="preserve">.</w:t>
      </w:r>
      <w:r>
        <w:rPr>
          <w:rStyle w:val="FootnoteReference"/>
        </w:rPr>
        <w:footnoteReference w:id="35"/>
      </w:r>
      <w:r>
        <w:t xml:space="preserve"> </w:t>
      </w:r>
      <w:r>
        <w:t xml:space="preserve">The restriction is not the claim that moral normativity is weakly present in the presuppositions. It draws a categorial line between the conditions under which reasons of any kind may be assessed and the deontic force of the norms assessed, and this chapter reads it as categorial and not as gradual. The presuppositions are geared to the testing of validity, not to the binding of conduct; and the page which carries the restriction tells against any reading of Habermas as a covert naturalist, since what it refuses is precisely the extraction of an</w:t>
      </w:r>
      <w:r>
        <w:t xml:space="preserve"> </w:t>
      </w:r>
      <w:r>
        <w:t xml:space="preserve">‘ought’</w:t>
      </w:r>
      <w:r>
        <w:t xml:space="preserve"> </w:t>
      </w:r>
      <w:r>
        <w:t xml:space="preserve">from a fact about how a linguistically socialised species reproduces itself. The third moment supplies the positive account, and here the argument becomes socio-ontological in the strict sense.</w:t>
      </w:r>
      <w:r>
        <w:t xml:space="preserve"> </w:t>
      </w:r>
      <w:r>
        <w:t xml:space="preserve">‘Moral norms can only exist insofar as they are recognized as valid by social subjects and, in virtue of this intersubjective recognition, can actually expect to meet with compliance on the part of their addressees’</w:t>
      </w:r>
      <w:r>
        <w:t xml:space="preserve">; what makes moral utterances binding is traced to</w:t>
      </w:r>
      <w:r>
        <w:t xml:space="preserve"> </w:t>
      </w:r>
      <w:r>
        <w:t xml:space="preserve">‘the obligatory meaning and the socially integrating force of social norms that demand recognition and actual respect from acting subjects’</w:t>
      </w:r>
      <w:r>
        <w:t xml:space="preserve">; and</w:t>
      </w:r>
      <w:r>
        <w:t xml:space="preserve"> </w:t>
      </w:r>
      <w:r>
        <w:t xml:space="preserve">‘it is only whether they are worthy of recognition that is up for discussion in discourse’</w:t>
      </w:r>
      <w:r>
        <w:t xml:space="preserve">.</w:t>
      </w:r>
      <w:r>
        <w:rPr>
          <w:rStyle w:val="FootnoteReference"/>
        </w:rPr>
        <w:footnoteReference w:id="36"/>
      </w:r>
      <w:r>
        <w:t xml:space="preserve"> </w:t>
      </w:r>
      <w:r>
        <w:t xml:space="preserve">The moment identifies a social site from which norms enter discourse and acquire the force to demand recognition. It does not offer, and does not present itself as offering, a theory of how reasons are ranked once they are there.</w:t>
      </w:r>
    </w:p>
    <w:p>
      <w:pPr>
        <w:pStyle w:val="BodyText"/>
      </w:pPr>
      <w:r>
        <w:t xml:space="preserve">What the</w:t>
      </w:r>
      <w:r>
        <w:t xml:space="preserve"> </w:t>
      </w:r>
      <w:r>
        <w:t xml:space="preserve">‘weak-versus-strong’</w:t>
      </w:r>
      <w:r>
        <w:t xml:space="preserve"> </w:t>
      </w:r>
      <w:r>
        <w:t xml:space="preserve">framing conceals is that the argument does not, at the place where the underivability is stated, concern the strength of grounding but the categorial difference between two modes of being. A truth-claim brings its claim-content with it. Habermas enters the point under a hedge which the argument must carry:</w:t>
      </w:r>
      <w:r>
        <w:t xml:space="preserve"> </w:t>
      </w:r>
      <w:r>
        <w:t xml:space="preserve">‘It seems that the assertoric validity claim raised for descriptive statements does not first have to be introduced into the discourse from outside, because the semantic form of a descriptive statement per se refers to the meaning of the claim to truth’</w:t>
      </w:r>
      <w:r>
        <w:t xml:space="preserve">; such claims</w:t>
      </w:r>
      <w:r>
        <w:t xml:space="preserve"> </w:t>
      </w:r>
      <w:r>
        <w:t xml:space="preserve">‘form a component immanent in discourse, as it were, even though one must refer to something</w:t>
      </w:r>
      <w:r>
        <w:t xml:space="preserve"> </w:t>
      </w:r>
      <w:r>
        <w:t xml:space="preserve">“existing”</w:t>
      </w:r>
      <w:r>
        <w:t xml:space="preserve"> </w:t>
      </w:r>
      <w:r>
        <w:t xml:space="preserve">in the objective world to explain the meaning of the claim to truth in greater detail’</w:t>
      </w:r>
      <w:r>
        <w:t xml:space="preserve">. By contrast, the meaning of the claim to normative validity</w:t>
      </w:r>
      <w:r>
        <w:t xml:space="preserve"> </w:t>
      </w:r>
      <w:r>
        <w:t xml:space="preserve">‘can only be explained with reference to validity claims that already exist or are still to be realized outside of discourse’</w:t>
      </w:r>
      <w:r>
        <w:t xml:space="preserve">.</w:t>
      </w:r>
      <w:r>
        <w:rPr>
          <w:rStyle w:val="FootnoteReference"/>
        </w:rPr>
        <w:footnoteReference w:id="37"/>
      </w:r>
      <w:r>
        <w:t xml:space="preserve"> </w:t>
      </w:r>
      <w:r>
        <w:t xml:space="preserve">A moral norm, on his account, exists only as a socially recognised, compliance-expecting fact, whose integrating force discourse does not confer but finds already in force and takes over from the lifeworld when it thematises the norm. The presuppositions of argument can test a norm already imported; what they cannot do is confer the socially integrating force by which it obliges. Whether that force is the whole of the norm’s deontic validity or no more than the facticity of its acceptance is the question §3.1.4 puts. Any answer confined to a modal-gradient reading of Habermas, which contests only how strongly the presuppositions bind, leaves this argument untouched, since it is not an argument about how strongly anything binds.</w:t>
      </w:r>
    </w:p>
    <w:p>
      <w:pPr>
        <w:pStyle w:val="BodyText"/>
      </w:pPr>
      <w:r>
        <w:t xml:space="preserve">The point at which Habermas’s argument terminates confirms that the dispute concerns the form of answer the question admits and not the strength of grounding. The question</w:t>
      </w:r>
      <w:r>
        <w:t xml:space="preserve"> </w:t>
      </w:r>
      <w:r>
        <w:t xml:space="preserve">‘why should we be moral at all?’</w:t>
      </w:r>
      <w:r>
        <w:t xml:space="preserve">, he announces,</w:t>
      </w:r>
      <w:r>
        <w:t xml:space="preserve"> </w:t>
      </w:r>
      <w:r>
        <w:t xml:space="preserve">‘cannot be dismissed as meaningless, but it cannot be answered within the conceptual framework of any deontological moral theory either’</w:t>
      </w:r>
      <w:r>
        <w:t xml:space="preserve">; some sixteen pages later he supplies the reason, that the question</w:t>
      </w:r>
      <w:r>
        <w:t xml:space="preserve"> </w:t>
      </w:r>
      <w:r>
        <w:t xml:space="preserve">‘calls for a teleological answer’</w:t>
      </w:r>
      <w:r>
        <w:t xml:space="preserve">, and routes moral bindingness through autonomy: everyone can answer the question</w:t>
      </w:r>
      <w:r>
        <w:t xml:space="preserve"> </w:t>
      </w:r>
      <w:r>
        <w:t xml:space="preserve">‘by realizing that only an affirmative answer enables them to understand themselves as</w:t>
      </w:r>
      <w:r>
        <w:t xml:space="preserve"> </w:t>
      </w:r>
      <w:r>
        <w:t xml:space="preserve">“autonomously acting”</w:t>
      </w:r>
      <w:r>
        <w:t xml:space="preserve"> </w:t>
      </w:r>
      <w:r>
        <w:t xml:space="preserve">subjects’</w:t>
      </w:r>
      <w:r>
        <w:t xml:space="preserve">.</w:t>
      </w:r>
      <w:r>
        <w:rPr>
          <w:rStyle w:val="FootnoteReference"/>
        </w:rPr>
        <w:footnoteReference w:id="38"/>
      </w:r>
      <w:r>
        <w:t xml:space="preserve"> </w:t>
      </w:r>
      <w:r>
        <w:t xml:space="preserve">The answer is offered as a good reason to be moral in the deontological sense, so that what is routed through the self-understanding of the person is the ground of a deontological obligation and not a substitute for it. This fixes the disagreement: not, in the first instance, over whether the presuppositions are strongly or weakly necessary, but over whether the bindingness of morality is disclosed in the reciprocal conditions of discourse (Apel) or imported from the lifeworld (Habermas), the further question why one should be moral receiving, on Habermas’s side, a teleological answer.</w:t>
      </w:r>
    </w:p>
    <w:bookmarkEnd w:id="39"/>
    <w:bookmarkStart w:id="45" w:name="Xe07738cac0ea3d79c9cbde2d3293ded9e515e70"/>
    <w:p>
      <w:pPr>
        <w:pStyle w:val="Heading3"/>
      </w:pPr>
      <w:r>
        <w:t xml:space="preserve">§3.1.4 · Why the socio-ontological argument leaves Apel’s question standing</w:t>
      </w:r>
    </w:p>
    <w:p>
      <w:pPr>
        <w:pStyle w:val="FirstParagraph"/>
      </w:pPr>
      <w:r>
        <w:t xml:space="preserve">An irenic reading would conclude that each thinker is right about a different question, Habermas about the provenance of moral bindingness and Apel about what the statement of any grounding already presupposes, so that the dispute amounts to a reframing rather than a refutation. The reading becomes inadequate at a determinate point, when the socio-ontological account is taken to explain the mode of being of moral validity independently of the discourse-presuppositions. The claim defended below is correspondingly narrow. Two things must be held apart which the word</w:t>
      </w:r>
      <w:r>
        <w:t xml:space="preserve"> </w:t>
      </w:r>
      <w:r>
        <w:t xml:space="preserve">‘normativity’</w:t>
      </w:r>
      <w:r>
        <w:t xml:space="preserve"> </w:t>
      </w:r>
      <w:r>
        <w:t xml:space="preserve">runs together: a norm’s</w:t>
      </w:r>
      <w:r>
        <w:t xml:space="preserve"> </w:t>
      </w:r>
      <w:r>
        <w:rPr>
          <w:i/>
          <w:iCs/>
        </w:rPr>
        <w:t xml:space="preserve">standing as a candidate for validity</w:t>
      </w:r>
      <w:r>
        <w:t xml:space="preserve">, its being the kind of item of which rightness or wrongness can be predicated, and its</w:t>
      </w:r>
      <w:r>
        <w:t xml:space="preserve"> </w:t>
      </w:r>
      <w:r>
        <w:rPr>
          <w:i/>
          <w:iCs/>
        </w:rPr>
        <w:t xml:space="preserve">deontic force</w:t>
      </w:r>
      <w:r>
        <w:t xml:space="preserve">, the obligation it lays on an agent. Habermas’s thesis of 2020 concerns the second, and this section does not contest it: the deontic force of a norm is not extracted from the presuppositions of argumentation. What the section contests is that the socio-ontological account explains the first independently of those presuppositions. It does not, and because it does not, Apel’s question about the legitimacy of the criteria by which reasons are evaluated is left standing.</w:t>
      </w:r>
    </w:p>
    <w:p>
      <w:pPr>
        <w:pStyle w:val="BodyText"/>
      </w:pPr>
      <w:r>
        <w:t xml:space="preserve">The pre-moral reading has a textual warrant in the order of Apel’s own derivation. The necessary presuppositions are, he states, all of them implied in the fundamental claim of each argument, and he characterises</w:t>
      </w:r>
      <w:r>
        <w:t xml:space="preserve"> </w:t>
      </w:r>
      <w:r>
        <w:t xml:space="preserve">‘the four presuppositions of consensus formation by argument’</w:t>
      </w:r>
      <w:r>
        <w:t xml:space="preserve"> </w:t>
      </w:r>
      <w:r>
        <w:t xml:space="preserve">thus:</w:t>
      </w:r>
      <w:r>
        <w:t xml:space="preserve"> </w:t>
      </w:r>
      <w:r>
        <w:t xml:space="preserve">‘1) the claim to sharing an intersubjectively valid meaning with my partners; 2) the claim to truth as claim for a virtually universal consent; 3) the claim to truthfulness or sincerity of my speech acts taken as expressions of my intentions; and 4) the claim to the morally relevant rightness of my speech acts, taken as communicative actions in the broadest sense of addressing possible communication partners’</w:t>
      </w:r>
      <w:r>
        <w:t xml:space="preserve">.</w:t>
      </w:r>
      <w:r>
        <w:rPr>
          <w:rStyle w:val="FootnoteReference"/>
        </w:rPr>
        <w:footnoteReference w:id="40"/>
      </w:r>
      <w:r>
        <w:t xml:space="preserve"> </w:t>
      </w:r>
      <w:r>
        <w:t xml:space="preserve">The reading placed on that sequence runs against the author’s gloss, since his next sentence makes it</w:t>
      </w:r>
      <w:r>
        <w:t xml:space="preserve"> </w:t>
      </w:r>
      <w:r>
        <w:t xml:space="preserve">‘especially the fourth claim’</w:t>
      </w:r>
      <w:r>
        <w:t xml:space="preserve"> </w:t>
      </w:r>
      <w:r>
        <w:t xml:space="preserve">that matters. Apel locates the ethics in the fourth item; the reading defended below holds it a condition already operative in the first, so that what he assigns to the terminus of the derivation is disclosed at its origin. To mean something to a possible interlocutor is already to address one who may take what is meant rightly or wrongly, which is the correlative assessability §3.3.2 argues for and not the entitlement §3.3.6 leaves owed. That is the sense in which Apel’s</w:t>
      </w:r>
      <w:r>
        <w:t xml:space="preserve"> </w:t>
      </w:r>
      <w:r>
        <w:rPr>
          <w:i/>
          <w:iCs/>
        </w:rPr>
        <w:t xml:space="preserve">Moralität</w:t>
      </w:r>
      <w:r>
        <w:t xml:space="preserve"> </w:t>
      </w:r>
      <w:r>
        <w:t xml:space="preserve">is pre-moral: the kernel is reached by reflection on what it is to mean, and names the reciprocal structure internal to the constitution of assessable validity claims, not the content of a moral theory erected on the fourth presupposition.</w:t>
      </w:r>
    </w:p>
    <w:p>
      <w:pPr>
        <w:pStyle w:val="BodyText"/>
      </w:pPr>
      <w:r>
        <w:t xml:space="preserve">The inference runs in five steps, each from Habermas’s own commitments. (1) A moral norm has its mode of being in its intersubjective recognition: it exists only so far as those subject to it hold it valid, and that holding underwrites its warranted expectation of compliance. (2) Recognition in the validity-conferring sense is not brute conformity. To recognise a norm as valid, as against complying with it from habit or coercion, is to accord it the acceptance which could be vindicated in the giving and weighing of reasons; this is what distinguishes the rationally motivated yes/no position from de facto acceptance throughout the theory of communicative action (Chapter One §1.2.1). (3) Recognition as reason-warranted is possible only under the reciprocal conditions Apel places at the level of meaning: the recognising subjects must occupy the correlative positions of reason-giver and reason-weigher, treating one another’s assent and dissent as reason-bearing and not as force. Apel states the correlativity from the participant’s position: the arguer</w:t>
      </w:r>
      <w:r>
        <w:t xml:space="preserve"> </w:t>
      </w:r>
      <w:r>
        <w:t xml:space="preserve">‘must on the other hand transcend every particular community and anticipate the judgment of an indefinite ideal audience, which alone could be able to definitely understand and evaluate my universal validity claims’</w:t>
      </w:r>
      <w:r>
        <w:t xml:space="preserve">, and</w:t>
      </w:r>
      <w:r>
        <w:t xml:space="preserve"> </w:t>
      </w:r>
      <w:r>
        <w:t xml:space="preserve">‘must even address the real audience in a way as if it already represented the ideal one’</w:t>
      </w:r>
      <w:r>
        <w:t xml:space="preserve">.</w:t>
      </w:r>
      <w:r>
        <w:rPr>
          <w:rStyle w:val="FootnoteReference"/>
        </w:rPr>
        <w:footnoteReference w:id="41"/>
      </w:r>
      <w:r>
        <w:t xml:space="preserve"> </w:t>
      </w:r>
      <w:r>
        <w:t xml:space="preserve">Absent that anticipated assessability, what one has is not recognition-as-valid but compliance under a description. (4) The intersubjective recognition which, on Habermas’s account, confers on moral norms their mode of being is therefore itself governed by the reciprocity of meaning which Apel identifies as the pre-moral kernel. (5) Habermas has not, then, exhibited a mode of being for moral norms which is independent of the discourse-presuppositions. What his account exhibits as independent of them is, so far as recognition in it is withheld from the reason-relation, the norm’s social currency, the facticity of compliance; and currency is the mode of being of conventions and coerced regularities, not of moral norms as his own criterion individuates them.</w:t>
      </w:r>
    </w:p>
    <w:p>
      <w:pPr>
        <w:pStyle w:val="BodyText"/>
      </w:pPr>
      <w:r>
        <w:t xml:space="preserve">The riposte available to Habermas, constructed from his own distinction and not entered by him, is that recognition admits of two senses which the inference conflates: social currency (</w:t>
      </w:r>
      <w:r>
        <w:rPr>
          <w:i/>
          <w:iCs/>
        </w:rPr>
        <w:t xml:space="preserve">soziale Geltung</w:t>
      </w:r>
      <w:r>
        <w:t xml:space="preserve">), the fact that a norm is generally accepted and can expect compliance, which on his account constitutes a moral norm’s mode of being prior to any reason-relation; and validity-conferring recognition, which he may concede presupposes the reciprocal conditions.</w:t>
      </w:r>
      <w:r>
        <w:rPr>
          <w:rStyle w:val="FootnoteReference"/>
        </w:rPr>
        <w:footnoteReference w:id="42"/>
      </w:r>
      <w:r>
        <w:t xml:space="preserve"> </w:t>
      </w:r>
      <w:r>
        <w:t xml:space="preserve">The inference, on the riposte, needs the second sense and is entitled only to the first. It is answered from Habermas’s own criterion of the moral. What distinguishes a moral norm from a convention or a coerced regularity, on his account, is that it does not merely obtain but claims to deserve recognition, raising a claim to validity which transcends its factual acceptance, so that the question whether it is rightly accepted remains intelligible where it is universally accepted and the question whether it ought to be accepted where it is not. That is the cognitivist core of discourse ethics, and Habermas states it in the passage which grounds the socio-ontological argument: what is</w:t>
      </w:r>
      <w:r>
        <w:t xml:space="preserve"> </w:t>
      </w:r>
      <w:r>
        <w:t xml:space="preserve">‘up for discussion in discourse’</w:t>
      </w:r>
      <w:r>
        <w:t xml:space="preserve"> </w:t>
      </w:r>
      <w:r>
        <w:t xml:space="preserve">is whether norms are</w:t>
      </w:r>
      <w:r>
        <w:t xml:space="preserve"> </w:t>
      </w:r>
      <w:r>
        <w:t xml:space="preserve">‘worthy of recognition’</w:t>
      </w:r>
      <w:r>
        <w:t xml:space="preserve">, and worthiness is a claim, since a norm worthy of recognition is one whose recognition could be vindicated by reasons. A norm which merely received recognition would be a convention; a norm whose recognition is at issue as worthy or not claims to deserve it, which is to raise a validity claim and so to present itself as reason-warranted, and recognition as reason-warranted presupposes the reciprocal positions established at step (3). The riposte cannot hold both that moral norms are distinguished from conventions by the validity claim they raise and that their mode of being is a currency independent of the reason-relation.</w:t>
      </w:r>
    </w:p>
    <w:p>
      <w:pPr>
        <w:pStyle w:val="BodyText"/>
      </w:pPr>
      <w:r>
        <w:t xml:space="preserve">The result is an explanatory dependence rather than a formal contradiction. If social recognition explains only a norm’s currency, the norm’s standing as valid remains dependent on the practice of reason-assessment, and the socio-ontological thesis is not an independent account of validity; if social recognition is meant to include recognition as reason-warranted, the reciprocal conditions of assessment re-enter, and it is again not independent. Habermas may consistently keep apart the social reproduction of norms and their discursive validation; what he may not do is let the first discharge the office of the second. Two qualifications forestall two misreadings. The closure grants that a norm’s social currency is not conferred by argument: a norm may be socially binding long before it is thematised in any discourse, and even if a norm’s social force is granted its lifeworld provenance without remainder, the independence claim fails, since what makes the norm a</w:t>
      </w:r>
      <w:r>
        <w:t xml:space="preserve"> </w:t>
      </w:r>
      <w:r>
        <w:rPr>
          <w:i/>
          <w:iCs/>
        </w:rPr>
        <w:t xml:space="preserve">moral</w:t>
      </w:r>
      <w:r>
        <w:t xml:space="preserve"> </w:t>
      </w:r>
      <w:r>
        <w:t xml:space="preserve">norm already stands under the reciprocal conditions of meaning. Nor is the closure a covert reintroduction of ultimate grounding: it establishes that the legitimacy of reason-assessment presupposes reciprocal conditions of meaning, and leaves open whether those conditions are apodictic, weakly transcendental, historically sedimented or otherwise modalised, a question which belongs to §3.3 and between whose answers the pre-moral thesis is neutral.</w:t>
      </w:r>
    </w:p>
    <w:p>
      <w:pPr>
        <w:pStyle w:val="BodyText"/>
      </w:pPr>
      <w:r>
        <w:t xml:space="preserve">The neutrality of (D) may now be shown to answer a question Apel does not pose.</w:t>
      </w:r>
      <w:r>
        <w:t xml:space="preserve"> </w:t>
      </w:r>
      <w:r>
        <w:rPr>
          <w:i/>
          <w:iCs/>
        </w:rPr>
        <w:t xml:space="preserve">Faktizität und Geltung</w:t>
      </w:r>
      <w:r>
        <w:t xml:space="preserve"> </w:t>
      </w:r>
      <w:r>
        <w:t xml:space="preserve">introduces the discourse principle at a level of abstraction still neutral with respect to morality and law, since it refers to action norms in general, so that morality via (U) and law via the democratic principle are two specifications of it.</w:t>
      </w:r>
      <w:r>
        <w:rPr>
          <w:rStyle w:val="FootnoteReference"/>
        </w:rPr>
        <w:footnoteReference w:id="43"/>
      </w:r>
      <w:r>
        <w:t xml:space="preserve"> </w:t>
      </w:r>
      <w:r>
        <w:t xml:space="preserve">Were Apel’s objection that (D) covertly contains moral content, the answer would be complete, since (D) is pre-moral. His charge, in the formulation of 2014, is that the normative relevance of the discourse a priori has been reduced to a morally neutral function, and a reduction is not a distribution. The neutrality thesis apportions an already-constituted validity across two domains; Apel’s question is what constitutes the validity so apportioned, and whether agreement among participants in rational discourse carries the normativity by which invalid norms are excluded or merely records a negotiated</w:t>
      </w:r>
      <w:r>
        <w:t xml:space="preserve"> </w:t>
      </w:r>
      <w:r>
        <w:rPr>
          <w:i/>
          <w:iCs/>
        </w:rPr>
        <w:t xml:space="preserve">modus vivendi</w:t>
      </w:r>
      <w:r>
        <w:t xml:space="preserve">. Habermas’s thesis is a correct thesis about the architectonics of discourse differentiation, and it is orthogonal to the question Apel asks.</w:t>
      </w:r>
      <w:r>
        <w:rPr>
          <w:rStyle w:val="FootnoteReference"/>
        </w:rPr>
        <w:footnoteReference w:id="44"/>
      </w:r>
    </w:p>
    <w:p>
      <w:pPr>
        <w:pStyle w:val="BodyText"/>
      </w:pPr>
      <w:r>
        <w:t xml:space="preserve">Neither candidate answer settles the matter alone, and saying why fixes the question §3.3 inherits. Discursive procedure explains the form in which reasons are exposed to criticism; lifeworld recognition explains how norms acquire social presence and practical force; neither explains why one reason should count as better than another which is also intelligible, defensible and socially effective. One reply must be entered on Habermas’s behalf and then bounded. A proceduralist will say that there is no criterion of the better reason beyond the procedure, and that to ask for one is to ask for what discourse ethics was constructed to do without. The reply is correct about what the theory claims and does not touch the question. Whether the procedure’s verdicts carry validity rather than record effectiveness is a question about the standing of the procedure’s own presuppositions, and it is that question, not a demand for a substantive criterion, which the pre-moral reading presses; that a positive account of the criterion is nonetheless owed, and owed by this thesis, is a commitment avowed at §3.3.3 and discharged, so far as it is discharged, in the Conclusion. The question has a reflexive shape: the criteria by which reasons are assessed are themselves open to criticism, but criticism of those criteria is itself an exercise of reason-assessment, and cannot proceed by producing a further criterion without regress, exemption, or a circle in which the criterion certifies itself. What</w:t>
      </w:r>
      <w:r>
        <w:t xml:space="preserve"> </w:t>
      </w:r>
      <w:r>
        <w:rPr>
          <w:i/>
          <w:iCs/>
        </w:rPr>
        <w:t xml:space="preserve">strikte Reflexion</w:t>
      </w:r>
      <w:r>
        <w:t xml:space="preserve"> </w:t>
      </w:r>
      <w:r>
        <w:t xml:space="preserve">proposes at this point is not a further criterion but a change in the kind of thing appealed to: the conditions of criticism are not supplied as additional propositions awaiting justification but enacted in the activity of criticising. Whether an appeal of that kind constitutes a mode of philosophical vindication, and what its yield would be, is the question §3.3 puts in its proper form.</w:t>
      </w:r>
    </w:p>
    <w:bookmarkEnd w:id="45"/>
    <w:bookmarkStart w:id="53" w:name="Xf832768e851b6ff4070752045d0542fdd519eb0"/>
    <w:p>
      <w:pPr>
        <w:pStyle w:val="Heading3"/>
      </w:pPr>
      <w:r>
        <w:t xml:space="preserve">§3.1.5 · The state of the question: what ultimate justification claims, and the three charges</w:t>
      </w:r>
    </w:p>
    <w:p>
      <w:pPr>
        <w:pStyle w:val="FirstParagraph"/>
      </w:pPr>
      <w:r>
        <w:t xml:space="preserve">What an ultimate justification claims must be fixed before the location defended above is set against its neighbours, since the reception has lost the dispute by grading it. Apel’s claim is that the presuppositions of argumentation, brought to explicit awareness by an arguer’s reflection on his own arguing, cannot be gone behind: their standing is not a high degree of the certainty that attaches to a well-corroborated hypothesis but a standing of another kind, since every attempt to doubt them, to test them, or to derive them from something prior presupposes them. The double criterion of 1975 is that they can neither be contested without performative self-contradiction nor demonstrated without</w:t>
      </w:r>
      <w:r>
        <w:t xml:space="preserve"> </w:t>
      </w:r>
      <w:r>
        <w:rPr>
          <w:i/>
          <w:iCs/>
        </w:rPr>
        <w:t xml:space="preserve">petitio principii</w:t>
      </w:r>
      <w:r>
        <w:t xml:space="preserve">.</w:t>
      </w:r>
      <w:r>
        <w:rPr>
          <w:rStyle w:val="FootnoteReference"/>
        </w:rPr>
        <w:footnoteReference w:id="46"/>
      </w:r>
      <w:r>
        <w:t xml:space="preserve"> </w:t>
      </w:r>
      <w:r>
        <w:t xml:space="preserve">Habermas’s claim is that the same presuppositions are unavoidable for a practice for which no functional equivalent is known, and that every reconstruction of them has hypothetical status. The two claims do not lie on one scale. No strengthening of the second reaches the first, since a claim which quantifies over the forms of life so far known remains, however far the quantifier is extended, a claim of that shape, and Apel’s claim denies that the quantification can be coherently made; and no weakening of the first reaches the second, since an ultimate justification which held</w:t>
      </w:r>
      <w:r>
        <w:t xml:space="preserve"> </w:t>
      </w:r>
      <w:r>
        <w:rPr>
          <w:i/>
          <w:iCs/>
        </w:rPr>
        <w:t xml:space="preserve">pro tempore</w:t>
      </w:r>
      <w:r>
        <w:t xml:space="preserve"> </w:t>
      </w:r>
      <w:r>
        <w:t xml:space="preserve">would not be one. The difference is categorial and not gradual, and a dispute conducted as though it were gradual has no terminus. What the chapter asks is accordingly not how strongly the presuppositions bind but what kind of standing the yield of a method both parties practise can have, and whether a yield of a third kind, neither corroborated hypothesis nor proposition immune to revision, is available. That is the question §3.3.3 answers under the name of reflexive irrefutability.</w:t>
      </w:r>
    </w:p>
    <w:p>
      <w:pPr>
        <w:pStyle w:val="BodyText"/>
      </w:pPr>
      <w:r>
        <w:t xml:space="preserve">Three charges are in play, and they are stated once so that what is adjudicated in this chapter and what is not may be told apart. The first is methodological, and it is Apel’s: that a programme which conducts itself as a reconstructive science runs together two reconstructions of unequal standing, one directed on what any argument must already presuppose and one on the course of cultural evolution. The charge reaches the method’s description of itself; Chapter Two §2.1.1 answers it as a demand and not as a refutation, and it is not re-argued here. The second charge is modal, and it runs in both directions. In Apel’s direction it is that the weak strategy neutralises the discourse a priori and that Habermas holds a fallibilism whose unrestricted statement is self-undermining, the liar-structure of which Chapter Two §2.1.2 displays.</w:t>
      </w:r>
      <w:r>
        <w:rPr>
          <w:rStyle w:val="FootnoteReference"/>
        </w:rPr>
        <w:footnoteReference w:id="47"/>
      </w:r>
      <w:r>
        <w:t xml:space="preserve"> </w:t>
      </w:r>
      <w:r>
        <w:t xml:space="preserve">In Habermas’s direction it has two formulations. In 1983 he diagnoses the ground of the counter-programme’s claim, charging it with equating propositional truth with the experience of certitude, a move available only where the philosophy of consciousness still supplies the terms (MCCA 96; §3.2.4). In 2020 he diagnoses its strategy: the construction which is to lend the proof of entanglement in performative contradictions</w:t>
      </w:r>
      <w:r>
        <w:t xml:space="preserve"> </w:t>
      </w:r>
      <w:r>
        <w:t xml:space="preserve">‘the foundational status of an</w:t>
      </w:r>
      <w:r>
        <w:t xml:space="preserve"> </w:t>
      </w:r>
      <w:r>
        <w:t xml:space="preserve">“ultimate justification”</w:t>
      </w:r>
      <w:r>
        <w:t xml:space="preserve">’</w:t>
      </w:r>
      <w:r>
        <w:t xml:space="preserve"> </w:t>
      </w:r>
      <w:r>
        <w:t xml:space="preserve">is</w:t>
      </w:r>
      <w:r>
        <w:t xml:space="preserve"> </w:t>
      </w:r>
      <w:r>
        <w:t xml:space="preserve">‘compromised by its narrow, epistemological conception of the justification strategy and its failure to explicitly de-transcendentalize reason’</w:t>
      </w:r>
      <w:r>
        <w:t xml:space="preserve">, Apel having held</w:t>
      </w:r>
      <w:r>
        <w:t xml:space="preserve"> </w:t>
      </w:r>
      <w:r>
        <w:t xml:space="preserve">‘fast to the epistemological question even after he has accomplished the paradigm shift’</w:t>
      </w:r>
      <w:r>
        <w:t xml:space="preserve">.</w:t>
      </w:r>
      <w:r>
        <w:rPr>
          <w:rStyle w:val="FootnoteReference"/>
        </w:rPr>
        <w:footnoteReference w:id="48"/>
      </w:r>
      <w:r>
        <w:t xml:space="preserve"> </w:t>
      </w:r>
      <w:r>
        <w:t xml:space="preserve">The second charge reaches the standing of what the shared method yields, and it is the charge this chapter adjudicates: at §3.1.4, where the neutralisation limb is met; at §3.2, where the categorial premise is grounded and every route a transfer of standing might take is found barred to a reconstructive science; and at §3.3, where the question is put whether an exhibition of the elenctic kind can display what a reconstruction cannot certify. The third charge concerns scope, and it is the one the reformulation of §3.3.6 makes explicit: whether determinate signification already carries among its conditions the reciprocal entitlements which the rules of discourse set out, and whether anyone is bound to occupy the position in which those entitlements hold. It reaches the content of what is disclosed and not its standing, it is declared open at §3.3.6 with a determinate burden on each side, and in the form of the legitimacy question it is handed to Chapter Four. The three are not one charge at three strengths. The first would stand if the second fell; the third would stand if the first two were settled in Apel’s favour, since a presupposition secured as irrefutable is not thereby shown to contain a norm; and the second is decided, so far as this chapter decides it, at a level neither of the others occupies.</w:t>
      </w:r>
    </w:p>
    <w:p>
      <w:pPr>
        <w:pStyle w:val="BodyText"/>
      </w:pPr>
      <w:r>
        <w:t xml:space="preserve">A question is put to the whole undertaking from the anglophone side, and it belongs here. Finlayson observes that Habermas</w:t>
      </w:r>
      <w:r>
        <w:t xml:space="preserve"> </w:t>
      </w:r>
      <w:r>
        <w:t xml:space="preserve">‘might also be correct to claim that transcendental-pragmatic argumentation can and should do without ultimate foundations, but these are different issues’</w:t>
      </w:r>
      <w:r>
        <w:t xml:space="preserve"> </w:t>
      </w:r>
      <w:r>
        <w:t xml:space="preserve">from the derivation of the moral principle.</w:t>
      </w:r>
      <w:r>
        <w:rPr>
          <w:rStyle w:val="FootnoteReference"/>
        </w:rPr>
        <w:footnoteReference w:id="49"/>
      </w:r>
      <w:r>
        <w:t xml:space="preserve"> </w:t>
      </w:r>
      <w:r>
        <w:t xml:space="preserve">The observation invites the question whether the programme needs the irrefutability result at all. The answer these chapters give is that the programme needs the result in the measure that it makes the claims it makes. A theory which undertook to reconstruct the presuppositions of argumentation as unavoidable for a practice, and claimed nothing of what it reconstructed beyond its use in that practice, would need no irrefutability and would incur no deficit; the programme is not of that kind. It claims of the presuppositions that they are unavoidable for anyone who argues, in the modality Chapter Two §2.1.4 grades from Habermas’s dated statements, and it undertakes to justify a principle whose validity is to bind. That the programme does without ultimate foundations is not disputed. What is disputed is whether, doing without them, it can say what it says of its own presuppositions, and that is a question about the programme and not about Apel.</w:t>
      </w:r>
    </w:p>
    <w:p>
      <w:pPr>
        <w:pStyle w:val="BodyText"/>
      </w:pPr>
      <w:r>
        <w:t xml:space="preserve">The location defended above may now be set against its nearest neighbours. Dews’s frame remains the anglophone point of departure, and it is superseded rather than rejected: it correctly identifies two methods and mislocates what divides them, since both methods are practised by both parties. Of the literature since, one volume makes the parties argue rather than reporting them. In</w:t>
      </w:r>
      <w:r>
        <w:t xml:space="preserve"> </w:t>
      </w:r>
      <w:r>
        <w:rPr>
          <w:i/>
          <w:iCs/>
        </w:rPr>
        <w:t xml:space="preserve">Transcendental Arguments in Moral Theory</w:t>
      </w:r>
      <w:r>
        <w:t xml:space="preserve"> </w:t>
      </w:r>
      <w:r>
        <w:t xml:space="preserve">Kettner regrounds the Apelian starting-point in a constitutive aim of argumentative discourse rather than in non-circumventibility as such; Werner defends a modest use of retorsive argument which makes explicit the constitutive commitments of the practice of justifying actions to one another and suffices, he holds, for practical purposes without forcing the sceptic to endorse moral principles; and Brune distinguishes two readings of performative inconsistency.</w:t>
      </w:r>
      <w:r>
        <w:rPr>
          <w:rStyle w:val="FootnoteReference"/>
        </w:rPr>
        <w:footnoteReference w:id="50"/>
      </w:r>
      <w:r>
        <w:t xml:space="preserve"> </w:t>
      </w:r>
      <w:r>
        <w:t xml:space="preserve">The present chapter stands between Kettner’s regrounding and Werner’s modesty. It keeps non-circumventibility at the first stage, where §3.3.2 secures it within declared limits, and concedes to Werner that the second stage is not forced on the sceptic, which is the scope result of §3.3.6 reached by another route. Kettner’s placement of the disagreement runs closest to the one defended here: he locates it at the transit from a normative to a specifically moral reading of the discourse principle, and in the additional resources each thinker holds necessary for that transit, a theory of transcendental argument for Apel and a sociological theory of modernisation for Habermas. He reports having shown elsewhere that the disagreement</w:t>
      </w:r>
      <w:r>
        <w:t xml:space="preserve"> </w:t>
      </w:r>
      <w:r>
        <w:t xml:space="preserve">‘boils down to whether a clear sense can be given to calling some of the constitutive norms of argumentative discourse</w:t>
      </w:r>
      <w:r>
        <w:t xml:space="preserve"> </w:t>
      </w:r>
      <w:r>
        <w:t xml:space="preserve">“moral norms”</w:t>
      </w:r>
      <w:r>
        <w:t xml:space="preserve">’</w:t>
      </w:r>
      <w:r>
        <w:t xml:space="preserve">, and</w:t>
      </w:r>
      <w:r>
        <w:t xml:space="preserve"> </w:t>
      </w:r>
      <w:r>
        <w:t xml:space="preserve">‘that Apel is right (against Habermas) in that there is such a sense’</w:t>
      </w:r>
      <w:r>
        <w:t xml:space="preserve">.</w:t>
      </w:r>
      <w:r>
        <w:rPr>
          <w:rStyle w:val="FootnoteReference"/>
        </w:rPr>
        <w:footnoteReference w:id="51"/>
      </w:r>
      <w:r>
        <w:t xml:space="preserve"> </w:t>
      </w:r>
      <w:r>
        <w:t xml:space="preserve">§3.3.6 declares that question open rather than deciding it, and moves the examination one level down, to the constitution of the discursive validity from which any such status would derive. The stratification has been marked by Gronke as the difference between the</w:t>
      </w:r>
      <w:r>
        <w:t xml:space="preserve"> </w:t>
      </w:r>
      <w:r>
        <w:rPr>
          <w:i/>
          <w:iCs/>
        </w:rPr>
        <w:t xml:space="preserve">Begründungsfrage</w:t>
      </w:r>
      <w:r>
        <w:t xml:space="preserve"> </w:t>
      </w:r>
      <w:r>
        <w:t xml:space="preserve">and the</w:t>
      </w:r>
      <w:r>
        <w:t xml:space="preserve"> </w:t>
      </w:r>
      <w:r>
        <w:rPr>
          <w:i/>
          <w:iCs/>
        </w:rPr>
        <w:t xml:space="preserve">Architektonikfrage</w:t>
      </w:r>
      <w:r>
        <w:t xml:space="preserve">: between the question by what right discursive validity is constituted at all, and the question how an already-constituted validity is apportioned across the domains of practical reason.</w:t>
      </w:r>
      <w:r>
        <w:rPr>
          <w:rStyle w:val="FootnoteReference"/>
        </w:rPr>
        <w:footnoteReference w:id="52"/>
      </w:r>
      <w:r>
        <w:t xml:space="preserve"> </w:t>
      </w:r>
      <w:r>
        <w:t xml:space="preserve">Habermas’s mature architecture is an answer to the second question. The claim of this chapter is that it presupposes an answer to the first which it does not supply. That is not the claim that the architecture is defective as an answer to the question it addresses. It is the claim that the question it addresses is not the one on which its own authority depends.</w:t>
      </w:r>
      <w:r>
        <w:t xml:space="preserve"> </w:t>
      </w:r>
      <w:r>
        <w:t xml:space="preserve">## §3.2 · The Categorial Premise Defended, and the First Interval Localised</w:t>
      </w:r>
    </w:p>
    <w:p>
      <w:pPr>
        <w:pStyle w:val="BodyText"/>
      </w:pPr>
      <w:r>
        <w:t xml:space="preserve">The modal charge is adjudicated with an instrument, and the instrument is owed a ground before it is used. Chapter Two §2.2.2 sets the categorial premise down under a declared debt, which is discharged here: first the ground, then the objections, then the conditions under which the premise may be falsified, and then the premise in the form Derrida’s pressure left it. On that footing the first of the tensions Chapter Two hands forward is localised, and what survives of it is placed at the one point where the two programmes divide. Whether the access claimed at that point exists is not settled here; it is put to the elenctic test at §3.3.</w:t>
      </w:r>
    </w:p>
    <w:bookmarkEnd w:id="53"/>
    <w:bookmarkStart w:id="60" w:name="X18f1bd894f642685a9ea8bde6729cd01bcc589e"/>
    <w:p>
      <w:pPr>
        <w:pStyle w:val="Heading3"/>
      </w:pPr>
      <w:r>
        <w:t xml:space="preserve">§3.2.1 · Three modal claims, the criterion of individuation, and the burden rule</w:t>
      </w:r>
    </w:p>
    <w:p>
      <w:pPr>
        <w:pStyle w:val="FirstParagraph"/>
      </w:pPr>
      <w:r>
        <w:t xml:space="preserve">Three claims are in play whenever Habermas writes of the presuppositions of argumentation, and the argument requires that they be kept apart. There is the necessity of presupposing, conditional on entry into the practice: whoever argues must presuppose, and whoever leaves argumentation may shake the compulsion off (Chapter One §1.5.3). There is the non-necessity of obtaining: that the presuppositions are unavoidably made entails nothing about their satisfaction, and Habermas writes of the idealising and in many cases counterfactual content of</w:t>
      </w:r>
      <w:r>
        <w:t xml:space="preserve"> </w:t>
      </w:r>
      <w:r>
        <w:t xml:space="preserve">‘unavoidable’</w:t>
      </w:r>
      <w:r>
        <w:t xml:space="preserve"> </w:t>
      </w:r>
      <w:r>
        <w:t xml:space="preserve">pragmatic presuppositions, the scare-quotes being his.</w:t>
      </w:r>
      <w:r>
        <w:rPr>
          <w:rStyle w:val="FootnoteReference"/>
        </w:rPr>
        <w:footnoteReference w:id="54"/>
      </w:r>
      <w:r>
        <w:t xml:space="preserve"> </w:t>
      </w:r>
      <w:r>
        <w:t xml:space="preserve">And there is the modal standing of the theorist’s ascription of the first claim, which is given</w:t>
      </w:r>
      <w:r>
        <w:t xml:space="preserve"> </w:t>
      </w:r>
      <w:r>
        <w:t xml:space="preserve">‘the status of an assumption’</w:t>
      </w:r>
      <w:r>
        <w:t xml:space="preserve"> </w:t>
      </w:r>
      <w:r>
        <w:t xml:space="preserve">to be checked against cases (Chapter Two §2.1.2). The first governs a participant, the second a state of the world, the third a proposition.</w:t>
      </w:r>
    </w:p>
    <w:p>
      <w:pPr>
        <w:pStyle w:val="BodyText"/>
      </w:pPr>
      <w:r>
        <w:t xml:space="preserve">The criterion Habermas enters for the first claim is reflexive. The defeasibility which attaches to the supposition of rationality is said not to apply to idealisations in the domain of cognition, even where these too take the form of pragmatic presuppositions: the supposition of a shared objective world is</w:t>
      </w:r>
      <w:r>
        <w:t xml:space="preserve"> </w:t>
      </w:r>
      <w:r>
        <w:t xml:space="preserve">‘</w:t>
      </w:r>
      <w:r>
        <w:t xml:space="preserve">“transcendentally”</w:t>
      </w:r>
      <w:r>
        <w:t xml:space="preserve"> </w:t>
      </w:r>
      <w:r>
        <w:t xml:space="preserve">necessary in the sense that it cannot be corrected by experiences that would not be possible without it’</w:t>
      </w:r>
      <w:r>
        <w:t xml:space="preserve">, whereas the supposition of rationality in communicative action holds</w:t>
      </w:r>
      <w:r>
        <w:t xml:space="preserve"> </w:t>
      </w:r>
      <w:r>
        <w:t xml:space="preserve">‘only pro tempore’</w:t>
      </w:r>
      <w:r>
        <w:t xml:space="preserve">.</w:t>
      </w:r>
      <w:r>
        <w:rPr>
          <w:rStyle w:val="FootnoteReference"/>
        </w:rPr>
        <w:footnoteReference w:id="55"/>
      </w:r>
      <w:r>
        <w:t xml:space="preserve"> </w:t>
      </w:r>
      <w:r>
        <w:t xml:space="preserve">The page divides the field by a criterion stated for a class: one supposition is protected, another is not, and which further items fall within the protected class is not settled there. The criterion is Habermas’s; its extension to the presuppositions of argumentation is not, and whether they fall on the protected side is what the counter-programme asserts and what reconstruction, on the result of Chapter Two §2.1.2, cannot decide.</w:t>
      </w:r>
    </w:p>
    <w:p>
      <w:pPr>
        <w:pStyle w:val="BodyText"/>
      </w:pPr>
      <w:r>
        <w:t xml:space="preserve">The three behaviours of denial which hold the two registers apart are set out at Chapter Two §2.2.2 and are invoked from there: negation, which alone stays inside the order it operates on, and which is the behaviour proper to a proposition; miscarriage, a performative compulsion being not negated but failed; and the withholding of compliance, a norm’s bindingness being not negated but refused. Two things are owed to them which that chapter does not supply. The first is the criterion under which they individuate at all: an item’s kind answers to the treatment it admits of, so that negation is the operation by which propositions, and only propositions, are disputed. The second is the standing of the first behaviour’s own report. That a denier’s assertion reaches the description of a compulsion and not the compulsion is not derived from the behaviour of denial but exhibited in it, in the denier’s act, and §3.3.1 supplies the form of that exhibition. The one apparent exception, the principle of non-contradiction, whose negation can be written down but not asserted, is not a counterexample but the paradigm case, and Aristotle treats it as such in</w:t>
      </w:r>
      <w:r>
        <w:t xml:space="preserve"> </w:t>
      </w:r>
      <w:r>
        <w:rPr>
          <w:i/>
          <w:iCs/>
        </w:rPr>
        <w:t xml:space="preserve">Metaphysics</w:t>
      </w:r>
      <w:r>
        <w:t xml:space="preserve"> </w:t>
      </w:r>
      <w:r>
        <w:t xml:space="preserve">Γ.4.</w:t>
      </w:r>
    </w:p>
    <w:p>
      <w:pPr>
        <w:pStyle w:val="BodyText"/>
      </w:pPr>
      <w:r>
        <w:t xml:space="preserve">The vocabulary of the two registers is fixed at Chapter Two §2.2.2 and is invoked and not re-fixed: the operative register of enactment, with its two faces, the operative face, the enactment as performed, and the reflexive face, the enactment turned upon itself; the propositional register of description; and between them the operative–propositional asymmetry, which, stated as a premise, is the categorial premise. Three things follow from the ground just given, and each is used below. The difference between the registers is one of kind and not of grade, grades being what is in dispute. It rests on the behaviour of denial and therefore on no claim about the reliability of reflection, which distinguishes the ground offered here from the school which first drew the line. And it is turned against that school, since a proposition inheriting the standing of the performative evidence would have crossed the line, as §3.2.4 shows of Kuhlmann’s inference.</w:t>
      </w:r>
    </w:p>
    <w:p>
      <w:pPr>
        <w:pStyle w:val="BodyText"/>
      </w:pPr>
      <w:r>
        <w:t xml:space="preserve">The burden rule Chapter Two §2.2.2 draws from the behaviour of denial is what the positive result comes to, and the negative is regularly taken for the whole. Habermas states the negative half and its limit in one sentence: the demonstration of performative contradictions establishes that there are no alternatives to the rules of argumentation, and the rules are not thereby justified.</w:t>
      </w:r>
      <w:r>
        <w:rPr>
          <w:rStyle w:val="FootnoteReference"/>
        </w:rPr>
        <w:footnoteReference w:id="56"/>
      </w:r>
      <w:r>
        <w:t xml:space="preserve"> </w:t>
      </w:r>
      <w:r>
        <w:t xml:space="preserve">The passage from</w:t>
      </w:r>
      <w:r>
        <w:t xml:space="preserve"> </w:t>
      </w:r>
      <w:r>
        <w:rPr>
          <w:i/>
          <w:iCs/>
        </w:rPr>
        <w:t xml:space="preserve">not coherently deniable</w:t>
      </w:r>
      <w:r>
        <w:t xml:space="preserve"> </w:t>
      </w:r>
      <w:r>
        <w:t xml:space="preserve">to</w:t>
      </w:r>
      <w:r>
        <w:t xml:space="preserve"> </w:t>
      </w:r>
      <w:r>
        <w:rPr>
          <w:i/>
          <w:iCs/>
        </w:rPr>
        <w:t xml:space="preserve">provisionally acceptable</w:t>
      </w:r>
      <w:r>
        <w:t xml:space="preserve"> </w:t>
      </w:r>
      <w:r>
        <w:t xml:space="preserve">is not a logical inference. It is pragmatic, holding within a practice which distributes burdens of proof, and it is the operative–propositional asymmetry applied to itself, since what is enacted is a distribution of burdens and a proposition about the distribution is corrigible like any other. Nor is the result an affirmation in disguise, since no second negation has been performed: a denial which cannot be executed is a speech act that failed, not the negation of a negation from which an affirmation might be read off on the mathematical model.</w:t>
      </w:r>
      <w:r>
        <w:rPr>
          <w:rStyle w:val="FootnoteReference"/>
        </w:rPr>
        <w:footnoteReference w:id="57"/>
      </w:r>
      <w:r>
        <w:t xml:space="preserve"> </w:t>
      </w:r>
      <w:r>
        <w:t xml:space="preserve">A provisional standing so distributed is not a deontic bindingness, since a claim which stands until contested has not thereby obliged anyone to anything beyond the discourse in which the burden lies. The rule therefore sharpens the second interval, between provisional standing and bindingness, instead of crossing it, and it does so on the side of the counter-programme as much as on Habermas’s: an</w:t>
      </w:r>
      <w:r>
        <w:t xml:space="preserve"> </w:t>
      </w:r>
      <w:r>
        <w:rPr>
          <w:i/>
          <w:iCs/>
        </w:rPr>
        <w:t xml:space="preserve">Aufweis</w:t>
      </w:r>
      <w:r>
        <w:t xml:space="preserve"> </w:t>
      </w:r>
      <w:r>
        <w:t xml:space="preserve">which exhibits a condition by defeating its denial secures the standing described and nothing beyond it. Where more is claimed below, at §3.3.3 and §3.3.6, the claim is to be measured against this rule.</w:t>
      </w:r>
    </w:p>
    <w:p>
      <w:pPr>
        <w:pStyle w:val="BodyText"/>
      </w:pPr>
      <w:r>
        <w:t xml:space="preserve">The premise so grounded may be restated in the form the derivation of Chapter Two uses. An enactment is individuated by what a performed denial would undo, and not by what would make a proposition about it true. Nothing in it answers to an assessment of content as got right or got wrong, which is the assessability fallibility presupposes, and for that reason it is not the kind of item to which fallibility could intelligibly attach. Whether an interlocutor has taken an utterance rightly or wrongly, the criterion §3.3.1 works with, is an assessment of uptake and not of content, and the two are not run together. The property invoked is assessability and not truth-aptness. Habermas withholds the justification-transcendent sense of truth from moral rightness, which he calls an epistemic concept, and holds moral insight fallible notwithstanding; a criterion resting on aptness for truth in the justification-transcendent sense would therefore exempt every rightness claim from the fallibility Chapter Two §2.1.2 asserts of the reconstructions which state them.</w:t>
      </w:r>
      <w:r>
        <w:rPr>
          <w:rStyle w:val="FootnoteReference"/>
        </w:rPr>
        <w:footnoteReference w:id="58"/>
      </w:r>
      <w:r>
        <w:t xml:space="preserve"> </w:t>
      </w:r>
      <w:r>
        <w:t xml:space="preserve">The categorial line is confirmed in the predicates Habermas keeps to either side of it without remarking on the alignment. At MCCA 32 the presuppositions</w:t>
      </w:r>
      <w:r>
        <w:t xml:space="preserve"> </w:t>
      </w:r>
      <w:r>
        <w:t xml:space="preserve">‘cannot be cast aside’</w:t>
      </w:r>
      <w:r>
        <w:t xml:space="preserve">, a predicate of what a subject does or fails to do; on the same page, and introduced by</w:t>
      </w:r>
      <w:r>
        <w:t xml:space="preserve"> </w:t>
      </w:r>
      <w:r>
        <w:t xml:space="preserve">‘For this reason’</w:t>
      </w:r>
      <w:r>
        <w:t xml:space="preserve">, all rational reconstructions have</w:t>
      </w:r>
      <w:r>
        <w:t xml:space="preserve"> </w:t>
      </w:r>
      <w:r>
        <w:t xml:space="preserve">‘only hypothetical status’</w:t>
      </w:r>
      <w:r>
        <w:t xml:space="preserve">, a predicate of what a proposition has or lacks.</w:t>
      </w:r>
      <w:r>
        <w:rPr>
          <w:rStyle w:val="FootnoteReference"/>
        </w:rPr>
        <w:footnoteReference w:id="59"/>
      </w:r>
    </w:p>
    <w:bookmarkEnd w:id="60"/>
    <w:bookmarkStart w:id="64" w:name="X3fc658e352e11655865bc266315c867232f496c"/>
    <w:p>
      <w:pPr>
        <w:pStyle w:val="Heading3"/>
      </w:pPr>
      <w:r>
        <w:t xml:space="preserve">§3.2.2 · The premise defended: two objections, two falsifiers, the cost, and the amended individuation</w:t>
      </w:r>
    </w:p>
    <w:p>
      <w:pPr>
        <w:pStyle w:val="FirstParagraph"/>
      </w:pPr>
      <w:r>
        <w:t xml:space="preserve">An objection is entered against the asymmetry itself. If the operative is reachable only under a propositional description, and every description is corrigible, then the grasp of what is enacted is corrigible too, and the asymmetry collapses into a distinction which can be drawn but not occupied. The inference fails three times over. It misses its target, since the claim is not that the enactment is known incorrigibly but that correction is not predicated of it; it generalises past its target, since on the same reasoning the fallibility of physics would infect the processes physics describes; and it begs the question, since the passage from</w:t>
      </w:r>
      <w:r>
        <w:t xml:space="preserve"> </w:t>
      </w:r>
      <w:r>
        <w:rPr>
          <w:i/>
          <w:iCs/>
        </w:rPr>
        <w:t xml:space="preserve">access is fallible</w:t>
      </w:r>
      <w:r>
        <w:t xml:space="preserve"> </w:t>
      </w:r>
      <w:r>
        <w:t xml:space="preserve">to</w:t>
      </w:r>
      <w:r>
        <w:t xml:space="preserve"> </w:t>
      </w:r>
      <w:r>
        <w:rPr>
          <w:i/>
          <w:iCs/>
        </w:rPr>
        <w:t xml:space="preserve">the item is fallible</w:t>
      </w:r>
      <w:r>
        <w:t xml:space="preserve"> </w:t>
      </w:r>
      <w:r>
        <w:t xml:space="preserve">is the operative–propositional conflation under another name. An inferentialist rejoinder, constructed here from Brandom’s account of scorekeeping and not entered by him against this premise, denies that anything stands on the enactment side except statuses instituted by attitudes of attributing and undertaking, so that what is here called the operative register is the implicit half of one scorekeeping practice, made explicit without remainder by logical and modal vocabulary.</w:t>
      </w:r>
      <w:r>
        <w:rPr>
          <w:rStyle w:val="FootnoteReference"/>
        </w:rPr>
        <w:footnoteReference w:id="61"/>
      </w:r>
      <w:r>
        <w:t xml:space="preserve"> </w:t>
      </w:r>
      <w:r>
        <w:t xml:space="preserve">The reply is the falsifier declared below. What is attributed can be withdrawn, and a status which exists only as attributed is undone when the attribution is undone; whereas the enactment of a presupposition of argument is not undone by any scorekeeper’s withdrawing the attribution of it, since the withdrawal is itself a move in the practice whose presuppositions it would suspend. The categorial claim is advanced as a reconstruction of the ordinary practice of disputing and is corrigible as any reconstruction is. It is declared falsifiable: a case in which negating the description undid an enactment which is not constituted by being attributed would refute it. Determinacy under fallible description is necessary for what is claimed and far from sufficient, since a natural process also has a determinate character and does not thereby institute meaning; that the enactment falls within the constitution of meaning rather than outside it is Apel’s argument, examined at §3.2.4 and, in its Peircean ground, at §3.3.4.</w:t>
      </w:r>
    </w:p>
    <w:p>
      <w:pPr>
        <w:pStyle w:val="BodyText"/>
      </w:pPr>
      <w:r>
        <w:t xml:space="preserve">A charge of a different order alleges an ineffable residue manufactured and installed at the foundation of the account. It would be decisive if the enactment were placed beyond articulation, which it is not; the claim is the one §3.2.1 entered, that no articulation can be shown to have exhausted it. The disclaimer is Habermas’s own. Having written that</w:t>
      </w:r>
      <w:r>
        <w:t xml:space="preserve"> </w:t>
      </w:r>
      <w:r>
        <w:t xml:space="preserve">‘Apel uses the vivid image of the interlocking of the ideal and the real communication community; but this sounds almost too Kantian’</w:t>
      </w:r>
      <w:r>
        <w:t xml:space="preserve">, he adds that</w:t>
      </w:r>
      <w:r>
        <w:t xml:space="preserve"> </w:t>
      </w:r>
      <w:r>
        <w:t xml:space="preserve">‘The doctrine of the</w:t>
      </w:r>
      <w:r>
        <w:t xml:space="preserve"> </w:t>
      </w:r>
      <w:r>
        <w:t xml:space="preserve">“two realms”</w:t>
      </w:r>
      <w:r>
        <w:t xml:space="preserve"> </w:t>
      </w:r>
      <w:r>
        <w:t xml:space="preserve">has been completely overcome’</w:t>
      </w:r>
      <w:r>
        <w:t xml:space="preserve">.</w:t>
      </w:r>
      <w:r>
        <w:rPr>
          <w:rStyle w:val="FootnoteReference"/>
        </w:rPr>
        <w:footnoteReference w:id="62"/>
      </w:r>
      <w:r>
        <w:t xml:space="preserve"> </w:t>
      </w:r>
      <w:r>
        <w:t xml:space="preserve">The categorial premise rests on the behaviour of denial and not on an appeal to two orders of being. It establishes that the first and third modal claims of §3.2.1 are two items and not one, so that the appearance of conflict between them rests on a premise the behaviour of denial does not support: that the modal status of what is presupposed transmits to the statement that it is presupposed. That no modal status crosses by any resource of reconstructive science is a further claim, argued at §3.2.3, which leaves open whether it crosses by any other means.</w:t>
      </w:r>
    </w:p>
    <w:p>
      <w:pPr>
        <w:pStyle w:val="BodyText"/>
      </w:pPr>
      <w:r>
        <w:t xml:space="preserve">Against the premise an objection is entered from the transcendental-pragmatic side, and it must be taken in its strongest form. The weak form is a regress worry: the premise is a proposition, all propositions are fallible, so the premise is fallible and the protection evaporates. The strong form is meaning-critical, and it is constructed here from the position Apel and Kuhlmann hold rather than taken from a text in which either presses it. The premise is no hypothesis among others about the furniture of the world but states what kinds of item can bear modal properties, a claim about the conditions under which any argument is intelligible; claims of that kind are enacted in every argument in which they might be disputed, and hence belong to the class the premise says propositions cannot occupy.</w:t>
      </w:r>
    </w:p>
    <w:p>
      <w:pPr>
        <w:pStyle w:val="BodyText"/>
      </w:pPr>
      <w:r>
        <w:t xml:space="preserve">The reply concedes without reservation that the premise is a proposition and is fallible, and rests on two grounds. The first is a disanalogy. A prohibition on formulation is self-undermining in the medium it governs, as the verification principle forbids meaningful assertion of a class to which it belongs; an assertion that one kind of item does not bear a modal property borne by another forms no forbidden sentence. The second is the reply Apel’s own principle of self-recuperation (</w:t>
      </w:r>
      <w:r>
        <w:rPr>
          <w:i/>
          <w:iCs/>
        </w:rPr>
        <w:t xml:space="preserve">Selbsteinholung</w:t>
      </w:r>
      <w:r>
        <w:t xml:space="preserve">), which Chapter Two enters under the second commitment, demands rather than merely permits. What is enacted in every argument is not the content of the premise but the distinction the content states, so that a condition of intelligibility can be stated, its statement being a proposition and fallible, while what it states is enacted. That is not a paradox but the categorial premise itself. The premise is therefore self-instantiating in the sense the burden rule allows: its denial cannot be executed without the denier’s performing and his saying coming apart in the act, which is the distinction the premise states, exhibited in the denial whether or not the denier draws it, the standing so conferred being provisional and intersubjective and not a demonstration.</w:t>
      </w:r>
    </w:p>
    <w:p>
      <w:pPr>
        <w:pStyle w:val="BodyText"/>
      </w:pPr>
      <w:r>
        <w:t xml:space="preserve">The consequence is a cost, and it falls on the standing of the reading rather than on the premise. If the premise is self-instantiating in that way, the position so reached shares a reflexive criterion with the counter-programme and cannot present itself as an adjudication conducted from outside both. It stands closer to Apel than the language of stronger and weaker claims suggests, and Apel operates the same register-distinction. His criterion for what counts as ultimately grounded is of the same reflexive kind and not one of formal-logical demonstration: what cannot be denied without self-contradiction and cannot at the same time be demonstrated without</w:t>
      </w:r>
      <w:r>
        <w:t xml:space="preserve"> </w:t>
      </w:r>
      <w:r>
        <w:rPr>
          <w:i/>
          <w:iCs/>
        </w:rPr>
        <w:t xml:space="preserve">petitio principii</w:t>
      </w:r>
      <w:r>
        <w:t xml:space="preserve"> </w:t>
      </w:r>
      <w:r>
        <w:t xml:space="preserve">‘is not an insight into a formal-logical dilemma but an insight into an indispensable condition of the possibility of performative arguing’</w:t>
      </w:r>
      <w:r>
        <w:t xml:space="preserve">.</w:t>
      </w:r>
      <w:r>
        <w:rPr>
          <w:rStyle w:val="FootnoteReference"/>
        </w:rPr>
        <w:footnoteReference w:id="63"/>
      </w:r>
      <w:r>
        <w:t xml:space="preserve"> </w:t>
      </w:r>
      <w:r>
        <w:t xml:space="preserve">The difference does not disappear. He takes the reflexive insight to yield a proposition immune to revision; the reading defended here takes it to yield an enactment whose every statement remains revisable. What divides the position from Apel’s is therefore the single categorial question Chapter Two §2.1.2 located, which §3.3.6 states as the crossing of two boundaries.</w:t>
      </w:r>
    </w:p>
    <w:p>
      <w:pPr>
        <w:pStyle w:val="BodyText"/>
      </w:pPr>
      <w:r>
        <w:t xml:space="preserve">Three concessions travel with the reply. The premise is falsifiable by a second route, stated with the restriction which makes it a route: it would be defeated by the exhibition of an item which is both a performance and truth-apt and whose truth-value is settled by the performing rather than by what is said, so that separating the utterance from the sentence uttered would leave one of the two without the property ascribed to the item. The nearest candidates, the explicit performatives, do not meet that condition, since there the utterance is a performance and the sentence uttered is truth-apt independently of it. That the performance/description distinction is not exhaustive of the field of items to which modal predicates attach would not defeat the premise, which asserts a difference of kind and not an exhaustion of kinds. And the premise is not category-neutral towards Apel’s third-kind claim: it grants that the conditions are not objectifiable and that their individuation is not semantic, and declines only the further step by which a non-objectifying reflection is credited with yielding a proposition immune to revision.</w:t>
      </w:r>
    </w:p>
    <w:p>
      <w:pPr>
        <w:pStyle w:val="BodyText"/>
      </w:pPr>
      <w:r>
        <w:t xml:space="preserve">One further step is owed before the premise may be used, since the chapters use it in the form Chapter Two §2.3.2 amended and not in the form first stated. Derrida’s argument from iterability was taken there to reach what the exhibition requires on its own behalf, that a speaker’s denial be recognisable as the denial of what his denying enacts, and the requirement was conceded in a thin form: recognisability holds between these interlocutors, on this occasion, and nothing is claimed for an identity of sense which would survive the occasion. The three behaviours stand as individuated, since what tells them apart is what each does to its object and not how far the doing reaches; the burden rule is undisturbed, having been drawn in the indexed form the concession requires; and the two falsifiers survive in a bounded shape, each falling within a single exchange. What the concession costs the grounding is reach and not standing. The question it leaves open is handed to §3.3: whether what two interlocutors can recognise between them will bear a result that no exchange bounds.</w:t>
      </w:r>
    </w:p>
    <w:bookmarkEnd w:id="64"/>
    <w:bookmarkStart w:id="74" w:name="X9606847f12851d0a35c2df96c8e4508ffdce7de"/>
    <w:p>
      <w:pPr>
        <w:pStyle w:val="Heading3"/>
      </w:pPr>
      <w:r>
        <w:t xml:space="preserve">§3.2.3 · The first interval: three routes across it, and the transfer fallibilism forbids</w:t>
      </w:r>
    </w:p>
    <w:p>
      <w:pPr>
        <w:pStyle w:val="FirstParagraph"/>
      </w:pPr>
      <w:r>
        <w:t xml:space="preserve">Suppose the standing of an enacted presupposition were to cross to the proposition reconstructing it. Three routes present themselves, and the programme’s own resources permit none of them.</w:t>
      </w:r>
    </w:p>
    <w:p>
      <w:pPr>
        <w:pStyle w:val="BodyText"/>
      </w:pPr>
      <w:r>
        <w:t xml:space="preserve">The first route is description: a true description of an unavoidable presupposition would itself be unavoidable. The passage of 1983 quoted at Chapter Two §2.1.2 closes it so far as certainty is concerned: the intuitive knowledge of rules has a certainty which the reconstruction of it does not inherit.</w:t>
      </w:r>
      <w:r>
        <w:rPr>
          <w:rStyle w:val="FootnoteReference"/>
        </w:rPr>
        <w:footnoteReference w:id="65"/>
      </w:r>
      <w:r>
        <w:t xml:space="preserve"> </w:t>
      </w:r>
      <w:r>
        <w:t xml:space="preserve">That unavoidability is not inherited either follows only with the further premise that a description stands to what it describes as a proposition to an enactment, which is the categorial premise §3.2.1 grounds and not the passage. The passage of 1981 quoted at Chapter Two §2.1.1 closes it from the theorist’s side: an interpreter who credits those he interprets with his own competence forfeits his methodological immunity and exposes his interpretation to their criticism.</w:t>
      </w:r>
      <w:r>
        <w:rPr>
          <w:rStyle w:val="FootnoteReference"/>
        </w:rPr>
        <w:footnoteReference w:id="66"/>
      </w:r>
      <w:r>
        <w:t xml:space="preserve"> </w:t>
      </w:r>
      <w:r>
        <w:t xml:space="preserve">The generalisation drawn from that forfeiture, that a description inherits nothing from its object by being true of it, is not Habermas’s, and neither is its extension to formal pragmatics, which his grouping of formal pragmatics among the reconstructive sciences licenses.</w:t>
      </w:r>
    </w:p>
    <w:p>
      <w:pPr>
        <w:pStyle w:val="BodyText"/>
      </w:pPr>
      <w:r>
        <w:t xml:space="preserve">The second route is self-application. The theorist who reconstructs the presuppositions is himself arguing, and his assertion therefore enacts what it describes; might the enactment protect the assertion? The theorist’s performance certifies a token: this assertion, in being made, enacts the presuppositions, shown in the act and not open to revision. What the reconstruction asserts is a type: that every act of the kind enacts them. The token-certification does not transmit to the type, since a singular enactment is as compatible with a contingent universal as with a necessary one; the reconstruction is thus indexically self-verifying and universally hypothetical at once. Habermas draws the same conclusion in 1991:</w:t>
      </w:r>
      <w:r>
        <w:t xml:space="preserve"> </w:t>
      </w:r>
      <w:r>
        <w:t xml:space="preserve">‘the self-referentiality of the undoubtedly central analysis of general presuppositions of argumentation that can be made only by participants in argument does not secure the philosophical enterprise the independence and infallibility Apel associates with the notion of an ultimate justification’</w:t>
      </w:r>
      <w:r>
        <w:t xml:space="preserve">.</w:t>
      </w:r>
      <w:r>
        <w:rPr>
          <w:rStyle w:val="FootnoteReference"/>
        </w:rPr>
        <w:footnoteReference w:id="67"/>
      </w:r>
    </w:p>
    <w:p>
      <w:pPr>
        <w:pStyle w:val="BodyText"/>
      </w:pPr>
      <w:r>
        <w:t xml:space="preserve">Apel concedes the point in the case that matters most to him. Every attempt to formulate the principle of discourse ethics</w:t>
      </w:r>
      <w:r>
        <w:t xml:space="preserve"> </w:t>
      </w:r>
      <w:r>
        <w:t xml:space="preserve">‘appears as revisable’</w:t>
      </w:r>
      <w:r>
        <w:t xml:space="preserve">, and this</w:t>
      </w:r>
      <w:r>
        <w:t xml:space="preserve"> </w:t>
      </w:r>
      <w:r>
        <w:t xml:space="preserve">‘appears to me to be the strongest argument for the hypothetical character, even of the results of transcendental reflection’</w:t>
      </w:r>
      <w:r>
        <w:t xml:space="preserve">; what is possible in their explication is, in the parallel statement of</w:t>
      </w:r>
      <w:r>
        <w:t xml:space="preserve"> </w:t>
      </w:r>
      <w:r>
        <w:rPr>
          <w:i/>
          <w:iCs/>
        </w:rPr>
        <w:t xml:space="preserve">From a Transcendental-Semiotic Point of View</w:t>
      </w:r>
      <w:r>
        <w:t xml:space="preserve">,</w:t>
      </w:r>
      <w:r>
        <w:t xml:space="preserve"> </w:t>
      </w:r>
      <w:r>
        <w:t xml:space="preserve">‘at most, only self-correction (i.e. through self-reference)’</w:t>
      </w:r>
      <w:r>
        <w:t xml:space="preserve">.</w:t>
      </w:r>
      <w:r>
        <w:rPr>
          <w:rStyle w:val="FootnoteReference"/>
        </w:rPr>
        <w:footnoteReference w:id="68"/>
      </w:r>
      <w:r>
        <w:t xml:space="preserve"> </w:t>
      </w:r>
      <w:r>
        <w:t xml:space="preserve">He qualifies the concession on the page which enters it. The explications</w:t>
      </w:r>
      <w:r>
        <w:t xml:space="preserve"> </w:t>
      </w:r>
      <w:r>
        <w:t xml:space="preserve">‘do not have their possible corrective in external, empirical evidence, but in the performative evidence of our argumentative practical knowledge’</w:t>
      </w:r>
      <w:r>
        <w:t xml:space="preserve">, and their status is entirely different from that of empirical hypotheses; two pages later they are</w:t>
      </w:r>
      <w:r>
        <w:t xml:space="preserve"> </w:t>
      </w:r>
      <w:r>
        <w:t xml:space="preserve">‘unquestionably true, i.e., certain’</w:t>
      </w:r>
      <w:r>
        <w:t xml:space="preserve"> </w:t>
      </w:r>
      <w:r>
        <w:t xml:space="preserve">so far as they adequately explicate the performative evidence presupposed in them, and</w:t>
      </w:r>
      <w:r>
        <w:t xml:space="preserve"> </w:t>
      </w:r>
      <w:r>
        <w:t xml:space="preserve">‘revisable explicative hypotheses only inasmuch as they may require a self-correction’</w:t>
      </w:r>
      <w:r>
        <w:t xml:space="preserve">.</w:t>
      </w:r>
      <w:r>
        <w:rPr>
          <w:rStyle w:val="FootnoteReference"/>
        </w:rPr>
        <w:footnoteReference w:id="69"/>
      </w:r>
    </w:p>
    <w:p>
      <w:pPr>
        <w:pStyle w:val="BodyText"/>
      </w:pPr>
      <w:r>
        <w:t xml:space="preserve">The third route is a different mode of access: a reflection which articulates the presupposition from within the act of arguing rather than describing it from outside, so that the articulation carries the standing of the act. That is Apel’s route, and what this section settles of it is only that it is not one of reconstructive science. The method’s tests are recognition and counterexample; they reach content and extension; a mode of access reaching modality would be, by the argument of Chapter Two §2.1.2, one the method does not possess. Apel says so in his own name, answering the proposal that the presuppositions be established empirically after Chomsky’s manner: an adequate concept of argumentation,</w:t>
      </w:r>
      <w:r>
        <w:t xml:space="preserve"> </w:t>
      </w:r>
      <w:r>
        <w:t xml:space="preserve">‘concerning its necessary conditions, can only be attained through strict transcendental reflection’</w:t>
      </w:r>
      <w:r>
        <w:t xml:space="preserve">, his answer to a</w:t>
      </w:r>
      <w:r>
        <w:t xml:space="preserve"> </w:t>
      </w:r>
      <w:r>
        <w:t xml:space="preserve">‘suspicion of a petitio principii’</w:t>
      </w:r>
      <w:r>
        <w:t xml:space="preserve"> </w:t>
      </w:r>
      <w:r>
        <w:t xml:space="preserve">which he there anticipates against his own dismissal of the empirical proposal.</w:t>
      </w:r>
      <w:r>
        <w:rPr>
          <w:rStyle w:val="FootnoteReference"/>
        </w:rPr>
        <w:footnoteReference w:id="70"/>
      </w:r>
      <w:r>
        <w:t xml:space="preserve"> </w:t>
      </w:r>
      <w:r>
        <w:t xml:space="preserve">If the standing crosses, it does not cross by reconstruction.</w:t>
      </w:r>
    </w:p>
    <w:p>
      <w:pPr>
        <w:pStyle w:val="BodyText"/>
      </w:pPr>
      <w:r>
        <w:t xml:space="preserve">The corrigibility reminder of 1983 is directed</w:t>
      </w:r>
      <w:r>
        <w:t xml:space="preserve"> </w:t>
      </w:r>
      <w:r>
        <w:t xml:space="preserve">‘for this reason’</w:t>
      </w:r>
      <w:r>
        <w:t xml:space="preserve"> </w:t>
      </w:r>
      <w:r>
        <w:t xml:space="preserve">against the inference from inescapability to ultimate justification. In 2003 Habermas records following Apel’s nondeductive model and locates the point of contention not at the justification move but at its status within a game of justification which is not foundational; a page beyond the reminder, the essay of 1983 puts the same point positively:</w:t>
      </w:r>
      <w:r>
        <w:t xml:space="preserve"> </w:t>
      </w:r>
      <w:r>
        <w:t xml:space="preserve">‘No harm is done, however, if we deny that the transcendental-pragmatic justification constitutes an ultimate justification. Rather, discourse ethics then takes its place among the reconstructive sciences concerned with the rational bases of knowing, speaking, and acting.’</w:t>
      </w:r>
      <w:r>
        <w:rPr>
          <w:rStyle w:val="FootnoteReference"/>
        </w:rPr>
        <w:footnoteReference w:id="71"/>
      </w:r>
      <w:r>
        <w:t xml:space="preserve"> </w:t>
      </w:r>
      <w:r>
        <w:t xml:space="preserve">Habermas has not failed to notice a route by which the standing might cross; the fallibilism his programme adopts forbids the transfer.</w:t>
      </w:r>
    </w:p>
    <w:p>
      <w:pPr>
        <w:pStyle w:val="BodyText"/>
      </w:pPr>
      <w:r>
        <w:t xml:space="preserve">What the three routes establish may be stated as a result, and the ground of the result is the silence of the method on modality rather than the number of the routes. Since the tests a reconstruction commands are recognition and counterexample, and these reach content and extension alone, formal pragmatics cannot from its own reconstructive resources transmit the modal standing of enacted commitments to their propositional reconstruction. Description will not do it, the description being corrigible on Habermas’s own account; self-application will not, a token-certification not reaching a type; and strict reflection, which claims to, is placed by both parties outside the method. Whether a transfer is possible by any means is what divides the two programmes, and their reference point is common ground, which Habermas states in Apel’s favour: in</w:t>
      </w:r>
      <w:r>
        <w:t xml:space="preserve"> </w:t>
      </w:r>
      <w:r>
        <w:t xml:space="preserve">‘argumentation as such’</w:t>
      </w:r>
      <w:r>
        <w:t xml:space="preserve">, he writes,</w:t>
      </w:r>
      <w:r>
        <w:t xml:space="preserve"> </w:t>
      </w:r>
      <w:r>
        <w:t xml:space="preserve">‘Apel has gained a reference point that is as fundamental for the analysis of unavoidable rules as the</w:t>
      </w:r>
      <w:r>
        <w:t xml:space="preserve"> </w:t>
      </w:r>
      <w:r>
        <w:t xml:space="preserve">“I think”</w:t>
      </w:r>
      <w:r>
        <w:t xml:space="preserve"> </w:t>
      </w:r>
      <w:r>
        <w:t xml:space="preserve">or</w:t>
      </w:r>
      <w:r>
        <w:t xml:space="preserve"> </w:t>
      </w:r>
      <w:r>
        <w:t xml:space="preserve">“consciousness as such”</w:t>
      </w:r>
      <w:r>
        <w:t xml:space="preserve"> </w:t>
      </w:r>
      <w:r>
        <w:t xml:space="preserve">is for the philosophy of reflection’</w:t>
      </w:r>
      <w:r>
        <w:t xml:space="preserve">.</w:t>
      </w:r>
      <w:r>
        <w:rPr>
          <w:rStyle w:val="FootnoteReference"/>
        </w:rPr>
        <w:footnoteReference w:id="72"/>
      </w:r>
      <w:r>
        <w:t xml:space="preserve"> </w:t>
      </w:r>
      <w:r>
        <w:t xml:space="preserve">The consequence is not drawn by him: the highest point of the deduction is occupied no longer by the</w:t>
      </w:r>
      <w:r>
        <w:t xml:space="preserve"> </w:t>
      </w:r>
      <w:r>
        <w:t xml:space="preserve">‘I think’</w:t>
      </w:r>
      <w:r>
        <w:t xml:space="preserve"> </w:t>
      </w:r>
      <w:r>
        <w:t xml:space="preserve">which, in Kant’s words,</w:t>
      </w:r>
      <w:r>
        <w:t xml:space="preserve"> </w:t>
      </w:r>
      <w:r>
        <w:t xml:space="preserve">‘must be able to accompany all my representations’</w:t>
      </w:r>
      <w:r>
        <w:t xml:space="preserve">, but by a</w:t>
      </w:r>
      <w:r>
        <w:t xml:space="preserve"> </w:t>
      </w:r>
      <w:r>
        <w:t xml:space="preserve">‘we argue’</w:t>
      </w:r>
      <w:r>
        <w:t xml:space="preserve">.</w:t>
      </w:r>
      <w:r>
        <w:rPr>
          <w:rStyle w:val="FootnoteReference"/>
        </w:rPr>
        <w:footnoteReference w:id="73"/>
      </w:r>
    </w:p>
    <w:bookmarkEnd w:id="74"/>
    <w:bookmarkStart w:id="86" w:name="Xa3458a2395c4ec2dfa0a5c5406c0db045e7706a"/>
    <w:p>
      <w:pPr>
        <w:pStyle w:val="Heading3"/>
      </w:pPr>
      <w:r>
        <w:t xml:space="preserve">§3.2.4 · The other access, localised at the reflexive face, and the modal register of the threshold</w:t>
      </w:r>
    </w:p>
    <w:p>
      <w:pPr>
        <w:pStyle w:val="FirstParagraph"/>
      </w:pPr>
      <w:r>
        <w:t xml:space="preserve">Apel’s claim is that the self-referential meaning of an explicit performative phrase can be transformed by any competent arguer into propositional knowledge by a kind of public reflection which belongs to the language game itself.</w:t>
      </w:r>
      <w:r>
        <w:rPr>
          <w:rStyle w:val="FootnoteReference"/>
        </w:rPr>
        <w:footnoteReference w:id="75"/>
      </w:r>
      <w:r>
        <w:t xml:space="preserve"> </w:t>
      </w:r>
      <w:r>
        <w:t xml:space="preserve">Two features carry the weight: the reflection belongs to the language game, being a move within it and not a theory about it entered from outside, and it is public, an explication any arguer can be brought to share rather than an introspective certitude. The claim is therefore not that a description inherits an immunity, which the three routes exclude, but that at the reflexive face of the performative the difference between enacting and describing lapses.</w:t>
      </w:r>
    </w:p>
    <w:p>
      <w:pPr>
        <w:pStyle w:val="BodyText"/>
      </w:pPr>
      <w:r>
        <w:t xml:space="preserve">Habermas refuses the claim, and his refusal has two formulations which are not to be run together. The first is a diagnosis of its ground, entered in 1983: the claim to ultimate justification rests, if he understands Apel correctly, on identifying propositional truth with the experience of certitude, an identification available only under the conditions of a philosophy of consciousness.</w:t>
      </w:r>
      <w:r>
        <w:rPr>
          <w:rStyle w:val="FootnoteReference"/>
        </w:rPr>
        <w:footnoteReference w:id="76"/>
      </w:r>
      <w:r>
        <w:t xml:space="preserve"> </w:t>
      </w:r>
      <w:r>
        <w:t xml:space="preserve">The qualification is Habermas’s, and Apel disowns the ground, seeing in his own procedure</w:t>
      </w:r>
      <w:r>
        <w:t xml:space="preserve"> </w:t>
      </w:r>
      <w:r>
        <w:t xml:space="preserve">‘the possibility of renewing the problematic of philosophical (transcendental) self-reflection of thought in a non-psychological way’</w:t>
      </w:r>
      <w:r>
        <w:t xml:space="preserve">.</w:t>
      </w:r>
      <w:r>
        <w:rPr>
          <w:rStyle w:val="FootnoteReference"/>
        </w:rPr>
        <w:footnoteReference w:id="77"/>
      </w:r>
      <w:r>
        <w:t xml:space="preserve"> </w:t>
      </w:r>
      <w:r>
        <w:t xml:space="preserve">The second is a diagnosis of the strategy, entered in 2020 (§3.1.5). The refusal is accepted here; the first diagnosis is declined on Apel’s own testimony; and the ground of acceptance is neither diagnosis but the result of the three routes, taken within the reach that result has. Strict reflection is said to yield propositions which inherit the standing of what they articulate, and no resource of reconstructive science delivers that inheritance. Whether an ultimate grounding is excluded by the asymmetry itself is not settled at this point, since the asymmetry bars no route but the one reconstruction possesses; the transfer is declined at §3.3.3 and on the ground stated there.</w:t>
      </w:r>
    </w:p>
    <w:p>
      <w:pPr>
        <w:pStyle w:val="BodyText"/>
      </w:pPr>
      <w:r>
        <w:t xml:space="preserve">The two faces of the operative register carry the dispute, and the theorist’s proposition adds a third register. Apel’s strict reflection operates at the reflexive face alone, and his stronger predicate is claimed there; the propositional register is where either face is described, and the revisability of what is recorded there is common ground. The dispute is not about the phenomenon, since both parties grant the inescapability at the operative face, nor about the revisability of a formulation, since both grant that any statement of the presuppositions may be improved. It is about what a correction answers to, for Habermas the discussion to which any reconstruction is submitted, for Apel the performative evidence of the act explicated; and about whether the coincidence of enacting and thematising at the reflexive face yields an insight of a different modal order, or only a token-certification no more transmissible than any other. Habermas declines the further issue where reconstruction must decline it, writing that</w:t>
      </w:r>
      <w:r>
        <w:t xml:space="preserve"> </w:t>
      </w:r>
      <w:r>
        <w:t xml:space="preserve">‘the concept of</w:t>
      </w:r>
      <w:r>
        <w:t xml:space="preserve"> </w:t>
      </w:r>
      <w:r>
        <w:t xml:space="preserve">“strict reflection”</w:t>
      </w:r>
      <w:r>
        <w:t xml:space="preserve"> </w:t>
      </w:r>
      <w:r>
        <w:t xml:space="preserve">introduced by Wolfgang Kuhlmann raises further issues that I cannot address here’</w:t>
      </w:r>
      <w:r>
        <w:t xml:space="preserve">, and assigns the transcendental-pragmatic argument, two sentences earlier, the standing of a discursively untestable reassurance.</w:t>
      </w:r>
      <w:r>
        <w:rPr>
          <w:rStyle w:val="FootnoteReference"/>
        </w:rPr>
        <w:footnoteReference w:id="78"/>
      </w:r>
      <w:r>
        <w:t xml:space="preserve"> </w:t>
      </w:r>
      <w:r>
        <w:t xml:space="preserve">§3.3 puts the question, by asking whether an exhibition of the elenctic kind, the refutation convicting a denier of enacting what he denies, can display what a reconstruction cannot certify.</w:t>
      </w:r>
    </w:p>
    <w:p>
      <w:pPr>
        <w:pStyle w:val="BodyText"/>
      </w:pPr>
      <w:r>
        <w:t xml:space="preserve">Kuhlmann draws a stronger conclusion from the presuppositions of argumentation, and Habermas displays it in order to refuse it. What cannot be meaningfully disputed</w:t>
      </w:r>
      <w:r>
        <w:t xml:space="preserve"> </w:t>
      </w:r>
      <w:r>
        <w:t xml:space="preserve">‘because it is necessarily presupposed in a process of meaningful argumentation’</w:t>
      </w:r>
      <w:r>
        <w:t xml:space="preserve">, and what</w:t>
      </w:r>
      <w:r>
        <w:t xml:space="preserve"> </w:t>
      </w:r>
      <w:r>
        <w:t xml:space="preserve">‘for the same reason I cannot meaningfully justify by deriving it deductively’</w:t>
      </w:r>
      <w:r>
        <w:t xml:space="preserve">, is on Kuhlmann’s account a secure and unshakable basis; Habermas contests neither conjunct and refuses the inference, the argument form being what</w:t>
      </w:r>
      <w:r>
        <w:t xml:space="preserve"> </w:t>
      </w:r>
      <w:r>
        <w:t xml:space="preserve">‘H. Lenk calls petitio tollendi’</w:t>
      </w:r>
      <w:r>
        <w:t xml:space="preserve">, the denier’s reliance on what he would remove.</w:t>
      </w:r>
      <w:r>
        <w:rPr>
          <w:rStyle w:val="FootnoteReference"/>
        </w:rPr>
        <w:footnoteReference w:id="79"/>
      </w:r>
      <w:r>
        <w:t xml:space="preserve"> </w:t>
      </w:r>
      <w:r>
        <w:t xml:space="preserve">Classified by the distinctions drawn above, the first conjunct concerns the operative face and is conceded; the second concerns the propositional order, what a deduction of the item would cost, and is conceded on its own ground; the conclusion is a proposition about a type, and the</w:t>
      </w:r>
      <w:r>
        <w:t xml:space="preserve"> </w:t>
      </w:r>
      <w:r>
        <w:t xml:space="preserve">‘therefore’</w:t>
      </w:r>
      <w:r>
        <w:t xml:space="preserve"> </w:t>
      </w:r>
      <w:r>
        <w:t xml:space="preserve">which joins them carries it across the boundary the behaviour of denial fixes. Whether the crossing is licit is the reflexive-face question, and it is not decided by naming the inference. §3.3.3 examines it.</w:t>
      </w:r>
    </w:p>
    <w:p>
      <w:pPr>
        <w:pStyle w:val="BodyText"/>
      </w:pPr>
      <w:r>
        <w:t xml:space="preserve">The limit is not an oversight. §3.2.3 closed each route by a commitment the programme holds on purpose. The route of description is closed by fallibilism, all rational reconstructions having only hypothetical status. The route of self-application is closed by the same commitment applied reflexively, the reconstruction of the presuppositions being itself an argument which claims no exemption. The route of strict reflection is closed by detranscendentalisation, with which the concept of the transcendental is itself altered and philosophy retains the office of a stand-in for reconstructive sciences and not that of a judge.</w:t>
      </w:r>
      <w:r>
        <w:rPr>
          <w:rStyle w:val="FootnoteReference"/>
        </w:rPr>
        <w:footnoteReference w:id="80"/>
      </w:r>
      <w:r>
        <w:t xml:space="preserve"> </w:t>
      </w:r>
      <w:r>
        <w:t xml:space="preserve">The silence on modality is therefore the cost of post-metaphysical thinking as Habermas defines it; a programme which met it differently, by exempting one proposition or admitting a reflection that was not a reconstruction, would no longer be the programme.</w:t>
      </w:r>
    </w:p>
    <w:p>
      <w:pPr>
        <w:pStyle w:val="BodyText"/>
      </w:pPr>
      <w:r>
        <w:t xml:space="preserve">What remains once the access is localised is the modal register in which the two parties state their claims, and it must be fixed from their own vocabulary before the elenctic test is applied. The five restrictions under which Chapter Two §2.1.4 fixes Habermas’s register are not re-laid. What the sentence of 2020 adds is the clause which closes it: the discursive examination of criticisable validity claims is unavoidable</w:t>
      </w:r>
      <w:r>
        <w:t xml:space="preserve"> </w:t>
      </w:r>
      <w:r>
        <w:t xml:space="preserve">‘only in the weaker sense that there is no functional equivalent for this practice of giving and asking for reasons in any of the sociocultural forms of life that we know of’</w:t>
      </w:r>
      <w:r>
        <w:t xml:space="preserve">.</w:t>
      </w:r>
      <w:r>
        <w:rPr>
          <w:rStyle w:val="FootnoteReference"/>
        </w:rPr>
        <w:footnoteReference w:id="81"/>
      </w:r>
      <w:r>
        <w:t xml:space="preserve"> </w:t>
      </w:r>
      <w:r>
        <w:t xml:space="preserve">The phrasing indexes the claim to a speaker and to the forms of life known, and the indexing is his and not a construal placed on him. It is compatible with the weakly transcendental grade and does not by itself secure it; what it fixes is the bound of the claim and not its grade. What it leaves open is whether an absence of alternatives so indexed carries transcendental force or is an induction over the forms of life encountered.</w:t>
      </w:r>
    </w:p>
    <w:p>
      <w:pPr>
        <w:pStyle w:val="BodyText"/>
      </w:pPr>
      <w:r>
        <w:t xml:space="preserve">The demarcation must not, however, be made to rest on the lexicon, since</w:t>
      </w:r>
      <w:r>
        <w:t xml:space="preserve"> </w:t>
      </w:r>
      <w:r>
        <w:rPr>
          <w:i/>
          <w:iCs/>
        </w:rPr>
        <w:t xml:space="preserve">Nichthintergehbarkeit</w:t>
      </w:r>
      <w:r>
        <w:t xml:space="preserve"> </w:t>
      </w:r>
      <w:r>
        <w:t xml:space="preserve">is not Apel’s word alone. Habermas predicates it in his own voice of the communication-presuppositions of argumentation in 1999 and of the presuppositions of a research practice in 2019, glossing it there as what</w:t>
      </w:r>
      <w:r>
        <w:t xml:space="preserve"> </w:t>
      </w:r>
      <w:r>
        <w:t xml:space="preserve">‘we can only reconstruct in the performance of an operation directed at something else’</w:t>
      </w:r>
      <w:r>
        <w:t xml:space="preserve">.</w:t>
      </w:r>
      <w:r>
        <w:rPr>
          <w:rStyle w:val="FootnoteReference"/>
        </w:rPr>
        <w:footnoteReference w:id="82"/>
      </w:r>
      <w:r>
        <w:t xml:space="preserve"> </w:t>
      </w:r>
      <w:r>
        <w:t xml:space="preserve">No demarcation can be drawn from the presence of the word, and none is drawn from it. What the usage settles, in Habermas’s favour, is that he possesses the concept of a presupposition which cannot be gone behind and is accessible only in performing an operation directed elsewhere: the operative side of the asymmetry in his own terms. What divides him from Apel is what the access is taken to yield, and Apel states the divergence himself: in point of content the position of a transcendental-pragmatic ultimate grounding of ethics agrees extensively with Habermas’s in</w:t>
      </w:r>
      <w:r>
        <w:t xml:space="preserve"> </w:t>
      </w:r>
      <w:r>
        <w:rPr>
          <w:i/>
          <w:iCs/>
        </w:rPr>
        <w:t xml:space="preserve">Moralbewußtsein und kommunikatives Handeln</w:t>
      </w:r>
      <w:r>
        <w:t xml:space="preserve">,</w:t>
      </w:r>
      <w:r>
        <w:t xml:space="preserve"> </w:t>
      </w:r>
      <w:r>
        <w:t xml:space="preserve">‘wenngleich Habermas seine Begründung der Ethik als bloß hypothetisch und insofern ihr Prinzip als fallibel auffassen möchte’</w:t>
      </w:r>
      <w:r>
        <w:t xml:space="preserve">.</w:t>
      </w:r>
      <w:r>
        <w:rPr>
          <w:rStyle w:val="FootnoteReference"/>
        </w:rPr>
        <w:footnoteReference w:id="83"/>
      </w:r>
      <w:r>
        <w:t xml:space="preserve"> </w:t>
      </w:r>
      <w:r>
        <w:t xml:space="preserve">The demarcation defended in this chapter is how one of the parties describes it.</w:t>
      </w:r>
    </w:p>
    <w:p>
      <w:pPr>
        <w:pStyle w:val="BodyText"/>
      </w:pPr>
      <w:r>
        <w:t xml:space="preserve">The modal question inherits the form Habermas’s refusal took in 1983. What the demonstration of performative contradictions proves is that the rules of argumentation admit of no alternative; the rules themselves are not thereby justified. The argument-form he refers, after Lenk, to the</w:t>
      </w:r>
      <w:r>
        <w:t xml:space="preserve"> </w:t>
      </w:r>
      <w:r>
        <w:rPr>
          <w:i/>
          <w:iCs/>
        </w:rPr>
        <w:t xml:space="preserve">petitio tollendi</w:t>
      </w:r>
      <w:r>
        <w:t xml:space="preserve">, and its yield he lets Schönrich state, introducing the statement as provocative and not adopting it in his own voice: implications</w:t>
      </w:r>
      <w:r>
        <w:t xml:space="preserve"> </w:t>
      </w:r>
      <w:r>
        <w:t xml:space="preserve">‘wrung from the skeptic through cunning can have no more than quasi-empirical validity’</w:t>
      </w:r>
      <w:r>
        <w:t xml:space="preserve">, since whether those who think will one day think otherwise is, on that view, an open question.</w:t>
      </w:r>
      <w:r>
        <w:rPr>
          <w:rStyle w:val="FootnoteReference"/>
        </w:rPr>
        <w:footnoteReference w:id="84"/>
      </w:r>
      <w:r>
        <w:t xml:space="preserve"> </w:t>
      </w:r>
      <w:r>
        <w:t xml:space="preserve">The refusal is accordingly not a denial that the presuppositions are, for whoever argues, not to be gone behind. It is that their not being gone behind is, on the construal this chapter places on the refusal, a fact of the kind an induction over thinkers reports. The answer these chapters give in their own name is the retorsion of §3.3.2, which turns not on whether thinking might one day go otherwise but on whether the claim that it might can be stated without enacting what it relativises.</w:t>
      </w:r>
    </w:p>
    <w:p>
      <w:pPr>
        <w:pStyle w:val="BodyText"/>
      </w:pPr>
      <w:r>
        <w:t xml:space="preserve">The question so posed is the object of Niquet’s analysis of transcendental modality: of what a condition of possibility can mean once the Kantian synthetic-constructive model is surrendered, and of the absence of alternatives (</w:t>
      </w:r>
      <w:r>
        <w:rPr>
          <w:i/>
          <w:iCs/>
        </w:rPr>
        <w:t xml:space="preserve">Alternativenlosigkeit</w:t>
      </w:r>
      <w:r>
        <w:t xml:space="preserve">) which transcendental arguments claim. His analysis separates an absence of alternatives which holds for what can be conceived from one which holds for what has been met with, and under that separation the formulation of 2020 can be asked whether it is more than a generalisation about the forms of life so far known.</w:t>
      </w:r>
      <w:r>
        <w:rPr>
          <w:rStyle w:val="FootnoteReference"/>
        </w:rPr>
        <w:footnoteReference w:id="85"/>
      </w:r>
      <w:r>
        <w:t xml:space="preserve"> </w:t>
      </w:r>
      <w:r>
        <w:t xml:space="preserve">The question cannot be settled by either party’s preferred instrument. A survey of forms of life cannot establish that no alternative is enactable, since surveys reach only what has been encountered; and a derivation cannot establish it either, since any derivation is conducted in argument and would presuppose what it undertakes to secure. What is shown is not that no inference of any kind could reach the result, but that no inference conducted within argument can reach a condition of argument without presupposing it. If the result is to be reached at all, it must be reached by a procedure which exhibits rather than infers, and which reaches the conditions of contestation by way of the act of contesting. It is set out at §3.3, and the ground on which it is available, the categorial premise, has now been laid.</w:t>
      </w:r>
      <w:r>
        <w:t xml:space="preserve"> </w:t>
      </w:r>
      <w:r>
        <w:t xml:space="preserve">## §3.3 · Reflexive Irrefutability: The Elenctic Disclosure of the Conditions of Meaning</w:t>
      </w:r>
    </w:p>
    <w:bookmarkEnd w:id="86"/>
    <w:bookmarkStart w:id="104" w:name="X07c2ef5693814841af60742ec9f523e901e72ff"/>
    <w:p>
      <w:pPr>
        <w:pStyle w:val="Heading3"/>
      </w:pPr>
      <w:r>
        <w:t xml:space="preserve">§3.3.1 · Why the investigation must proceed elenctically and not demonstratively</w:t>
      </w:r>
    </w:p>
    <w:p>
      <w:pPr>
        <w:pStyle w:val="FirstParagraph"/>
      </w:pPr>
      <w:r>
        <w:t xml:space="preserve">If what is in question is the constitution of discursive validity as such, that constitution cannot be established by derivation, since any derivation would be conducted in argument and would presuppose the conditions at issue. Nor can it be established by reconstruction in Habermas’s sense alone: a fallible reconstruction leaves the status of the presuppositions where the self-referential difficulty found it, and the correction it invites cannot reach the modal claim which does the philosophical work, the two tests a reconstruction commands reaching content and extension and not modality (Chapter Two §2.1.2). What remains is a third procedure, neither deductive nor merely reconstructive, and Aristotle assigns the first principles to a treatment of that kind.</w:t>
      </w:r>
    </w:p>
    <w:p>
      <w:pPr>
        <w:pStyle w:val="BodyText"/>
      </w:pPr>
      <w:r>
        <w:t xml:space="preserve">The problem the procedure answers is older than the trilemma usually taken to state it. In the</w:t>
      </w:r>
      <w:r>
        <w:t xml:space="preserve"> </w:t>
      </w:r>
      <w:r>
        <w:rPr>
          <w:i/>
          <w:iCs/>
        </w:rPr>
        <w:t xml:space="preserve">Posterior Analytics</w:t>
      </w:r>
      <w:r>
        <w:t xml:space="preserve"> </w:t>
      </w:r>
      <w:r>
        <w:t xml:space="preserve">demonstrative knowledge proceeds from premises which are true, primary and immediate, prior to and better known than the conclusion, and Aristotle refuses the two positions which the impossibility of demonstrating everything seems to force: that there is no knowledge at all, since the premises would have to be demonstrated in their turn without end, and that everything is demonstrable, since demonstration may proceed in a circle. The regress is arrested at what is known otherwise than by demonstration, and circular demonstration is denied on the ground that it would make the same things at once prior and posterior to the same things.</w:t>
      </w:r>
      <w:r>
        <w:rPr>
          <w:rStyle w:val="FootnoteReference"/>
        </w:rPr>
        <w:footnoteReference w:id="87"/>
      </w:r>
      <w:r>
        <w:t xml:space="preserve"> </w:t>
      </w:r>
      <w:r>
        <w:t xml:space="preserve">The three positions so arrayed, regress, circle, and a halt at what is not demonstrated, are the horns of the trilemma Albert deduces against every claim to sufficient grounding, and the descent is not a construction of this chapter. Apel, reconstructing Albert’s argument in 1975, holds that the trilemma</w:t>
      </w:r>
      <w:r>
        <w:t xml:space="preserve"> </w:t>
      </w:r>
      <w:r>
        <w:t xml:space="preserve">‘can itself be understood as a complete explication of the problematic of axioms that Aristotle had pointed out and that, from the beginning, has posed the problem of fundamental-grounding’</w:t>
      </w:r>
      <w:r>
        <w:t xml:space="preserve">, the problem having turned since Aristotle on the circumstance</w:t>
      </w:r>
      <w:r>
        <w:t xml:space="preserve"> </w:t>
      </w:r>
      <w:r>
        <w:t xml:space="preserve">‘that logico-mathematical arguments can ground neither the truth of their premises nor the validity of the rules of proof’</w:t>
      </w:r>
      <w:r>
        <w:t xml:space="preserve">.</w:t>
      </w:r>
      <w:r>
        <w:rPr>
          <w:rStyle w:val="FootnoteReference"/>
        </w:rPr>
        <w:footnoteReference w:id="88"/>
      </w:r>
      <w:r>
        <w:t xml:space="preserve"> </w:t>
      </w:r>
      <w:r>
        <w:t xml:space="preserve">The modern form differs from the ancient in one respect: where Aristotle arrests the regress at principles known by a faculty other than demonstration, the critical rationalist counts every such arrest as an arbitrary suspension of the demand for grounds.</w:t>
      </w:r>
      <w:r>
        <w:rPr>
          <w:rStyle w:val="FootnoteReference"/>
        </w:rPr>
        <w:footnoteReference w:id="89"/>
      </w:r>
      <w:r>
        <w:t xml:space="preserve"> </w:t>
      </w:r>
      <w:r>
        <w:t xml:space="preserve">The refusal of that count does not require the faculty Aristotle invoked, since the halt it exhibits is a performance and not a piece of intuited knowledge.</w:t>
      </w:r>
    </w:p>
    <w:p>
      <w:pPr>
        <w:pStyle w:val="BodyText"/>
      </w:pPr>
      <w:r>
        <w:t xml:space="preserve">Aristotle’s assignment of the first principles to a procedure other than demonstration is his own statement and not an inference from his practice. Dialectic is useful, beyond training and beyond the encounters of ordinary discussion, in relation to the first principles of the sciences: since it is impossible to say anything about them from the principles proper to the science in question, the principles being first of all, it is by way of what is acceptable that one must treat of them, a task Aristotle calls most appropriate to dialectic and grounds in its capacity to examine.</w:t>
      </w:r>
      <w:r>
        <w:rPr>
          <w:rStyle w:val="FootnoteReference"/>
        </w:rPr>
        <w:footnoteReference w:id="90"/>
      </w:r>
      <w:r>
        <w:t xml:space="preserve"> </w:t>
      </w:r>
      <w:r>
        <w:t xml:space="preserve">The office is examinative and not probative: what dialectic does with a principle is to test it, not to establish it. Γ.4 stands in that office and comes by its material otherwise than the</w:t>
      </w:r>
      <w:r>
        <w:t xml:space="preserve"> </w:t>
      </w:r>
      <w:r>
        <w:rPr>
          <w:i/>
          <w:iCs/>
        </w:rPr>
        <w:t xml:space="preserve">Topics</w:t>
      </w:r>
      <w:r>
        <w:t xml:space="preserve"> </w:t>
      </w:r>
      <w:r>
        <w:t xml:space="preserve">contemplates, not as an opinion the respondent concedes when asked but as an act he performs in speaking at all, and it is that difference in the eliciting which carries the escape from the trilemma. That the office survives the difference is not assumed:</w:t>
      </w:r>
      <w:r>
        <w:t xml:space="preserve"> </w:t>
      </w:r>
      <w:r>
        <w:rPr>
          <w:i/>
          <w:iCs/>
        </w:rPr>
        <w:t xml:space="preserve">On Sophistical Refutations</w:t>
      </w:r>
      <w:r>
        <w:t xml:space="preserve"> </w:t>
      </w:r>
      <w:r>
        <w:t xml:space="preserve">makes the art of examination a department of dialectic and takes its material from what an answerer supplies rather than from what a questioner has selected, so that a procedure drawing on the respondent alone remains within the office the</w:t>
      </w:r>
      <w:r>
        <w:t xml:space="preserve"> </w:t>
      </w:r>
      <w:r>
        <w:rPr>
          <w:i/>
          <w:iCs/>
        </w:rPr>
        <w:t xml:space="preserve">Topics</w:t>
      </w:r>
      <w:r>
        <w:t xml:space="preserve"> </w:t>
      </w:r>
      <w:r>
        <w:t xml:space="preserve">assigns.</w:t>
      </w:r>
      <w:r>
        <w:rPr>
          <w:rStyle w:val="FootnoteReference"/>
        </w:rPr>
        <w:footnoteReference w:id="91"/>
      </w:r>
    </w:p>
    <w:p>
      <w:pPr>
        <w:pStyle w:val="BodyText"/>
      </w:pPr>
      <w:r>
        <w:t xml:space="preserve">Three ancestries present themselves for the procedure, and only one discharges the office required. The Socratic</w:t>
      </w:r>
      <w:r>
        <w:t xml:space="preserve"> </w:t>
      </w:r>
      <w:r>
        <w:rPr>
          <w:i/>
          <w:iCs/>
        </w:rPr>
        <w:t xml:space="preserve">elenchos</w:t>
      </w:r>
      <w:r>
        <w:t xml:space="preserve"> </w:t>
      </w:r>
      <w:r>
        <w:t xml:space="preserve">of the early dialogues is an aporetic examination of an interlocutor which yields aporia and no principle, so that an enquiry which took it for its model would have to represent as an achievement what its source presents as an impasse.</w:t>
      </w:r>
      <w:r>
        <w:rPr>
          <w:rStyle w:val="FootnoteReference"/>
        </w:rPr>
        <w:footnoteReference w:id="92"/>
      </w:r>
      <w:r>
        <w:t xml:space="preserve"> </w:t>
      </w:r>
      <w:r>
        <w:t xml:space="preserve">The dialectic of the</w:t>
      </w:r>
      <w:r>
        <w:t xml:space="preserve"> </w:t>
      </w:r>
      <w:r>
        <w:rPr>
          <w:i/>
          <w:iCs/>
        </w:rPr>
        <w:t xml:space="preserve">Topics</w:t>
      </w:r>
      <w:r>
        <w:t xml:space="preserve"> </w:t>
      </w:r>
      <w:r>
        <w:t xml:space="preserve">proceeds from ἔνδοξα, which are premises, and a procedure operating on premises the questioner has advanced is exposed to the trilemma the restoration was to escape. The Aristotelian defence of the principle of non-contradiction in</w:t>
      </w:r>
      <w:r>
        <w:t xml:space="preserve"> </w:t>
      </w:r>
      <w:r>
        <w:rPr>
          <w:i/>
          <w:iCs/>
        </w:rPr>
        <w:t xml:space="preserve">Metaphysics</w:t>
      </w:r>
      <w:r>
        <w:t xml:space="preserve"> </w:t>
      </w:r>
      <w:r>
        <w:t xml:space="preserve">Γ.4 is the third procedure and the one the pre-moral question requires. It begins, as the Socratic does, from an interlocutor rather than from axioms; what it takes from him is an act and not a thesis; and what it exhibits is not the incoherence of his particular beliefs but what any determinate claim whatever must already enact, such that the denial withdraws the conditions of its own intelligibility.</w:t>
      </w:r>
    </w:p>
    <w:p>
      <w:pPr>
        <w:pStyle w:val="BodyText"/>
      </w:pPr>
      <w:r>
        <w:t xml:space="preserve">Γ does not state one principle but three, and the modern discussion has turned on which of them the</w:t>
      </w:r>
      <w:r>
        <w:t xml:space="preserve"> </w:t>
      </w:r>
      <w:r>
        <w:rPr>
          <w:i/>
          <w:iCs/>
        </w:rPr>
        <w:t xml:space="preserve">elenchos</w:t>
      </w:r>
      <w:r>
        <w:t xml:space="preserve"> </w:t>
      </w:r>
      <w:r>
        <w:t xml:space="preserve">defends. Łukasiewicz’s tripartition remains the point of departure: an ontological formulation, that</w:t>
      </w:r>
      <w:r>
        <w:t xml:space="preserve"> </w:t>
      </w:r>
      <w:r>
        <w:t xml:space="preserve">‘the same attribute cannot at the same time belong and not belong to the same subject in the same respect’</w:t>
      </w:r>
      <w:r>
        <w:t xml:space="preserve"> </w:t>
      </w:r>
      <w:r>
        <w:t xml:space="preserve">(Γ.3, 1005b19–20); a psychological formulation, that it is impossible for anyone to believe the same thing to be and not to be (Γ.3, 1005b23–24); and a logical formulation, that</w:t>
      </w:r>
      <w:r>
        <w:t xml:space="preserve"> </w:t>
      </w:r>
      <w:r>
        <w:t xml:space="preserve">‘contradictory statements are not at the same time true’</w:t>
      </w:r>
      <w:r>
        <w:t xml:space="preserve"> </w:t>
      </w:r>
      <w:r>
        <w:t xml:space="preserve">(Γ.6, 1011b13–14).</w:t>
      </w:r>
      <w:r>
        <w:rPr>
          <w:rStyle w:val="FootnoteReference"/>
        </w:rPr>
        <w:footnoteReference w:id="93"/>
      </w:r>
      <w:r>
        <w:t xml:space="preserve"> </w:t>
      </w:r>
      <w:r>
        <w:t xml:space="preserve">It is often supposed that the tripartition licenses a deflationary reading on which the</w:t>
      </w:r>
      <w:r>
        <w:t xml:space="preserve"> </w:t>
      </w:r>
      <w:r>
        <w:rPr>
          <w:i/>
          <w:iCs/>
        </w:rPr>
        <w:t xml:space="preserve">elenchos</w:t>
      </w:r>
      <w:r>
        <w:t xml:space="preserve"> </w:t>
      </w:r>
      <w:r>
        <w:t xml:space="preserve">defends the psychological principle, so that it establishes only how minds constituted as ours are constrained. That is not Łukasiewicz’s own ranking, and the reading advanced here takes over his ordering and no more. What Γ.4 exhibits is neither a law of belief nor a law of inference but a condition of signification, and the ontological formulation is reached through it rather than beside it. The claim, entered as the chapter’s own, is that the exclusion which makes a term determinate is the exclusion the ontological principle states of things, so that the register in which the argument is conducted is semantic-pragmatic and its object is ontological. The identity is argued at §3.3.2, from what an assessor must be able to take a term to have set aside, and is not read off the text.</w:t>
      </w:r>
    </w:p>
    <w:p>
      <w:pPr>
        <w:pStyle w:val="BodyText"/>
      </w:pPr>
      <w:r>
        <w:t xml:space="preserve">Within that register Aristotle is explicit that the principle admits of no demonstration in the ordinary sense. The demand for a demonstration of everything is made through want of education (ἀπαιδευσία),</w:t>
      </w:r>
      <w:r>
        <w:t xml:space="preserve"> </w:t>
      </w:r>
      <w:r>
        <w:t xml:space="preserve">‘for not to know of what things one may demand demonstration, and of what one may not, argues simply want of education’</w:t>
      </w:r>
      <w:r>
        <w:t xml:space="preserve">; and demonstration of everything is in any case impossible, since the regress would leave no demonstration at all. What is available in its place is refutative demonstration, ἀποδεῖξαι ἐλεγκτικῶς, possible provided only that the disputant says something; and Aristotle gives the ground of the difference himself: one who demonstrates would seem to be begging the point at issue, whereas where another is responsible for the assumption there is refutation and not demonstration.</w:t>
      </w:r>
      <w:r>
        <w:rPr>
          <w:rStyle w:val="FootnoteReference"/>
        </w:rPr>
        <w:footnoteReference w:id="94"/>
      </w:r>
      <w:r>
        <w:t xml:space="preserve"> </w:t>
      </w:r>
      <w:r>
        <w:t xml:space="preserve">The whole defensibility of the procedure rests on that distinction. A demonstration of a principle would have to take the principle among its premises; a refutation takes its premises from the respondent, so that the cause of the result lies with him and not with the one conducting it. The distinction is therefore not between an argument with premises and an argument without, but between an assumption the questioner advances and an act the respondent performs in speaking; and it is the second which escapes the trilemma, since the trilemma is a demand on what an arguer asserts, and what is worked on here is not asserted but done. What is claimed is accordingly narrower than the absence of premises. Aristotle does put forward propositions in his own voice in the course of Γ.4, that</w:t>
      </w:r>
      <w:r>
        <w:t xml:space="preserve"> </w:t>
      </w:r>
      <w:r>
        <w:t xml:space="preserve">‘to be’</w:t>
      </w:r>
      <w:r>
        <w:t xml:space="preserve"> </w:t>
      </w:r>
      <w:r>
        <w:t xml:space="preserve">has a definite meaning, that</w:t>
      </w:r>
      <w:r>
        <w:t xml:space="preserve"> </w:t>
      </w:r>
      <w:r>
        <w:t xml:space="preserve">‘man’</w:t>
      </w:r>
      <w:r>
        <w:t xml:space="preserve"> </w:t>
      </w:r>
      <w:r>
        <w:t xml:space="preserve">shall be taken to mean</w:t>
      </w:r>
      <w:r>
        <w:t xml:space="preserve"> </w:t>
      </w:r>
      <w:r>
        <w:t xml:space="preserve">‘two-footed animal’</w:t>
      </w:r>
      <w:r>
        <w:t xml:space="preserve">, and draws consequences from them; what he does not do, and says he does not do, is take as a premise the principle at issue. The stipulations he does advance are dischargeable, since the significations of a term can be severally named and the argument re-run on each; and the material the refutation works on is what the denier has already done in signifying, the elucidations being explications of that material and not premises substituted for it.</w:t>
      </w:r>
    </w:p>
    <w:p>
      <w:pPr>
        <w:pStyle w:val="BodyText"/>
      </w:pPr>
      <w:r>
        <w:t xml:space="preserve">What is asked of the respondent is correspondingly small. The starting-point is not to require him to say that something is or is not, but that he should signify something (σημαίνειν γέ τι) both to himself and to another, for this is necessary if he is to say anything at all; one who refuses to signify anything whatever has removed himself from discourse, being in this respect like a plant (φυτόν).</w:t>
      </w:r>
      <w:r>
        <w:rPr>
          <w:rStyle w:val="FootnoteReference"/>
        </w:rPr>
        <w:footnoteReference w:id="95"/>
      </w:r>
      <w:r>
        <w:t xml:space="preserve"> </w:t>
      </w:r>
      <w:r>
        <w:t xml:space="preserve">The step from that minimal demand to the exclusion of contradiction is the contested joint of the argument in the modern literature. What Aristotle requires is not merely that the disputant signify something (σημαίνειν τι) but that he signify one thing (σημαίνειν ἕν), and the force is carried by the second: τὸ γὰρ μὴ ἓν σημαίνειν οὐθὲν σημαίνειν ἐστίν, not to signify one thing is to signify nothing.</w:t>
      </w:r>
      <w:r>
        <w:rPr>
          <w:rStyle w:val="FootnoteReference"/>
        </w:rPr>
        <w:footnoteReference w:id="96"/>
      </w:r>
      <w:r>
        <w:t xml:space="preserve"> </w:t>
      </w:r>
      <w:r>
        <w:t xml:space="preserve">The apparatus by which Aristotle secures the stronger demand is more determinate than the summary formula suggests. Signifying one thing is glossed by an essence-formula, and the gloss blocks the obvious evasion: an opponent may propose that his term carries several significations, and Aristotle answers that this is admissible only if they are finite in number and severally determinate, for a term may be given a distinct name for each signification and the argument re-run on each; if the significations are not finite, discourse is destroyed, since where a name does not signify one thing it signifies nothing, and where names signify nothing, reasoning with one another is done away with (ἀνῄρηται τὸ διαλέγεσθαι πρὸς ἀλλήλους), and in truth with oneself as well.</w:t>
      </w:r>
      <w:r>
        <w:rPr>
          <w:rStyle w:val="FootnoteReference"/>
        </w:rPr>
        <w:footnoteReference w:id="97"/>
      </w:r>
      <w:r>
        <w:t xml:space="preserve"> </w:t>
      </w:r>
      <w:r>
        <w:t xml:space="preserve">The unity-condition is thus not left as the stipulation it is first entered as, but reached by exhausting the alternatives to it, and what it protects is the possibility of two parties addressing one another at all.</w:t>
      </w:r>
    </w:p>
    <w:p>
      <w:pPr>
        <w:pStyle w:val="BodyText"/>
      </w:pPr>
      <w:r>
        <w:t xml:space="preserve">That the condition is stated for address as well as for thought matters to the retrieval, and its weight must be fixed exactly. Nothing in the sentence orders the two; the ground given for both losses is the impossibility of thinking without thinking one thing. What the retrieval takes from Γ.4 is therefore not a priority of address over thought but the form of the procedure: a refutation requires a respondent who supplies its material, and what he supplies is an act of signifying to another. The condition is dialogical in its eliciting before it is dialogical in Apel, and what the passage removes is the assumption on which the objection to the second transit is usually built, that Apel begins from a monological condition and adds interlocutors to it. What Apel adds, and what remains contestable, is the passage from address to the norms governing it. Reciprocity of address is not yet symmetry, equal entitlement or freedom from coercion, and nothing in Γ.4 supplies those.</w:t>
      </w:r>
    </w:p>
    <w:p>
      <w:pPr>
        <w:pStyle w:val="BodyText"/>
      </w:pPr>
      <w:r>
        <w:t xml:space="preserve">Between the two demands falls the step at which the argument has been challenged from Łukasiewicz onward: an opponent may concede that his utterance signifies without conceding that it signifies unitarily, so that what presented itself as a refutation proves to be a demand for a concession the opponent is entitled to withhold. The defence of the step turns on what a name is for. A term whose signification were not unitary would fix no exclusion; a term fixing no exclusion supplies a hearer with nothing he can have taken correctly or incorrectly; and what admits of no correct or incorrect uptake is not a name but a noise which two parties happen to produce in each other’s presence. The criterion is one of uptake and not of truth: a λόγος which is not truth-apt is one an interlocutor may still take rightly or wrongly. Unity of signification is therefore not a further condition laid on signifying but what signifying is, and the opponent who grants that he means something has granted it, since what he granted was that his utterance is available to an assessor as this rather than that. That construal has an ancient provenance which bears on the</w:t>
      </w:r>
      <w:r>
        <w:t xml:space="preserve"> </w:t>
      </w:r>
      <w:r>
        <w:rPr>
          <w:i/>
          <w:iCs/>
        </w:rPr>
        <w:t xml:space="preserve">petitio</w:t>
      </w:r>
      <w:r>
        <w:t xml:space="preserve"> </w:t>
      </w:r>
      <w:r>
        <w:t xml:space="preserve">worry. The compressed passage at 1006a28–31 admits two readings. On the first, a name must signify either to be X or not to be X and not both, which presupposes the exclusion it is meant to establish; on the second, originating with Alexander of Aphrodisias, the weight falls not on the object signified but on the pragmatic act of signifying, a word, to be meaningful at all, having to signify something determinate and being unable to signify its own negation without annihilating its semantic function.</w:t>
      </w:r>
      <w:r>
        <w:rPr>
          <w:rStyle w:val="FootnoteReference"/>
        </w:rPr>
        <w:footnoteReference w:id="98"/>
      </w:r>
      <w:r>
        <w:t xml:space="preserve"> </w:t>
      </w:r>
      <w:r>
        <w:t xml:space="preserve">It is the second reading this chapter takes over, and taking it over is what allows the exhibition to advance no premise of the questioner’s own. The defence is conditional on that construal of naming; the construal is contested; and it is entered as argued and not as secured.</w:t>
      </w:r>
    </w:p>
    <w:p>
      <w:pPr>
        <w:pStyle w:val="BodyText"/>
      </w:pPr>
      <w:r>
        <w:t xml:space="preserve">One further boundary is drawn by Aristotle before it is drawn in these chapters, and the categorial premise of §3.2.1 draws on it.</w:t>
      </w:r>
      <w:r>
        <w:t xml:space="preserve"> </w:t>
      </w:r>
      <w:r>
        <w:rPr>
          <w:i/>
          <w:iCs/>
        </w:rPr>
        <w:t xml:space="preserve">De Interpretatione</w:t>
      </w:r>
      <w:r>
        <w:t xml:space="preserve"> </w:t>
      </w:r>
      <w:r>
        <w:t xml:space="preserve">4 predicates significance of every λόγος and restricts truth and falsity to the assertoric sub-class, a prayer being a λόγος which is neither true nor false; determinacy of meaning and truth-aptness are not coextensive, and significance is the wider property.</w:t>
      </w:r>
      <w:r>
        <w:rPr>
          <w:rStyle w:val="FootnoteReference"/>
        </w:rPr>
        <w:footnoteReference w:id="99"/>
      </w:r>
      <w:r>
        <w:t xml:space="preserve"> </w:t>
      </w:r>
      <w:r>
        <w:t xml:space="preserve">Nothing follows, from an item’s being determinate, about whether it is truth-apt, so that the mode of individuation proper to it must be settled independently of its determinacy. For the enactment it is settled by the act-typology of the</w:t>
      </w:r>
      <w:r>
        <w:t xml:space="preserve"> </w:t>
      </w:r>
      <w:r>
        <w:rPr>
          <w:i/>
          <w:iCs/>
        </w:rPr>
        <w:t xml:space="preserve">Prior Analytics</w:t>
      </w:r>
      <w:r>
        <w:t xml:space="preserve">, and settled narrowly: the premise secured by asking a question, which Aristotle calls dialectical, is distinguished from the premise secured by taking it as given, which he calls demonstrative, and the distinction shows that asking and taking are two acts, not that one item’s truth-aptness alters with how it is entered, which would make force a constituent of content.</w:t>
      </w:r>
      <w:r>
        <w:rPr>
          <w:rStyle w:val="FootnoteReference"/>
        </w:rPr>
        <w:footnoteReference w:id="100"/>
      </w:r>
      <w:r>
        <w:t xml:space="preserve"> </w:t>
      </w:r>
      <w:r>
        <w:t xml:space="preserve">The enactment is accordingly individuated by the undoing a performed denial would effect, not by the truth-conditions of any proposition about it. The amendment made under Derrida’s pressure at Chapter Two §2.3.2 is received in the form §3.2.2 grounds it: the enactment is individuated by a recognisability sufficient for incoherence to be exhibited, relative to the exchange in which it is exhibited. The passage from an irrefutability so bounded to one no exchange bounds is made at §3.3.2 by the retorsion alone.</w:t>
      </w:r>
    </w:p>
    <w:p>
      <w:pPr>
        <w:pStyle w:val="BodyText"/>
      </w:pPr>
      <w:r>
        <w:t xml:space="preserve">Three features of the procedure answer three objections. First, the refutation is not a demonstration of the principle’s truth: it derives the principle from no premise the questioner has assumed, and what it clarifies is that the denier, in denying, presupposes what he denies. What is claimed is not that the charge of</w:t>
      </w:r>
      <w:r>
        <w:t xml:space="preserve"> </w:t>
      </w:r>
      <w:r>
        <w:rPr>
          <w:i/>
          <w:iCs/>
        </w:rPr>
        <w:t xml:space="preserve">petitio principii</w:t>
      </w:r>
      <w:r>
        <w:t xml:space="preserve"> </w:t>
      </w:r>
      <w:r>
        <w:t xml:space="preserve">is answered but that it does not arise, since a</w:t>
      </w:r>
      <w:r>
        <w:t xml:space="preserve"> </w:t>
      </w:r>
      <w:r>
        <w:rPr>
          <w:i/>
          <w:iCs/>
        </w:rPr>
        <w:t xml:space="preserve">petitio</w:t>
      </w:r>
      <w:r>
        <w:t xml:space="preserve"> </w:t>
      </w:r>
      <w:r>
        <w:t xml:space="preserve">is a fault in an inference and the exhibition advances none. Secondly, the refutation is</w:t>
      </w:r>
      <w:r>
        <w:t xml:space="preserve"> </w:t>
      </w:r>
      <w:r>
        <w:rPr>
          <w:i/>
          <w:iCs/>
        </w:rPr>
        <w:t xml:space="preserve">ad hominem</w:t>
      </w:r>
      <w:r>
        <w:t xml:space="preserve"> </w:t>
      </w:r>
      <w:r>
        <w:t xml:space="preserve">in the classical, non-pejorative sense: an argument drawn from the interlocutor’s own discursive commitments rather than from external axioms, requiring only that the disputant speak. This is the form of argument the pre-moral question demands, since any premise the analysis might lay down would itself stand in need of the constitution it is trying to exhibit. Thirdly, the</w:t>
      </w:r>
      <w:r>
        <w:t xml:space="preserve"> </w:t>
      </w:r>
      <w:r>
        <w:rPr>
          <w:i/>
          <w:iCs/>
        </w:rPr>
        <w:t xml:space="preserve">elenchos</w:t>
      </w:r>
      <w:r>
        <w:t xml:space="preserve"> </w:t>
      </w:r>
      <w:r>
        <w:t xml:space="preserve">here does not accompany ontological inquiry from without but co-produces it, in the sense Β.1 fixes: the conditions are not laid down and then defended; they are drawn out of the act of signifying by exhibiting the incoherence of their denial. A procedure whose yield is negative may nonetheless be productive, and the doctrine is Aristotle’s own: for those who wish to get clear of difficulties</w:t>
      </w:r>
      <w:r>
        <w:t xml:space="preserve"> </w:t>
      </w:r>
      <w:r>
        <w:t xml:space="preserve">‘it is advantageous to state the difficulties well’</w:t>
      </w:r>
      <w:r>
        <w:t xml:space="preserve">, since</w:t>
      </w:r>
      <w:r>
        <w:t xml:space="preserve"> </w:t>
      </w:r>
      <w:r>
        <w:t xml:space="preserve">‘it is not possible to untie a knot which one does not know’</w:t>
      </w:r>
      <w:r>
        <w:t xml:space="preserve">.</w:t>
      </w:r>
      <w:r>
        <w:rPr>
          <w:rStyle w:val="FootnoteReference"/>
        </w:rPr>
        <w:footnoteReference w:id="101"/>
      </w:r>
      <w:r>
        <w:t xml:space="preserve"> </w:t>
      </w:r>
      <w:r>
        <w:t xml:space="preserve">The negative moment fixes determinate conditions on any successor account, since the conditions under which the refuted position failed bind whatever is to stand in its place; that is the sense in which the retrieval is a method-ontology, and not a technique of refutation alone.</w:t>
      </w:r>
    </w:p>
    <w:p>
      <w:pPr>
        <w:pStyle w:val="BodyText"/>
      </w:pPr>
      <w:r>
        <w:t xml:space="preserve">The retrieval is Apel’s, and he states it in his own texts, with a distinction that must be carried. In the Mercier Lectures he presents transcendental reflection on the non-circumventible presuppositions of thought as</w:t>
      </w:r>
      <w:r>
        <w:t xml:space="preserve"> </w:t>
      </w:r>
      <w:r>
        <w:t xml:space="preserve">‘the only alternative to grounding by deduction’</w:t>
      </w:r>
      <w:r>
        <w:t xml:space="preserve">, and distinguishes the dialogue-related</w:t>
      </w:r>
      <w:r>
        <w:t xml:space="preserve"> </w:t>
      </w:r>
      <w:r>
        <w:rPr>
          <w:i/>
          <w:iCs/>
        </w:rPr>
        <w:t xml:space="preserve">elenchos</w:t>
      </w:r>
      <w:r>
        <w:t xml:space="preserve"> </w:t>
      </w:r>
      <w:r>
        <w:t xml:space="preserve">from the merely incidental</w:t>
      </w:r>
      <w:r>
        <w:t xml:space="preserve"> </w:t>
      </w:r>
      <w:r>
        <w:rPr>
          <w:i/>
          <w:iCs/>
        </w:rPr>
        <w:t xml:space="preserve">tu quoque</w:t>
      </w:r>
      <w:r>
        <w:t xml:space="preserve">: the latter holds</w:t>
      </w:r>
      <w:r>
        <w:t xml:space="preserve"> </w:t>
      </w:r>
      <w:r>
        <w:t xml:space="preserve">‘only incidentally, i.e. at the occasion of its use’</w:t>
      </w:r>
      <w:r>
        <w:t xml:space="preserve">, convicting this opponent of this inconsistency, whereas the former compels the opponent to the insight that what he would deny belongs to the presuppositions of his own arguing, so that a practised denial would oblige him to break off the argument altogether.</w:t>
      </w:r>
      <w:r>
        <w:rPr>
          <w:rStyle w:val="FootnoteReference"/>
        </w:rPr>
        <w:footnoteReference w:id="102"/>
      </w:r>
      <w:r>
        <w:t xml:space="preserve"> </w:t>
      </w:r>
      <w:r>
        <w:t xml:space="preserve">A</w:t>
      </w:r>
      <w:r>
        <w:t xml:space="preserve"> </w:t>
      </w:r>
      <w:r>
        <w:rPr>
          <w:i/>
          <w:iCs/>
        </w:rPr>
        <w:t xml:space="preserve">tu quoque</w:t>
      </w:r>
      <w:r>
        <w:t xml:space="preserve"> </w:t>
      </w:r>
      <w:r>
        <w:t xml:space="preserve">is a debating manoeuvre and yields nothing about the structure of argument as such, and a reception which reads transcendental-pragmatic argument as an elaborate</w:t>
      </w:r>
      <w:r>
        <w:t xml:space="preserve"> </w:t>
      </w:r>
      <w:r>
        <w:rPr>
          <w:i/>
          <w:iCs/>
        </w:rPr>
        <w:t xml:space="preserve">tu quoque</w:t>
      </w:r>
      <w:r>
        <w:t xml:space="preserve"> </w:t>
      </w:r>
      <w:r>
        <w:t xml:space="preserve">has mistaken the weaker instrument for the stronger. Two cautions in Apel’s own hand govern the use made of him here. In the same lecture he sets his procedure apart from Aristotle’s</w:t>
      </w:r>
      <w:r>
        <w:t xml:space="preserve"> </w:t>
      </w:r>
      <w:r>
        <w:t xml:space="preserve">‘indirect proof’</w:t>
      </w:r>
      <w:r>
        <w:t xml:space="preserve">, which he takes to presuppose definitions and so to remain exposed to a</w:t>
      </w:r>
      <w:r>
        <w:t xml:space="preserve"> </w:t>
      </w:r>
      <w:r>
        <w:rPr>
          <w:i/>
          <w:iCs/>
        </w:rPr>
        <w:t xml:space="preserve">petitio</w:t>
      </w:r>
      <w:r>
        <w:t xml:space="preserve">, and suspects that Aristotle</w:t>
      </w:r>
      <w:r>
        <w:t xml:space="preserve"> </w:t>
      </w:r>
      <w:r>
        <w:t xml:space="preserve">‘did not clearly see the difference between the propositional contradiction and the performative contradiction’</w:t>
      </w:r>
      <w:r>
        <w:t xml:space="preserve">; elsewhere he roots his method in</w:t>
      </w:r>
      <w:r>
        <w:t xml:space="preserve"> </w:t>
      </w:r>
      <w:r>
        <w:t xml:space="preserve">‘the so-called</w:t>
      </w:r>
      <w:r>
        <w:t xml:space="preserve"> </w:t>
      </w:r>
      <w:r>
        <w:t xml:space="preserve">“indirect proof”</w:t>
      </w:r>
      <w:r>
        <w:t xml:space="preserve"> </w:t>
      </w:r>
      <w:r>
        <w:t xml:space="preserve">(elenchos) found in Plato and Aristotle’</w:t>
      </w:r>
      <w:r>
        <w:t xml:space="preserve">, and the two statements are not reconciled in his texts.</w:t>
      </w:r>
      <w:r>
        <w:rPr>
          <w:rStyle w:val="FootnoteReference"/>
        </w:rPr>
        <w:footnoteReference w:id="103"/>
      </w:r>
      <w:r>
        <w:t xml:space="preserve"> </w:t>
      </w:r>
      <w:r>
        <w:t xml:space="preserve">What the chapter claims is accordingly that the form of argument Aristotle practises in Γ.4, on the pragmatic-act reading, is the form the pre-moral question requires; it does not claim that Aristotle possessed the transcendental-pragmatic concept of it, and it takes the object of the exhibition to be, as Apel says, a doing and not a proposition, which is why the exhibition incurs no</w:t>
      </w:r>
      <w:r>
        <w:t xml:space="preserve"> </w:t>
      </w:r>
      <w:r>
        <w:rPr>
          <w:i/>
          <w:iCs/>
        </w:rPr>
        <w:t xml:space="preserve">petitio</w:t>
      </w:r>
      <w:r>
        <w:t xml:space="preserve">.</w:t>
      </w:r>
    </w:p>
    <w:bookmarkEnd w:id="104"/>
    <w:bookmarkStart w:id="111" w:name="X7328758025351c270a6b4c9ceb7c01136a2dbca"/>
    <w:p>
      <w:pPr>
        <w:pStyle w:val="Heading3"/>
      </w:pPr>
      <w:r>
        <w:t xml:space="preserve">§3.3.2 · The principle of non-contradiction as a condition of signification, and the answer to Stroud</w:t>
      </w:r>
    </w:p>
    <w:p>
      <w:pPr>
        <w:pStyle w:val="FirstParagraph"/>
      </w:pPr>
      <w:r>
        <w:t xml:space="preserve">At its first and most general level the</w:t>
      </w:r>
      <w:r>
        <w:t xml:space="preserve"> </w:t>
      </w:r>
      <w:r>
        <w:rPr>
          <w:i/>
          <w:iCs/>
        </w:rPr>
        <w:t xml:space="preserve">elenchos</w:t>
      </w:r>
      <w:r>
        <w:t xml:space="preserve"> </w:t>
      </w:r>
      <w:r>
        <w:t xml:space="preserve">discloses not a moral norm but a condition of determinacy of meaning, and here the pre-moral thesis acquires its ground. The clause displayed above withholds signification from a term which does not signify one thing, and the argument built on it holds that a name meaning F and not-F indifferently would fix no determinate content, so that determinate signification is possible only where contradiction is excluded. Signifying is accordingly more than vocalisation and more than the attachment of a predicate to a subject. It is an act of setting-apart: what a thing is comes into view only through the setting aside of what it is not, and the dyadic structure of affirmation and negation on which that setting-aside rests belongs to λόγος and to what is together rather than being laid on discourse from outside. In this register the principle functions as something discourse operates under rather than arrives at. No discursive act establishes it, since an act taking it as a premise would assume at the outset what was to be established, and every discursive act has already exercised it. It is therefore the condition of there being determinate content to affirm or deny, and so the condition of there being anything for the moral question ever to be about.</w:t>
      </w:r>
    </w:p>
    <w:p>
      <w:pPr>
        <w:pStyle w:val="BodyText"/>
      </w:pPr>
      <w:r>
        <w:t xml:space="preserve">The order of grounding distinguishes the retrieval from a logical reading of Γ. On the logical reading the principle is the first law of inference, and its defence is a defence of the possibility of reasoning; on the semantic-pragmatic reading it is the first condition of signifying, and the possibility of reasoning is a consequence rather than the object of the defence. The difference decides what the</w:t>
      </w:r>
      <w:r>
        <w:t xml:space="preserve"> </w:t>
      </w:r>
      <w:r>
        <w:rPr>
          <w:i/>
          <w:iCs/>
        </w:rPr>
        <w:t xml:space="preserve">elenchos</w:t>
      </w:r>
      <w:r>
        <w:t xml:space="preserve"> </w:t>
      </w:r>
      <w:r>
        <w:t xml:space="preserve">can reach. A defence of inference reaches only those who infer; a defence of signification reaches anyone who means anything at all. It is the second reach the pre-moral question requires, since the question is what conditions govern the constitution of a validity claim and not what conditions govern the passage from one claim to another.</w:t>
      </w:r>
    </w:p>
    <w:p>
      <w:pPr>
        <w:pStyle w:val="BodyText"/>
      </w:pPr>
      <w:r>
        <w:t xml:space="preserve">The transition from this to the reciprocity of meaning is the contestable step, and the point at which Apel and Habermas divide. A determinate validity claim is a claim raised as assessable by a competent interlocutor. Assessability of this kind requires the correlative position of one entitled to affirm or deny on the basis of reasons. The elenctic claim is that this correlativity is not a normative requirement laid on signification but a condition of it: just as signifying one thing is the condition of a term’s having sense, so the reciprocal positions of speaker and hearer are the condition of an utterance’s having the sense of a claim at all, as distinct from an emission of force. The order of Apel’s four presuppositions (§3.1.4) is taken as corroboration, against his own gloss: the claim to sharing an intersubjectively valid meaning stands first, and the reciprocal address is built into that meaning-constitutive presupposition and not added at the fourth.</w:t>
      </w:r>
    </w:p>
    <w:p>
      <w:pPr>
        <w:pStyle w:val="BodyText"/>
      </w:pPr>
      <w:r>
        <w:t xml:space="preserve">This is the second of two transits, the first having been entered at §3.3.1 at the level of the term. The</w:t>
      </w:r>
      <w:r>
        <w:t xml:space="preserve"> </w:t>
      </w:r>
      <w:r>
        <w:rPr>
          <w:i/>
          <w:iCs/>
        </w:rPr>
        <w:t xml:space="preserve">elenchos</w:t>
      </w:r>
      <w:r>
        <w:t xml:space="preserve"> </w:t>
      </w:r>
      <w:r>
        <w:t xml:space="preserve">of Γ.4 secures determinacy of meaning, the interlocutor must signify one thing, and it is a further and substantive step from conditions of determinate meaning to the reciprocal norms of symmetry, equal entitlement and non-coercion. Aristotle’s condition is minimal: the denier need only mean one thing, not enter a symmetrical practice of reason-giving. The transit to the richer conditions is Apel’s addition, and it is the locus at which Apel and Habermas divide over the claim to intelligibility, Apel construing it strongly and Habermas minimally, as semantic-syntactic intelligibility distinct from the normative presuppositions (Chapter One §1.1).</w:t>
      </w:r>
      <w:r>
        <w:rPr>
          <w:rStyle w:val="FootnoteReference"/>
        </w:rPr>
        <w:footnoteReference w:id="105"/>
      </w:r>
      <w:r>
        <w:t xml:space="preserve"> </w:t>
      </w:r>
      <w:r>
        <w:t xml:space="preserve">The argument for the strong reading is that assessability by a competent other cannot be specified without the reciprocal positions, so that the minimal condition, pressed, already contains the reciprocity in nuce; and the pressing turns on a claim the chapter enters as its own and not as Aristotle’s, that the other to whom one signifies at Γ.4 is one who may take what is signified rightly or wrongly, and so an assessor. Whether the pressing succeeds is the pivot of the dispute, and it is presented as such, the strong reading argued and the minimal reading acknowledged as the live alternative. The two transits have one form: from signifying something to signifying one thing, and from determinate signification to the reciprocal norms, a minimal condition is in each case pressed to yield a richer one, and in each case the pressing is argued and does not compel. Nothing transmits to the second transit the ground granted to the first, and §3.3.6 records the second stage as a thesis of its own under a burden this section does not lift.</w:t>
      </w:r>
    </w:p>
    <w:p>
      <w:pPr>
        <w:pStyle w:val="BodyText"/>
      </w:pPr>
      <w:r>
        <w:t xml:space="preserve">One consequence must be stated now, because the chapter’s result against Habermas depends on it. Habermas does not deny the first stage. That determinate meaning requires the exclusion of contradiction is not what separates him from Apel, and a result confined to the first stage is not a result against him. The modal yield stated below is therefore a result against Habermas only on the strong construal of the intelligibility claim, and the chapter’s negative conclusions at §3.4.1 are conditional on that construal. The condition is avowed rather than concealed, since concealing it would let the chapter claim as established what it has only argued.</w:t>
      </w:r>
    </w:p>
    <w:p>
      <w:pPr>
        <w:pStyle w:val="BodyText"/>
      </w:pPr>
      <w:r>
        <w:t xml:space="preserve">The modal yield may now be stated and defended. The absence of an alternative to the reciprocal conditions of meaning is not the absence of a functional equivalent among the forms of life so far known, which is the bound §3.2.4 finds Habermas’s formulation to fix; it is, on the strong construal, the impossibility of signifying determinately while denying them. This faces the objection Chapter Two §2.1.4 states in Stroud’s name, that a transcendental argument establishes how things must be thought and not how they are, so that its necessity is that of a conceptual scheme and collapses into anthropological unavoidability.</w:t>
      </w:r>
      <w:r>
        <w:rPr>
          <w:rStyle w:val="FootnoteReference"/>
        </w:rPr>
        <w:footnoteReference w:id="106"/>
      </w:r>
      <w:r>
        <w:t xml:space="preserve"> </w:t>
      </w:r>
      <w:r>
        <w:t xml:space="preserve">Unmet, the objection dissolves the distinction on which the chapter depends. The objection has a second and more exacting form, Körner’s, which grants that some conditions are necessary for experience or for meaning and denies that their uniqueness can be established a priori.</w:t>
      </w:r>
      <w:r>
        <w:rPr>
          <w:rStyle w:val="FootnoteReference"/>
        </w:rPr>
        <w:footnoteReference w:id="107"/>
      </w:r>
      <w:r>
        <w:t xml:space="preserve"> </w:t>
      </w:r>
      <w:r>
        <w:t xml:space="preserve">It is not answered by the argument below and is not meant to be. It is met, so far as it is met, by the reformulation at §3.3.6, which displaces the demand for uniqueness rather than discharging it, since what it settles is the scope of the conditions disclosed and not their singularity.</w:t>
      </w:r>
    </w:p>
    <w:p>
      <w:pPr>
        <w:pStyle w:val="BodyText"/>
      </w:pPr>
      <w:r>
        <w:t xml:space="preserve">The reply to Stroud takes the form of a retorsion: the exhibition that a denial presupposes what it denies, so that the denying performance is turned back on its own conditions. The standing objection to retorsive argument in the anglophone literature must be named, since the instrument is the chapter’s own. Stern proposes a dilemma for arguments of this form, with Apel and Kuhlmann among its proponents:</w:t>
      </w:r>
      <w:r>
        <w:t xml:space="preserve"> </w:t>
      </w:r>
      <w:r>
        <w:t xml:space="preserve">‘either arguments of this retorsive form collapse into deductive transcendental arguments, in which case they are no better off’</w:t>
      </w:r>
      <w:r>
        <w:t xml:space="preserve">, or</w:t>
      </w:r>
      <w:r>
        <w:t xml:space="preserve"> </w:t>
      </w:r>
      <w:r>
        <w:t xml:space="preserve">‘they have to abandon their use of a transcendental claim at all, and so cease to be transcendental arguments’</w:t>
      </w:r>
      <w:r>
        <w:t xml:space="preserve">.</w:t>
      </w:r>
      <w:r>
        <w:rPr>
          <w:rStyle w:val="FootnoteReference"/>
        </w:rPr>
        <w:footnoteReference w:id="108"/>
      </w:r>
      <w:r>
        <w:t xml:space="preserve"> </w:t>
      </w:r>
      <w:r>
        <w:t xml:space="preserve">The first horn does not close: the exhibition advances no premise of the form</w:t>
      </w:r>
      <w:r>
        <w:t xml:space="preserve"> </w:t>
      </w:r>
      <w:r>
        <w:t xml:space="preserve">‘X is a necessary condition of Y’</w:t>
      </w:r>
      <w:r>
        <w:t xml:space="preserve"> </w:t>
      </w:r>
      <w:r>
        <w:t xml:space="preserve">from which its result is deduced, so there is no transcendental claim to be weakened, the self-removal showing itself in the performance rather than being inferred. The second horn is conceded, and the concession is the chapter’s position: what remains is an exhibition and not a transcendental argument in Stern’s sense, which is what §3.3.6 calls an</w:t>
      </w:r>
      <w:r>
        <w:t xml:space="preserve"> </w:t>
      </w:r>
      <w:r>
        <w:rPr>
          <w:i/>
          <w:iCs/>
        </w:rPr>
        <w:t xml:space="preserve">Aufweis</w:t>
      </w:r>
      <w:r>
        <w:t xml:space="preserve">. The Stroudian move is that these conditions are merely how a thinker must think and not how things must be. To assert this, however, is to raise a determinate validity claim, one which states how things stand with the conditions of thought and is put forward as assessable, and so to exercise the assessable determinacy the assertion would confine to a scheme. The relativising conclusion cannot be stated without self-refutation. What is thereby secured is stronger than anthropological unavoidability because it is not scheme-relative: not that these are the conditions of one form of life, but that they are the conditions of there being any determinate content to relativise to a form of life in the first place. Whether what is so exercised includes the reciprocal conditions turns on the strong construal and is not settled by the retorsion. The word necessity is withheld on purpose. Having conceded Stern’s second horn, the chapter claims no transcendental necessity of the deductive kind; it claims the standing an exhibition confers, that the relativising claim cannot be executed as a determinate claim, and the difference between that standing and the necessity a transcendental argument would conclude to is the difference §3.3.3 draws between the first level and any proposition about it.</w:t>
      </w:r>
    </w:p>
    <w:p>
      <w:pPr>
        <w:pStyle w:val="BodyText"/>
      </w:pPr>
      <w:r>
        <w:t xml:space="preserve">A Habermasian rejoinder remains: the retorsion secures only that the conditions cannot be coherently denied, which is a fact about discourse and not about the world; what is wrung from the sceptic carries, in Schönrich’s words as Habermas reports them, no more than quasi-empirical validity. The reply is that at this level uniquely the distinction Stroud’s objection exploits has no purchase, the conditions being those of determinacy of meaning. To think determinately about anything, including about</w:t>
      </w:r>
      <w:r>
        <w:t xml:space="preserve"> </w:t>
      </w:r>
      <w:r>
        <w:t xml:space="preserve">‘the world’</w:t>
      </w:r>
      <w:r>
        <w:t xml:space="preserve"> </w:t>
      </w:r>
      <w:r>
        <w:t xml:space="preserve">as what a scheme is alleged not to reach, is already to stand under the conditions of assessable meaning; there is no going behind them to a standpoint from which they might appear a local imposition, any such standpoint being one of determinate thought. This is the content Apel gives</w:t>
      </w:r>
      <w:r>
        <w:t xml:space="preserve"> </w:t>
      </w:r>
      <w:r>
        <w:rPr>
          <w:i/>
          <w:iCs/>
        </w:rPr>
        <w:t xml:space="preserve">Nichthintergehbarkeit</w:t>
      </w:r>
      <w:r>
        <w:t xml:space="preserve">, and the content claimed for the conditions here: not that they are the deepest layer of a scheme but that there is no</w:t>
      </w:r>
      <w:r>
        <w:t xml:space="preserve"> </w:t>
      </w:r>
      <w:r>
        <w:t xml:space="preserve">‘behind’</w:t>
      </w:r>
      <w:r>
        <w:t xml:space="preserve"> </w:t>
      </w:r>
      <w:r>
        <w:t xml:space="preserve">them. Apel reaches the same confinement in his own answer to Stroud: if</w:t>
      </w:r>
      <w:r>
        <w:t xml:space="preserve"> </w:t>
      </w:r>
      <w:r>
        <w:t xml:space="preserve">‘the language does not exist in the sense that all arguing presupposes it’</w:t>
      </w:r>
      <w:r>
        <w:t xml:space="preserve">, then</w:t>
      </w:r>
      <w:r>
        <w:t xml:space="preserve"> </w:t>
      </w:r>
      <w:r>
        <w:t xml:space="preserve">‘no version of the verification principle can be formulated’</w:t>
      </w:r>
      <w:r>
        <w:t xml:space="preserve"> </w:t>
      </w:r>
      <w:r>
        <w:t xml:space="preserve">and</w:t>
      </w:r>
      <w:r>
        <w:t xml:space="preserve"> </w:t>
      </w:r>
      <w:r>
        <w:t xml:space="preserve">‘no criteria can be used to establish the existence of language’</w:t>
      </w:r>
      <w:r>
        <w:t xml:space="preserve">, so that the transcendental argument</w:t>
      </w:r>
      <w:r>
        <w:t xml:space="preserve"> </w:t>
      </w:r>
      <w:r>
        <w:t xml:space="preserve">‘remains the foundation of every critical argumentation about meaning’</w:t>
      </w:r>
      <w:r>
        <w:t xml:space="preserve">, Stroud’s own version of the verification principle included.</w:t>
      </w:r>
      <w:r>
        <w:rPr>
          <w:rStyle w:val="FootnoteReference"/>
        </w:rPr>
        <w:footnoteReference w:id="109"/>
      </w:r>
      <w:r>
        <w:t xml:space="preserve"> </w:t>
      </w:r>
      <w:r>
        <w:t xml:space="preserve">The literature’s distinction between world-directed arguments, vulnerable to Stroud, and self-directed arguments turning on the conditions of the sceptic’s own performance marks this difference; the elenctic disclosure is of the second kind.</w:t>
      </w:r>
      <w:r>
        <w:rPr>
          <w:rStyle w:val="FootnoteReference"/>
        </w:rPr>
        <w:footnoteReference w:id="110"/>
      </w:r>
    </w:p>
    <w:p>
      <w:pPr>
        <w:pStyle w:val="BodyText"/>
      </w:pPr>
      <w:r>
        <w:t xml:space="preserve">A second rejoinder is stronger and must be met, since it charges the retorsion with proving too much. If the impossibility of coherently stating a relativising claim suffices to establish that what the claim employs is non-scheme-relative, the manoeuvre certifies whatever the sceptic’s sentence happens to require, its idiom, its distinctions, its conceptual furniture, and a criterion certifying all of that has certified nothing in particular. The hazard is real, and it is answered by a restriction the retorsion carries. What it certifies is not everything the denying performance employs but what the denying performance is: the conditions in whose absence there would be no determinate claim to have been made, as against those in whose absence this claim could not have been made in these words. The sceptic’s idiom is dispensable, since he may say it otherwise, in another language and with other distinctions, and the claim survives the substitution. The test therefore asks whether there is a reformulation of the sceptic’s claim in which the claim survives the absence of reciprocal determinacy, and the answer returned is that there is none, a formulation lacking it individuating no content for a reformulation to preserve. The exposure of that answer must be stated: its ground is the reciprocity thesis itself, so that the test does not independently establish what it certifies. What the test does is convert the demand for a restriction into a determinate question, whether this is dispensable in the way the idiom is, and answer it by the argument above rather than by a criterion drawn from outside it. The restriction is accordingly entered as specified and not as discharged, and what would discharge it can be named: the demonstration identified at §3.3.6 as belonging to the theory of meaning, that any specification of semantic-syntactic intelligibility sufficient to individuate a determinate content already quantifies over possible assessors. Until it is supplied, the retorsion certifies what passes the substitution test and nothing further, and whether the reciprocal conditions pass it is the same question the chapter has declared open at the level of the thesis.</w:t>
      </w:r>
    </w:p>
    <w:p>
      <w:pPr>
        <w:pStyle w:val="BodyText"/>
      </w:pPr>
      <w:r>
        <w:t xml:space="preserve">The limit of what the retorsion secures must be stated with equal care. It secures the non-scheme-relativity of the conditions of determinate meaning: that there is no coherent standpoint from which these can be relativised to a form of life. It does not of itself secure the specific reciprocal norms, for the transit to them holds only on the strong construal. The retorsion and the reciprocity argument are joined in what they jointly deliver and not in their warrants: the retorsion establishes that whatever the conditions of determinate meaning are, their necessity is not scheme-relative; the reciprocity argument, on the strong construal, places among those conditions the correlative positions of speaker and hearer. Against Habermas the yield may then be stated in the conditional form the previous paragraphs require. If the strong reading holds, the modality of the reciprocal conditions differs in kind and not in degree from the anthropological unavoidability of his weaker sense: his claim quantifies over the sociocultural forms of life so far known and is indexed to them, whereas the retorsive claim denies that the relativising move can be coherently made at all. If the strong reading does not hold, the first stage is secured and nothing follows against him. The confinement of Stroud’s objection which Chapter Two §2.1.4 entered at the conditions of argumentation is here grounded from the other side, by showing why the conditions of signification are the one class of case in which the distinction between how we must think and how things are lacks purchase. What the retorsion secures is a condition of signification, and not the passage from the necessities of thought to the constitution of the world which Stroud denies can be made.</w:t>
      </w:r>
    </w:p>
    <w:bookmarkEnd w:id="111"/>
    <w:bookmarkStart w:id="122" w:name="X3ecb6d1aab3cb79a42bed5dd7400383a0ff7b1b"/>
    <w:p>
      <w:pPr>
        <w:pStyle w:val="Heading3"/>
      </w:pPr>
      <w:r>
        <w:t xml:space="preserve">§3.3.3 · The three levels, and the middle concept between strict reflection and negative justification</w:t>
      </w:r>
    </w:p>
    <w:p>
      <w:pPr>
        <w:pStyle w:val="FirstParagraph"/>
      </w:pPr>
      <w:r>
        <w:t xml:space="preserve">Reflexive irrefutability is the name this chapter gives to the standing of a presupposition whose every attempted refutation miscarries by enacting it. The name must be introduced with care, since on the criterion of §3.2.1 refutation is an operation on propositions and an enactment is not a proposition. What the predicate</w:t>
      </w:r>
      <w:r>
        <w:t xml:space="preserve"> </w:t>
      </w:r>
      <w:r>
        <w:t xml:space="preserve">‘irrefutable’</w:t>
      </w:r>
      <w:r>
        <w:t xml:space="preserve"> </w:t>
      </w:r>
      <w:r>
        <w:t xml:space="preserve">attaches to is therefore not the enactment as such but the enactment by way of the class of its denials: a presupposition is reflexively irrefutable when no denial of it can be executed as a determinate claim. Two things follow at once, and both are conceded. The token miscarriage of any particular denial is exhibited in the denying and is not a matter of hypothesis; the claim that every denial of the kind miscarries is a claim about a type, and it belongs, on the chapter’s own criterion, to the register of propositions and inherits their corrigibility. The concept is accordingly not a third modal predicate for propositions, standing between corroborated hypothesis and apodictic certainty. It is a structure with three internally related levels, and its interest lies in what it refuses: the transfer of standing from the first level to the second, which strict reflection makes and which the account this chapter defends declines while keeping what strict reflection secures.</w:t>
      </w:r>
    </w:p>
    <w:p>
      <w:pPr>
        <w:pStyle w:val="BodyText"/>
      </w:pPr>
      <w:r>
        <w:t xml:space="preserve">The first level is performative non-contingency: the conditions of determinate signification, disclosed elenctically, and on the strong construal the reciprocal conditions among them, whose denial cannot be performed as a determinate claim. What a defeated denial confers on a claim, by the burden rule, is a provisional standing; what is claimed at this level is conferred on no claim at all, since it attaches to no proposition, so that the rule is respected and not exceeded. The second level is the fallible propositional articulation of what is thereby enacted, revisable and perfectible without limit, and including the transcendental-pragmatic articulation Apel advances against Habermas: Apel’s characterisation of the presuppositions is a propositional performance and inherits the corrigibility of that register. The third level is not a further kind of item but the standing of the first two under iteration, at the point at which the iteration would generate a regress, since the statement that the articulation is fallible is itself a fallible articulation, of which the same may be stated in turn without end. The regress is arrested not by a terminal proposition but by the recognition that each step re-enacts the same non-contingent elenctic form: the form is invariant across the ascent and the content asymptotically refined.</w:t>
      </w:r>
    </w:p>
    <w:p>
      <w:pPr>
        <w:pStyle w:val="BodyText"/>
      </w:pPr>
      <w:r>
        <w:t xml:space="preserve">The arrest invites a deflationary objection, and it strikes the element of the structure claimed as an addition to the tradition. The invariance of the form is itself asserted, belongs to the second level, and is therefore fallible; the arrest is then either a second-level claim, corrigible and arresting nothing, or a first-level enactment, not a claim about the series and again arresting nothing. The dilemma is answered by declining the assumption that an arrest must be effected by a statement. What halts the regress is not the proposition that the form is invariant but that at each level the conditions are exercised in making the assertion rather than certified by the assertion above it. A regress is vicious where the standing of any member waits on the completion of the series; here each enactment’s standing is secured in the enacting, so that the unending series of statements costs the enactments nothing. The invariance claim is accordingly a report on that structure, inheriting the corrigibility of the second level; it is not a concession the structure must survive, since what the report describes is enacted whether or not the report is accurate, and it is not exempt from the corrigibility it inherits, since a structure does not make a description of itself correct. The discipline applies to this sentence as to any other.</w:t>
      </w:r>
    </w:p>
    <w:p>
      <w:pPr>
        <w:pStyle w:val="BodyText"/>
      </w:pPr>
      <w:r>
        <w:t xml:space="preserve">The collapse objection must now be met directly, since the concept has been introduced so as to invite it. If the type-claim is corrigible and only token miscarriages are exhibited, the position appears to be Habermas’s own, stated at §3.2.3 as indexically self-verifying and universally hypothetical, and the concept adds a name and nothing else. The reply is that the difference between the position and Habermas’s lies not in the modality assigned to any proposition, where the two agree, but in what a correction of the type-claim answers to and in what the type-claim is about. For Habermas the corrective is the discussion to which any reconstruction is submitted, and the type-claim ranges over the practice of argumentation as encountered, so that a counterexample would be a form of life which does without the presuppositions. On the account defended here the type-claim ranges over determinate signification as such, and its corrective is the performative evidence of the act, so that a counterexample would be a determinate denial which does not miscarry, and the retorsion of §3.3.2 shows, within its declared limits, that none can be stated. That is a difference in the ground of correction and in the scope of the quantifier, and it is all the difference the concept claims; it is not a difference in certainty. The advance on Habermas is accordingly real but modest, and it is conditional at the point §3.3.2 declared: for the first stage the corrective is secured, and for the reciprocal conditions it is secured only on the strong construal.</w:t>
      </w:r>
    </w:p>
    <w:p>
      <w:pPr>
        <w:pStyle w:val="BodyText"/>
      </w:pPr>
      <w:r>
        <w:t xml:space="preserve">One acknowledgement is owed before the structure is set against its rivals. The categorial separation of a propositional from a performative-pragmatic level of the conditions of sense is not first proposed in these pages. Niquet states it as the postulate of the dual character of transcendental sense-critique, or a methodological principle of bifurcation, a designation he records as proposed by Apel: contentful conditions of sense can be given at two levels, the semantic-propositional content of utterances and the general and necessary performative-pragmatic structures of their felicitous execution.</w:t>
      </w:r>
      <w:r>
        <w:rPr>
          <w:rStyle w:val="FootnoteReference"/>
        </w:rPr>
        <w:footnoteReference w:id="112"/>
      </w:r>
    </w:p>
    <w:p>
      <w:pPr>
        <w:pStyle w:val="BodyText"/>
      </w:pPr>
      <w:r>
        <w:t xml:space="preserve">Against Kuhlmann, the structure retains the insight of</w:t>
      </w:r>
      <w:r>
        <w:t xml:space="preserve"> </w:t>
      </w:r>
      <w:r>
        <w:rPr>
          <w:i/>
          <w:iCs/>
        </w:rPr>
        <w:t xml:space="preserve">strikte Reflexion</w:t>
      </w:r>
      <w:r>
        <w:t xml:space="preserve"> </w:t>
      </w:r>
      <w:r>
        <w:t xml:space="preserve">while refusing what that insight is made to yield. The objection must be stated against his own formulation rather than against the position commonly ascribed to him, since the two differ at the point which matters. Kuhlmann’s achievement is to show, against the charge that every grounding falls to the trilemma, that certain presuppositions of arguing are not to be gone behind, their denial being self-contradictory in the enactment rather than in the proposition. What strict reflection adds to reflection as such is stated by him three times over, and each time as a prohibition: the arguer is required to bring the thematic contents together with the action-knowledge he mobilises in order to handle them at all,</w:t>
      </w:r>
      <w:r>
        <w:t xml:space="preserve"> </w:t>
      </w:r>
      <w:r>
        <w:t xml:space="preserve">‘ohne die Differenz zwischen dem Thematischen und dem in Anspruch Genommenen zu nivellieren’</w:t>
      </w:r>
      <w:r>
        <w:t xml:space="preserve">; to bring the level of communication together with that of metacommunication,</w:t>
      </w:r>
      <w:r>
        <w:t xml:space="preserve"> </w:t>
      </w:r>
      <w:r>
        <w:t xml:space="preserve">‘ohne die Statusdifferenz zu verwischen’</w:t>
      </w:r>
      <w:r>
        <w:t xml:space="preserve">; and to bring the level of propositional contents together with that of performative sentences,</w:t>
      </w:r>
      <w:r>
        <w:t xml:space="preserve"> </w:t>
      </w:r>
      <w:r>
        <w:t xml:space="preserve">‘ohne die funktionale Differenz, die beide Ebenen für ihn in seiner aktuellen Argumentationssituation haben, zu nivellieren’</w:t>
      </w:r>
      <w:r>
        <w:t xml:space="preserve">.</w:t>
      </w:r>
      <w:r>
        <w:rPr>
          <w:rStyle w:val="FootnoteReference"/>
        </w:rPr>
        <w:footnoteReference w:id="113"/>
      </w:r>
      <w:r>
        <w:t xml:space="preserve"> </w:t>
      </w:r>
      <w:r>
        <w:t xml:space="preserve">Strict reflection is thus not, in his own hand, a fusion of the two levels. It is their explicit conjunction under an express prohibition against levelling them, and the received charge that Kuhlmann identifies act with proposition does not reach it.</w:t>
      </w:r>
    </w:p>
    <w:p>
      <w:pPr>
        <w:pStyle w:val="BodyText"/>
      </w:pPr>
      <w:r>
        <w:t xml:space="preserve">The difficulty lies elsewhere, and it takes the form of a dilemma internal to that formulation. Kuhlmann requires that the two levels be brought together without their functional difference being levelled, and holds that what the bringing-together secures is an ultimate grounding, a certainty which he restricts to philosophical statements in which the right and the reach of validity claims are critically at issue. If the functional difference is preserved, the certainty carried by the enactment does not pass to the proposition which characterises the enactment, and the grounding is not ultimate. If it does pass, the difference has been levelled, since a standing crosses the boundary only if what stands on either side is, for the purpose of the crossing, of one kind, and the prohibition has been broken in the act of satisfying it. The requirement is stated; what is not shown is how it can be met. The dilemma answers to the fault-type Apel names the abstractive fallacy, run in the direction opposite to the one his own diagnosis takes: what is abstracted from is the categorial difference between the type of act which enacts a condition and the type which characterises it. That the same person performs both no more makes them one act than a man’s promising and his describing his promise are one act, and simultaneity is no more identity than agency is. A transfer of certainty across the difference must be earned rather than assumed.</w:t>
      </w:r>
    </w:p>
    <w:p>
      <w:pPr>
        <w:pStyle w:val="BodyText"/>
      </w:pPr>
      <w:r>
        <w:t xml:space="preserve">An objection is entered against the procedure of this section: the distinction of act-types on which the refusal of transfer rests is nothing other than the operative–propositional asymmetry, and that asymmetry is what the argument was supposed to establish, not what it may help itself to. The answer attends to what kind of standing the asymmetry has. It is not a premise from which the refusal of transfer is deduced. It is what §3.2.2 exhibits in the asymmetry’s own denial: the denier’s performing and his saying come apart in the act, and the coming-apart is visible in the performance and not inferred from a prior principle. What this section adds depends on that exhibition: a distinction so exhibited will not license the transfer Kuhlmann requires. Two consequences follow, and the second is a limitation. No circularity arises, for the reason §3.3.1 gives of Γ.4: nothing is taken as a premise, and what is invoked is what the objector enacts in objecting. And the exhibition establishes that the asymmetry holds wherever anything is asserted; it does not establish it as a proposition secured independently of any enactment, and no argument of this form could. The chapter claims the first and does not claim the second, which is the restriction it has imposed on Apel and on Kuhlmann, now imposed on itself. Reflexive irrefutability answers Kuhlmann’s dilemma by taking its second horn openly: it keeps the strict, performative non-circumventibility of the first level, declines the transfer, and leaves the propositional articulation at the second level as fallible as Habermas insists. The prohibition against levelling is then not a constraint the account struggles to honour but what it asserts.</w:t>
      </w:r>
    </w:p>
    <w:p>
      <w:pPr>
        <w:pStyle w:val="BodyText"/>
      </w:pPr>
      <w:r>
        <w:t xml:space="preserve">Against Wellmer, the structure retains a positive reflexive ground while refusing mere exemption. Wellmer holds that morality and reason</w:t>
      </w:r>
      <w:r>
        <w:t xml:space="preserve"> </w:t>
      </w:r>
      <w:r>
        <w:t xml:space="preserve">‘do not stand or fall with the absolutism of ultimate agreements or fundamental groundings’</w:t>
      </w:r>
      <w:r>
        <w:t xml:space="preserve">, that</w:t>
      </w:r>
      <w:r>
        <w:t xml:space="preserve"> </w:t>
      </w:r>
      <w:r>
        <w:t xml:space="preserve">‘the idealizing assumptions of argument contain neither an ultimate foundation for morality nor the promissory glimpse of an ultimate reconciliation’</w:t>
      </w:r>
      <w:r>
        <w:t xml:space="preserve">, and that the general norms of argument</w:t>
      </w:r>
      <w:r>
        <w:t xml:space="preserve"> </w:t>
      </w:r>
      <w:r>
        <w:t xml:space="preserve">‘do not amount to universalistic moral norms or meta-norms for morality’</w:t>
      </w:r>
      <w:r>
        <w:t xml:space="preserve">, the</w:t>
      </w:r>
      <w:r>
        <w:t xml:space="preserve"> </w:t>
      </w:r>
      <w:r>
        <w:t xml:space="preserve">‘must’</w:t>
      </w:r>
      <w:r>
        <w:t xml:space="preserve"> </w:t>
      </w:r>
      <w:r>
        <w:t xml:space="preserve">they carry being of the kind associated with constitutive rules rather than a morally substantial one.</w:t>
      </w:r>
      <w:r>
        <w:rPr>
          <w:rStyle w:val="FootnoteReference"/>
        </w:rPr>
        <w:footnoteReference w:id="114"/>
      </w:r>
      <w:r>
        <w:t xml:space="preserve"> </w:t>
      </w:r>
      <w:r>
        <w:t xml:space="preserve">He grants the inescapability of the presuppositions of argument and the performative self-contradiction of their denial; what he denies is that norms so grounded are moral norms. The attraction of the position is that it dispenses with any passage from a fact to an</w:t>
      </w:r>
      <w:r>
        <w:t xml:space="preserve"> </w:t>
      </w:r>
      <w:r>
        <w:t xml:space="preserve">‘ought’</w:t>
      </w:r>
      <w:r>
        <w:t xml:space="preserve">, since a justification by negation infers no norm from any fact. Its cost is that it leaves the presuppositions exempt from grounding altogether, as no more than what is found to admit of no rational denial, without an account of why their denial fails which would distinguish a performative impossibility from a stubborn intuition. A stubborn intuition may be dislodged by better argument, by a change of sensibility, or by the discovery that its hold has a genealogy; a performative impossibility of the first level cannot be dislodged, because any dislodging would exercise the conditions it removed. Wellmer does locate a ground: no successful individuation, and so no person, is conceivable outside structures of reciprocal recognition. The ground is a condition on persons and not on signification, and a denier who forgoes successful individuation is not thereby self-removing, whereas the elenctic ground is removed in the denying itself. The objection is not that his conclusion is false, since this chapter shares it at the second stage; it is that a ground lodged in the conditions of individuation does not deliver the self-removal on which the difference between a performative impossibility and a conviction that the denial is unthinkable depends.</w:t>
      </w:r>
    </w:p>
    <w:p>
      <w:pPr>
        <w:pStyle w:val="BodyText"/>
      </w:pPr>
      <w:r>
        <w:t xml:space="preserve">What results is best described not as a third position between the two but as strict reflection under an express prohibition on propositional transfer. It takes from Wellmer the fallibilism which the refusal of transfer entails, and puts to the use he declines the performative non-circumventibility he concedes. No proposition is certified here which strict reflection does not certify; what is declined is a transfer which, on the reading defended above, strict reflection was never entitled to make. Against the binary of reconstruction and strict reflection the concept stands to one side of each: reconstruction cannot account for the non-contingency of the first level, and strict reflection over-extends that non-contingency to the propositional level.</w:t>
      </w:r>
    </w:p>
    <w:p>
      <w:pPr>
        <w:pStyle w:val="BodyText"/>
      </w:pPr>
      <w:r>
        <w:t xml:space="preserve">Three cautions mark the limits of what the</w:t>
      </w:r>
      <w:r>
        <w:t xml:space="preserve"> </w:t>
      </w:r>
      <w:r>
        <w:rPr>
          <w:i/>
          <w:iCs/>
        </w:rPr>
        <w:t xml:space="preserve">elenchos</w:t>
      </w:r>
      <w:r>
        <w:t xml:space="preserve"> </w:t>
      </w:r>
      <w:r>
        <w:t xml:space="preserve">delivers, and the third is Wellmer’s. First, the transit to the specific reciprocal norms is the substantive step §3.3.2 argued and did not settle. Secondly, the</w:t>
      </w:r>
      <w:r>
        <w:t xml:space="preserve"> </w:t>
      </w:r>
      <w:r>
        <w:rPr>
          <w:i/>
          <w:iCs/>
        </w:rPr>
        <w:t xml:space="preserve">elenchos</w:t>
      </w:r>
      <w:r>
        <w:t xml:space="preserve"> </w:t>
      </w:r>
      <w:r>
        <w:t xml:space="preserve">establishes the inescapability of the conditions of determinate signification, and on the strong construal of the reciprocal conditions among them; and inescapability is not yet value. The sceptic who concedes that he cannot signify while denying them may still ask what worth their inescapability has for him, and that residue is displaced, not removed; its discharge is not undertaken in these chapters and is entered among the questions the Conclusion leaves open. Thirdly, a formal condition of argument, however secure, does not supply the criterion by which one reason is better than another, so that the question §3.1.4 left unresolved is not answered by the irrefutability of the conditions under which reasons are exchanged, even if that irrefutability is granted in full. The caution is accepted. What the three levels secure is the standing of the conditions and not a measure of the reasons offered under them, and the scope question of §3.3.6, decided either way, would leave the criterion where §3.1.4 found it. That a positive account of the criterion is owed, and owed by this thesis, is the second of the tasks the Conclusion names.</w:t>
      </w:r>
      <w:r>
        <w:t xml:space="preserve"> </w:t>
      </w:r>
      <w:r>
        <w:t xml:space="preserve">### §3.3.4 · The transcendental-semiotic a priori: why there is no proposition without assessability</w:t>
      </w:r>
    </w:p>
    <w:p>
      <w:pPr>
        <w:pStyle w:val="BodyText"/>
      </w:pPr>
      <w:r>
        <w:t xml:space="preserve">The reciprocity of meaning on which §3.1.4 and §3.3.2 turn rests on a premise which must now be stated, traced to the warrant it is given in the counter-programme, and bounded, since the pre-moral reading holds only so far as the premise holds: a putative content which no competent interlocutor could in principle assess, for truth where the content is assertoric, is not a determinate content but a mark. This is the transcendental-semiotic a priori, and its warrant is Apel’s transformation of Peirce.</w:t>
      </w:r>
    </w:p>
    <w:p>
      <w:pPr>
        <w:pStyle w:val="BodyText"/>
      </w:pPr>
      <w:r>
        <w:t xml:space="preserve">For Peirce the meaning of a conception is exhausted by the conceivable practical bearings of its object, and truth is</w:t>
      </w:r>
      <w:r>
        <w:t xml:space="preserve"> </w:t>
      </w:r>
      <w:r>
        <w:t xml:space="preserve">‘the opinion which is fated to be ultimately agreed to by all who investigate’</w:t>
      </w:r>
      <w:r>
        <w:t xml:space="preserve">, the real being what would be represented in that final opinion.</w:t>
      </w:r>
      <w:r>
        <w:rPr>
          <w:rStyle w:val="FootnoteReference"/>
        </w:rPr>
        <w:footnoteReference w:id="115"/>
      </w:r>
      <w:r>
        <w:t xml:space="preserve"> </w:t>
      </w:r>
      <w:r>
        <w:t xml:space="preserve">Apel reads this not as a theory of scientific method but as a semiotic transformation of transcendental logic. In the paper given to the Third International Kant Congress in 1970 the</w:t>
      </w:r>
      <w:r>
        <w:t xml:space="preserve"> </w:t>
      </w:r>
      <w:r>
        <w:t xml:space="preserve">‘highest point’</w:t>
      </w:r>
      <w:r>
        <w:t xml:space="preserve"> </w:t>
      </w:r>
      <w:r>
        <w:t xml:space="preserve">of that logic is</w:t>
      </w:r>
      <w:r>
        <w:t xml:space="preserve"> </w:t>
      </w:r>
      <w:r>
        <w:t xml:space="preserve">‘the</w:t>
      </w:r>
      <w:r>
        <w:t xml:space="preserve"> </w:t>
      </w:r>
      <w:r>
        <w:t xml:space="preserve">“ultimate opinion”</w:t>
      </w:r>
      <w:r>
        <w:t xml:space="preserve"> </w:t>
      </w:r>
      <w:r>
        <w:t xml:space="preserve">of the</w:t>
      </w:r>
      <w:r>
        <w:t xml:space="preserve"> </w:t>
      </w:r>
      <w:r>
        <w:t xml:space="preserve">“indefinite community of investigators”</w:t>
      </w:r>
      <w:r>
        <w:t xml:space="preserve">’</w:t>
      </w:r>
      <w:r>
        <w:t xml:space="preserve">, and the level at which the unity of knowledge is secured is fixed:</w:t>
      </w:r>
      <w:r>
        <w:t xml:space="preserve"> </w:t>
      </w:r>
      <w:r>
        <w:t xml:space="preserve">‘The quasi-transcendental subject of this unity is the indefinite community of experimentation which is identical with the indefinite community of interpretation.’</w:t>
      </w:r>
      <w:r>
        <w:rPr>
          <w:rStyle w:val="FootnoteReference"/>
        </w:rPr>
        <w:footnoteReference w:id="116"/>
      </w:r>
      <w:r>
        <w:t xml:space="preserve"> </w:t>
      </w:r>
      <w:r>
        <w:t xml:space="preserve">Where Kant grounded the objectivity of knowledge in the transcendental unity of apperception, Peirce on Apel’s reconstruction replaces</w:t>
      </w:r>
      <w:r>
        <w:t xml:space="preserve"> </w:t>
      </w:r>
      <w:r>
        <w:t xml:space="preserve">‘the idea of transcendental consciousness as subject and warrant of objectively valid knowledge’</w:t>
      </w:r>
      <w:r>
        <w:t xml:space="preserve"> </w:t>
      </w:r>
      <w:r>
        <w:t xml:space="preserve">with</w:t>
      </w:r>
      <w:r>
        <w:t xml:space="preserve"> </w:t>
      </w:r>
      <w:r>
        <w:t xml:space="preserve">‘the idea of the indefinite community of sign interpreters whose consensus is the nontranscendable ultimate criterium, we can conceive of, for the intersubjective validity and thus for the truth of our knowledge’</w:t>
      </w:r>
      <w:r>
        <w:t xml:space="preserve">.</w:t>
      </w:r>
      <w:r>
        <w:rPr>
          <w:rStyle w:val="FootnoteReference"/>
        </w:rPr>
        <w:footnoteReference w:id="117"/>
      </w:r>
      <w:r>
        <w:t xml:space="preserve"> </w:t>
      </w:r>
      <w:r>
        <w:t xml:space="preserve">The substitution is a change in the kind of item which does the transcendental work: a synthesis performed by a subject is replaced by a relation obtaining within a community of interpretation, so that what was a condition on the unity of a consciousness becomes a condition on the determinacy of a sign.</w:t>
      </w:r>
    </w:p>
    <w:p>
      <w:pPr>
        <w:pStyle w:val="BodyText"/>
      </w:pPr>
      <w:r>
        <w:t xml:space="preserve">The argument for the replacement is conditional, and its form carries what may be taken from it.</w:t>
      </w:r>
      <w:r>
        <w:t xml:space="preserve"> </w:t>
      </w:r>
      <w:r>
        <w:t xml:space="preserve">‘If the human subject of truth-claims is conceived of not only in a Kantian way as subject of the pre-linguistic</w:t>
      </w:r>
      <w:r>
        <w:t xml:space="preserve"> </w:t>
      </w:r>
      <w:r>
        <w:t xml:space="preserve">“synthesis of apperception,”</w:t>
      </w:r>
      <w:r>
        <w:t xml:space="preserve"> </w:t>
      </w:r>
      <w:r>
        <w:t xml:space="preserve">but moreover, in a transcendental-semiotical way, as subject of sign interpretation, then his truth-claims cannot, in principle, be sufficiently redeemed by the evidence of his own synthesis of apperception’</w:t>
      </w:r>
      <w:r>
        <w:t xml:space="preserve">; they must be redeemed by an intersubjectively valid synthesis of sign-interpretation, and</w:t>
      </w:r>
      <w:r>
        <w:t xml:space="preserve"> </w:t>
      </w:r>
      <w:r>
        <w:t xml:space="preserve">‘this means that the methodical solipsism of modern epistemology from Descartes to Husserl has to be surmounted’</w:t>
      </w:r>
      <w:r>
        <w:t xml:space="preserve">.</w:t>
      </w:r>
      <w:r>
        <w:rPr>
          <w:rStyle w:val="FootnoteReference"/>
        </w:rPr>
        <w:footnoteReference w:id="118"/>
      </w:r>
      <w:r>
        <w:t xml:space="preserve"> </w:t>
      </w:r>
      <w:r>
        <w:t xml:space="preserve">The consequent is secure; the antecedent is what the programme has to earn, and Chapter Two §2.1.4 takes its warrant from the argument that a solitary rule-follower has no criterion.</w:t>
      </w:r>
    </w:p>
    <w:p>
      <w:pPr>
        <w:pStyle w:val="BodyText"/>
      </w:pPr>
      <w:r>
        <w:t xml:space="preserve">The structural warrant beneath the substitution is the triadicity of the sign-function. Anything represented as something is represented by a sign, of an object, to an interpretant, and the interpretant is not a further sign appended to a self-standing dyad but that in virtue of which the dyad is a sign at all. An interpretant is in Peirce’s account itself a sign, which calls for a further interpretant; the step from that series to a community of interpreters is Apel’s transformation and not Peirce’s semiotic alone. On that transformation the position of an interpretant is occupied, at the limit, by a possible assessor, and a representation without a possible interpretant is not an unassessed representation but no representation whatever. That is the semiotic form of the thesis the pre-moral reading requires.</w:t>
      </w:r>
    </w:p>
    <w:p>
      <w:pPr>
        <w:pStyle w:val="BodyText"/>
      </w:pPr>
      <w:r>
        <w:t xml:space="preserve">Apel enters the restriction on this himself, in the sentence on which the present reading principally turns. From the postulate of the ultimate opinion, Peirce</w:t>
      </w:r>
      <w:r>
        <w:t xml:space="preserve"> </w:t>
      </w:r>
      <w:r>
        <w:t xml:space="preserve">‘can deduce as transcendentally necessary not any propositions but the universal validity of synthetic inferences in the long run’</w:t>
      </w:r>
      <w:r>
        <w:t xml:space="preserve">; the propositions accepted at any given time are, on the same page, fallible and corrigible, and the convergence on which the construction depends is</w:t>
      </w:r>
      <w:r>
        <w:t xml:space="preserve"> </w:t>
      </w:r>
      <w:r>
        <w:t xml:space="preserve">‘a convergence that must be postulated as normative’</w:t>
      </w:r>
      <w:r>
        <w:t xml:space="preserve">.</w:t>
      </w:r>
      <w:r>
        <w:rPr>
          <w:rStyle w:val="FootnoteReference"/>
        </w:rPr>
        <w:footnoteReference w:id="119"/>
      </w:r>
      <w:r>
        <w:t xml:space="preserve"> </w:t>
      </w:r>
      <w:r>
        <w:t xml:space="preserve">Transcendental necessity is claimed for the validity of a method and withheld from the propositions the method yields. That is not yet the asymmetry between an enactment and a proposition about it, but it is its nearest Peircean analogue, and what the argument takes from it is that the counter-programme’s founding text refuses transcendental standing to the propositions its practice yields. What follows for the counter-programme is a burden rather than a refutation: if the postulate secures the validity of the synthetic inferences of enquiry, the extension of the</w:t>
      </w:r>
      <w:r>
        <w:t xml:space="preserve"> </w:t>
      </w:r>
      <w:r>
        <w:t xml:space="preserve">‘we’</w:t>
      </w:r>
      <w:r>
        <w:t xml:space="preserve"> </w:t>
      </w:r>
      <w:r>
        <w:t xml:space="preserve">from those inferences to every validity claim, the normative with the theoretical, is a further step and not an entailment of the semiotic transformation. It is a step Apel takes, and Chapter Four examines what carries it.</w:t>
      </w:r>
    </w:p>
    <w:p>
      <w:pPr>
        <w:pStyle w:val="BodyText"/>
      </w:pPr>
      <w:r>
        <w:t xml:space="preserve">The bearing on the premise is direct. If the sense of a validity claim, its being a determinate item an interlocutor may take rightly or wrongly rather than a noise, consists in its being the kind of thing an unlimited community of interpreters could in principle assess, then a putative claim withdrawn in principle from any such assessment lacks determinate content. It is not that its truth is merely undiscoverable; there is nothing determinate for the predicate</w:t>
      </w:r>
      <w:r>
        <w:t xml:space="preserve"> </w:t>
      </w:r>
      <w:r>
        <w:t xml:space="preserve">‘true’</w:t>
      </w:r>
      <w:r>
        <w:t xml:space="preserve"> </w:t>
      </w:r>
      <w:r>
        <w:t xml:space="preserve">to attach to. The point must be distinguished from verificationism, since the resemblance is superficial and the objection otherwise inevitable. The claim is not that a proposition is meaningless unless it can be verified. It is that a putative content withdrawn from any possible assessment by anyone at all is not a content on which verification could bear. The modality is</w:t>
      </w:r>
      <w:r>
        <w:t xml:space="preserve"> </w:t>
      </w:r>
      <w:r>
        <w:t xml:space="preserve">‘in principle’</w:t>
      </w:r>
      <w:r>
        <w:t xml:space="preserve"> </w:t>
      </w:r>
      <w:r>
        <w:t xml:space="preserve">and the community unlimited; nothing turns on the reach of any actual knowledge or on what any actual inquirer could establish.</w:t>
      </w:r>
    </w:p>
    <w:p>
      <w:pPr>
        <w:pStyle w:val="BodyText"/>
      </w:pPr>
      <w:r>
        <w:t xml:space="preserve">From this the reciprocity of meaning §3.3.2 asserted is reached by a further step, on a route Γ.4 does not supply, and the step must be entered explicitly. The semiotic material yields the position of a possible assessor. That the positions so yielded are reciprocal, each member a potential assessor of any sign any other produces, is a claim about the constitution of the community of interpretation and not an entailment of triadicity, and it is on that claim, entered as a claim and not as a corollary, that a sign is held to have a determinate interpretant only under reciprocity. At the level of argumentative discourse that reciprocity of interpretive positions is the correlativity of speaker and hearer, and Habermas’s</w:t>
      </w:r>
      <w:r>
        <w:t xml:space="preserve"> </w:t>
      </w:r>
      <w:r>
        <w:t xml:space="preserve">‘recognition’</w:t>
      </w:r>
      <w:r>
        <w:t xml:space="preserve">, on which the socio-ontology of the moral</w:t>
      </w:r>
      <w:r>
        <w:t xml:space="preserve"> </w:t>
      </w:r>
      <w:r>
        <w:t xml:space="preserve">‘ought’</w:t>
      </w:r>
      <w:r>
        <w:t xml:space="preserve"> </w:t>
      </w:r>
      <w:r>
        <w:t xml:space="preserve">rests, presupposes it.</w:t>
      </w:r>
    </w:p>
    <w:p>
      <w:pPr>
        <w:pStyle w:val="BodyText"/>
      </w:pPr>
      <w:r>
        <w:t xml:space="preserve">Three notions must be held apart, since the secondary literature commonly conflates them and the argument requires only the weakest. The first is the community of interpretation as a condition of meaning: a sign has a determinate interpretant only relative to a space of reciprocal assessment. That, and that alone, is what the argument requires. The second is the ideal communication community as a regulative idea, the counterfactually anticipated community by reference to which real discourse is oriented and corrected, which does other work and is not examined here. The third is the ultimate consensus of inquiry as a theory of truth, the thesis that inquiry is fated to converge on a final opinion in which truth consists; it is not required, and it is expressly declined. The refusal of the third bears on the coherence of the thesis as a whole. Chapter One §1.5.6 established that the mature Habermasian epistemology rejects the epistemic conception of truth, and Habermas states the rejection in terms endorsed here:</w:t>
      </w:r>
      <w:r>
        <w:t xml:space="preserve"> </w:t>
      </w:r>
      <w:r>
        <w:t xml:space="preserve">‘a proposition is agreed to by all rational subjects because it is true; it is not true because it could be the content of a consensus attained under ideal conditions’</w:t>
      </w:r>
      <w:r>
        <w:t xml:space="preserve">.</w:t>
      </w:r>
      <w:r>
        <w:rPr>
          <w:rStyle w:val="FootnoteReference"/>
        </w:rPr>
        <w:footnoteReference w:id="120"/>
      </w:r>
      <w:r>
        <w:t xml:space="preserve"> </w:t>
      </w:r>
      <w:r>
        <w:t xml:space="preserve">The transcendental-semiotic premise is compatible with that rejection and would be incompatible with the convergence theory it is commonly assumed to carry. One exegetical caution is owed against Apel himself. Peirce’s final opinion, the regulative endpoint of inquiry, is not identical with the ultimate logical interpretant of the mature semiotic, the habit-change in which a chain of interpretants terminates, and Apel runs the two together in the loci consulted.</w:t>
      </w:r>
      <w:r>
        <w:rPr>
          <w:rStyle w:val="FootnoteReference"/>
        </w:rPr>
        <w:footnoteReference w:id="121"/>
      </w:r>
      <w:r>
        <w:t xml:space="preserve"> </w:t>
      </w:r>
      <w:r>
        <w:t xml:space="preserve">The philosophical point survives the distinction, since both are constituted only relative to a community of potential interpreters, and it is that relativity, not the identity of the two notions, which the argument requires.</w:t>
      </w:r>
    </w:p>
    <w:bookmarkEnd w:id="122"/>
    <w:bookmarkStart w:id="127" w:name="Xa1afb469c76bdc818f3e087401be20718b3e729"/>
    <w:p>
      <w:pPr>
        <w:pStyle w:val="Heading3"/>
      </w:pPr>
      <w:r>
        <w:t xml:space="preserve">§3.3.5 · The derivation question distinguished: Finlayson, the trilemma, and the order of grounding</w:t>
      </w:r>
    </w:p>
    <w:p>
      <w:pPr>
        <w:pStyle w:val="FirstParagraph"/>
      </w:pPr>
      <w:r>
        <w:t xml:space="preserve">The objection developed in these chapters must be held apart from the derivation objection which the anglophone literature has chiefly pressed against discourse ethics. Finlayson’s charge has two limbs. The first is that the formal derivation of (U) which Habermas promised, from non-moral premises, cannot be executed as he sets it up. Finlayson reconstructs it from two premises,</w:t>
      </w:r>
      <w:r>
        <w:t xml:space="preserve"> </w:t>
      </w:r>
      <w:r>
        <w:t xml:space="preserve">‘the normative, (but non-moral) preconditions of argumentation in general’</w:t>
      </w:r>
      <w:r>
        <w:t xml:space="preserve"> </w:t>
      </w:r>
      <w:r>
        <w:t xml:space="preserve">and a</w:t>
      </w:r>
      <w:r>
        <w:t xml:space="preserve"> </w:t>
      </w:r>
      <w:r>
        <w:t xml:space="preserve">‘weak idea of normative justification’</w:t>
      </w:r>
      <w:r>
        <w:t xml:space="preserve">, observes that</w:t>
      </w:r>
      <w:r>
        <w:t xml:space="preserve"> </w:t>
      </w:r>
      <w:r>
        <w:t xml:space="preserve">‘neither Habermas nor any of his followers have ever actually managed to derive (U) formally’</w:t>
      </w:r>
      <w:r>
        <w:t xml:space="preserve">, and gives a reason why it could not be done: (U) is a biconditional which makes amenability to consensus on the basis of interests a necessary and a sufficient condition of validity, whereas (D) states a necessary condition only; and were the derivation produced from premises whose normative status is not that of moral obligation, it</w:t>
      </w:r>
      <w:r>
        <w:t xml:space="preserve"> </w:t>
      </w:r>
      <w:r>
        <w:t xml:space="preserve">‘would itself appear to fall foul of Hume’s law’</w:t>
      </w:r>
      <w:r>
        <w:t xml:space="preserve">.</w:t>
      </w:r>
      <w:r>
        <w:rPr>
          <w:rStyle w:val="FootnoteReference"/>
        </w:rPr>
        <w:footnoteReference w:id="123"/>
      </w:r>
      <w:r>
        <w:t xml:space="preserve"> </w:t>
      </w:r>
      <w:r>
        <w:t xml:space="preserve">The second limb is that Habermas’s later recourse to justifying (U) abductively makes the moral theory dependent on an empirical theory of modernisation. The evidential verdict is shared so far as it is evidential: no formal derivation stands executed, and the abduction depends on modernisation theory at least to the extent Habermas’s own supplement clause concedes (Chapter One §1.5.5). Whether the dependence exceeds that concession is not adjudicated here. What is not shared is the significance of the verdict, because the two objections are directed at different objects.</w:t>
      </w:r>
    </w:p>
    <w:p>
      <w:pPr>
        <w:pStyle w:val="BodyText"/>
      </w:pPr>
      <w:r>
        <w:t xml:space="preserve">The derivation whose non-execution Finlayson reports would be the derivation of a principle from premises, the deduction of a sentence from sentences, and that is grounding in the sense Albert’s trilemma presupposes. Apel’s reconstruction of 1975 fixes what the trilemma requires in order to be deduced at all: it</w:t>
      </w:r>
      <w:r>
        <w:t xml:space="preserve"> </w:t>
      </w:r>
      <w:r>
        <w:t xml:space="preserve">‘can only be logically deduced for sentences of an axiomatized sentence-system in the sense of the syntactic-semantical construction of a so-called</w:t>
      </w:r>
      <w:r>
        <w:t xml:space="preserve"> </w:t>
      </w:r>
      <w:r>
        <w:t xml:space="preserve">“formal language”</w:t>
      </w:r>
      <w:r>
        <w:t xml:space="preserve">’</w:t>
      </w:r>
      <w:r>
        <w:t xml:space="preserve">, a deduction</w:t>
      </w:r>
      <w:r>
        <w:t xml:space="preserve"> </w:t>
      </w:r>
      <w:r>
        <w:t xml:space="preserve">‘only possible under prior abstraction from the pragmatic dimension of argumentative language use’</w:t>
      </w:r>
      <w:r>
        <w:t xml:space="preserve">; and</w:t>
      </w:r>
      <w:r>
        <w:t xml:space="preserve"> </w:t>
      </w:r>
      <w:r>
        <w:t xml:space="preserve">‘the logical deduction of sentences from sentences is not itself the grounding of the validity of knowledge’</w:t>
      </w:r>
      <w:r>
        <w:t xml:space="preserve">.</w:t>
      </w:r>
      <w:r>
        <w:rPr>
          <w:rStyle w:val="FootnoteReference"/>
        </w:rPr>
        <w:footnoteReference w:id="124"/>
      </w:r>
      <w:r>
        <w:t xml:space="preserve"> </w:t>
      </w:r>
      <w:r>
        <w:t xml:space="preserve">The transcendental-pragmatic exposure of the presuppositions, by contrast,</w:t>
      </w:r>
      <w:r>
        <w:t xml:space="preserve"> </w:t>
      </w:r>
      <w:r>
        <w:t xml:space="preserve">‘proves to be the philosophical fundamental-grounding in a nondeductive way insofar as its paradigmatic evidence is precisely of that kind which can neither be called into question by criticism without self-contradiction nor be grounded deductively without presupposing itself’</w:t>
      </w:r>
      <w:r>
        <w:t xml:space="preserve">.</w:t>
      </w:r>
      <w:r>
        <w:rPr>
          <w:rStyle w:val="FootnoteReference"/>
        </w:rPr>
        <w:footnoteReference w:id="125"/>
      </w:r>
      <w:r>
        <w:t xml:space="preserve"> </w:t>
      </w:r>
      <w:r>
        <w:t xml:space="preserve">The critique of deduction as a form of grounding is therefore Apel’s, directed against formal-logical systems of grounding and not against Habermas.</w:t>
      </w:r>
    </w:p>
    <w:p>
      <w:pPr>
        <w:pStyle w:val="BodyText"/>
      </w:pPr>
      <w:r>
        <w:t xml:space="preserve">The consequence for the derivation question is determinate. That (U) has not been deduced from the presuppositions is no finding about the presuppositions, since a presupposition of that kind is not, under the abstraction a deduction of sentences from sentences requires, the sort of premise from which such a deduction takes its warrant. A valid inference transmits the standing its premises already have; a derivation therefore grounds its conclusion only so far as that standing has been secured elsewhere, and the question of the standing is prior to the derivation in the order of grounding. Finlayson himself separates</w:t>
      </w:r>
      <w:r>
        <w:t xml:space="preserve"> </w:t>
      </w:r>
      <w:r>
        <w:t xml:space="preserve">‘the broader question of the justification of (U)’</w:t>
      </w:r>
      <w:r>
        <w:t xml:space="preserve"> </w:t>
      </w:r>
      <w:r>
        <w:t xml:space="preserve">from</w:t>
      </w:r>
      <w:r>
        <w:t xml:space="preserve"> </w:t>
      </w:r>
      <w:r>
        <w:t xml:space="preserve">‘the narrower question of the formal-logical derivation of (U)’</w:t>
      </w:r>
      <w:r>
        <w:t xml:space="preserve">, and grants for the sake of argument a satisfactory justification of his first premise.</w:t>
      </w:r>
      <w:r>
        <w:rPr>
          <w:rStyle w:val="FootnoteReference"/>
        </w:rPr>
        <w:footnoteReference w:id="126"/>
      </w:r>
      <w:r>
        <w:t xml:space="preserve"> </w:t>
      </w:r>
      <w:r>
        <w:t xml:space="preserve">What is added here is that the standing of the presuppositions is prior to both questions, and that it is decided, if at all, at the level §3.3.1–§3.3.2 occupy and not at the level of moral theory.</w:t>
      </w:r>
    </w:p>
    <w:p>
      <w:pPr>
        <w:pStyle w:val="BodyText"/>
      </w:pPr>
      <w:r>
        <w:t xml:space="preserve">The independence runs in both directions. Were a valid derivation of (U) produced, counterfactually on Finlayson’s argument, the pre-moral question would remain untouched, since it concerns not the passage from the presuppositions to a moral principle but the constitution of the presuppositions as validity-conferring, which any such derivation would already presuppose in order to count as an argument. Conversely, the derivation might fail for reasons having nothing to do with the constitution of validity, and its failure would not establish the pre-moral thesis. There is nonetheless a relation of another kind. Habermas holds that the moral</w:t>
      </w:r>
      <w:r>
        <w:t xml:space="preserve"> </w:t>
      </w:r>
      <w:r>
        <w:t xml:space="preserve">‘ought’</w:t>
      </w:r>
      <w:r>
        <w:t xml:space="preserve"> </w:t>
      </w:r>
      <w:r>
        <w:t xml:space="preserve">is not to be had from the presuppositions of discourse and must be imported from the lifeworld; once it must be imported, its principle must be recovered from the historical materials into which it was imported, which is what the genealogical supplement supplies and the abductive proposal requires. Finlayson reads the abductive turn as a retreat; this chapter reads it as a consequence of the architecture. Two disciplinary points bound what is claimed. The chapter does not claim to have solved the derivation problem or to have superseded Finlayson’s result, which brackets the standing of the presuppositions as not in dispute between him and Habermas. And it keeps apart the three justifications which the literature runs together, Apel’s ultimate grounding by strict reflection, Habermas’s formal derivation of 1983, and the abductive proposal of 1996: an objection which defeats one does not thereby defeat the others, since they differ in their premises and in the modality each claims.</w:t>
      </w:r>
    </w:p>
    <w:bookmarkEnd w:id="127"/>
    <w:bookmarkStart w:id="135" w:name="Xe36da9dc8ecbbd03011beb49d694fb302fc063f"/>
    <w:p>
      <w:pPr>
        <w:pStyle w:val="Heading3"/>
      </w:pPr>
      <w:r>
        <w:t xml:space="preserve">§3.3.6 · The scope of the</w:t>
      </w:r>
      <w:r>
        <w:t xml:space="preserve"> </w:t>
      </w:r>
      <w:r>
        <w:rPr>
          <w:i/>
          <w:iCs/>
        </w:rPr>
        <w:t xml:space="preserve">Aufweis</w:t>
      </w:r>
      <w:r>
        <w:t xml:space="preserve">: first stage and second stage</w:t>
      </w:r>
    </w:p>
    <w:p>
      <w:pPr>
        <w:pStyle w:val="FirstParagraph"/>
      </w:pPr>
      <w:r>
        <w:t xml:space="preserve">The chapter’s position on what the</w:t>
      </w:r>
      <w:r>
        <w:t xml:space="preserve"> </w:t>
      </w:r>
      <w:r>
        <w:rPr>
          <w:i/>
          <w:iCs/>
        </w:rPr>
        <w:t xml:space="preserve">elenchos</w:t>
      </w:r>
      <w:r>
        <w:t xml:space="preserve"> </w:t>
      </w:r>
      <w:r>
        <w:t xml:space="preserve">reaches converts the dispute from a quarrel about strength into a question of scope. The term of art is</w:t>
      </w:r>
      <w:r>
        <w:t xml:space="preserve"> </w:t>
      </w:r>
      <w:r>
        <w:rPr>
          <w:i/>
          <w:iCs/>
        </w:rPr>
        <w:t xml:space="preserve">Aufweis</w:t>
      </w:r>
      <w:r>
        <w:t xml:space="preserve">, an exhibition rather than a proof: a showing of what an act has already put into effect, as against a derivation of a conclusion from premises. The first stage is that no determinate signification is possible except under conditions which the denier enacts in denying; this the</w:t>
      </w:r>
      <w:r>
        <w:t xml:space="preserve"> </w:t>
      </w:r>
      <w:r>
        <w:rPr>
          <w:i/>
          <w:iCs/>
        </w:rPr>
        <w:t xml:space="preserve">elenchos</w:t>
      </w:r>
      <w:r>
        <w:t xml:space="preserve"> </w:t>
      </w:r>
      <w:r>
        <w:t xml:space="preserve">secures, subject to the retorsion of §3.3.2 and its declared limits. The second stage is that those conditions include the specific reciprocal norms the rules of discourse articulate, symmetry, equal entitlement and non-coercion, rather than some thinner requirement of assessability.</w:t>
      </w:r>
      <w:r>
        <w:rPr>
          <w:rStyle w:val="FootnoteReference"/>
        </w:rPr>
        <w:footnoteReference w:id="128"/>
      </w:r>
      <w:r>
        <w:t xml:space="preserve"> </w:t>
      </w:r>
      <w:r>
        <w:t xml:space="preserve">This the</w:t>
      </w:r>
      <w:r>
        <w:t xml:space="preserve"> </w:t>
      </w:r>
      <w:r>
        <w:rPr>
          <w:i/>
          <w:iCs/>
        </w:rPr>
        <w:t xml:space="preserve">elenchos</w:t>
      </w:r>
      <w:r>
        <w:t xml:space="preserve"> </w:t>
      </w:r>
      <w:r>
        <w:t xml:space="preserve">does not secure, and the second stage is not an extension of the first but a distinct thesis with its own burden of proof. A terminological guard is needed: Apel describes discourse ethics as a</w:t>
      </w:r>
      <w:r>
        <w:t xml:space="preserve"> </w:t>
      </w:r>
      <w:r>
        <w:rPr>
          <w:i/>
          <w:iCs/>
        </w:rPr>
        <w:t xml:space="preserve">Zwei-Stufen-Ethik</w:t>
      </w:r>
      <w:r>
        <w:t xml:space="preserve">, its first stage the philosophically grounded formal-procedural principle and its second the delegation of substantive norm-justification to practical discourses.</w:t>
      </w:r>
      <w:r>
        <w:rPr>
          <w:rStyle w:val="FootnoteReference"/>
        </w:rPr>
        <w:footnoteReference w:id="129"/>
      </w:r>
      <w:r>
        <w:t xml:space="preserve"> </w:t>
      </w:r>
      <w:r>
        <w:t xml:space="preserve">His two stages and the two distinguished here are homonyms; his second begins where grounding ends, whereas the second here lies inside the question of what the grounding reaches.</w:t>
      </w:r>
    </w:p>
    <w:p>
      <w:pPr>
        <w:pStyle w:val="BodyText"/>
      </w:pPr>
      <w:r>
        <w:t xml:space="preserve">The verdict is on what the Aristotelian base delivers, a base pitched at signification, and not on Apel’s own route. His</w:t>
      </w:r>
      <w:r>
        <w:t xml:space="preserve"> </w:t>
      </w:r>
      <w:r>
        <w:rPr>
          <w:i/>
          <w:iCs/>
        </w:rPr>
        <w:t xml:space="preserve">Aufweis</w:t>
      </w:r>
      <w:r>
        <w:t xml:space="preserve"> </w:t>
      </w:r>
      <w:r>
        <w:t xml:space="preserve">proceeds from serious argumentation and claims the norms directly. Among the normative conditions of argumentative discourse in general, he holds,</w:t>
      </w:r>
      <w:r>
        <w:t xml:space="preserve"> </w:t>
      </w:r>
      <w:r>
        <w:t xml:space="preserve">‘there are also the transcendental, and hence a priori valid, principles of discourse ethics’</w:t>
      </w:r>
      <w:r>
        <w:t xml:space="preserve">, and the first of them is that</w:t>
      </w:r>
      <w:r>
        <w:t xml:space="preserve"> </w:t>
      </w:r>
      <w:r>
        <w:t xml:space="preserve">‘All possible discourse partners must acknowledge each other as having equal rights in representing their interests by arguments’</w:t>
      </w:r>
      <w:r>
        <w:t xml:space="preserve">; the second, declared co-original with it, is equal co-responsibility for identifying and solving the problems of the lifeworld through argumentative discourse.</w:t>
      </w:r>
      <w:r>
        <w:rPr>
          <w:rStyle w:val="FootnoteReference"/>
        </w:rPr>
        <w:footnoteReference w:id="130"/>
      </w:r>
      <w:r>
        <w:t xml:space="preserve"> </w:t>
      </w:r>
      <w:r>
        <w:t xml:space="preserve">He also states the criterion the claim must satisfy:</w:t>
      </w:r>
      <w:r>
        <w:t xml:space="preserve"> </w:t>
      </w:r>
      <w:r>
        <w:t xml:space="preserve">‘Letztlich muß sich erweisen lassen, daß jeder Versuch einer Bestreitung der angedeuteten Regel-Präsuppositionen notwendigerweise in einen performativen Selbstwiderspruch des Bestreiters führt’</w:t>
      </w:r>
      <w:r>
        <w:t xml:space="preserve">.</w:t>
      </w:r>
      <w:r>
        <w:rPr>
          <w:rStyle w:val="FootnoteReference"/>
        </w:rPr>
        <w:footnoteReference w:id="131"/>
      </w:r>
      <w:r>
        <w:t xml:space="preserve"> </w:t>
      </w:r>
      <w:r>
        <w:t xml:space="preserve">The test can be run at once.</w:t>
      </w:r>
    </w:p>
    <w:p>
      <w:pPr>
        <w:pStyle w:val="BodyText"/>
      </w:pPr>
      <w:r>
        <w:t xml:space="preserve">Run on the denial made within discourse, it succeeds on the strong construal. A participant who asserts to his interlocutors that they lack equal entitlement to assess what he says solicits, in asserting it, an assessment he simultaneously declares them unentitled to render, and the withdrawal is performative and not a contradiction between propositions. On the minimal construal, on which assertion solicits understanding and not assessment, the test does not bite. Where the test stops is at the constitution of the class. It catches the contester who, arguing with given interlocutors, denies their entitlement; it does not catch one who restricts admission, maintaining of some third party that no argument need be had with him, since the restricter performs no speech act towards the excluded and a performative test has no performance on which to operate. Apel’s formulations quantify over</w:t>
      </w:r>
      <w:r>
        <w:t xml:space="preserve"> </w:t>
      </w:r>
      <w:r>
        <w:t xml:space="preserve">‘all possible discourse partners’</w:t>
      </w:r>
      <w:r>
        <w:t xml:space="preserve">, and it is at that quantifier that the result stops: what the enactment secures is entitlement towards whomever one argues with, and that the class of possible partners is closed under something stronger than actual address is a further claim. Apel marks a boundary of the same kind at an adjacent joint, conceding that his refutation of the sceptic</w:t>
      </w:r>
      <w:r>
        <w:t xml:space="preserve"> </w:t>
      </w:r>
      <w:r>
        <w:t xml:space="preserve">‘has only — indeed — shown that the a priori presupposition of argumentative discourse in philosophy is non-circumventible’</w:t>
      </w:r>
      <w:r>
        <w:t xml:space="preserve">, and that this insight</w:t>
      </w:r>
      <w:r>
        <w:t xml:space="preserve"> </w:t>
      </w:r>
      <w:r>
        <w:t xml:space="preserve">‘does not show that the paradigm of a discursive settlement of moral problems can be always applied to the life world’</w:t>
      </w:r>
      <w:r>
        <w:t xml:space="preserve">.</w:t>
      </w:r>
      <w:r>
        <w:rPr>
          <w:rStyle w:val="FootnoteReference"/>
        </w:rPr>
        <w:footnoteReference w:id="132"/>
      </w:r>
    </w:p>
    <w:p>
      <w:pPr>
        <w:pStyle w:val="BodyText"/>
      </w:pPr>
      <w:r>
        <w:t xml:space="preserve">The co-responsibility so secured must be classified before it is used. A requirement is moral without qualification only if it binds the agent as such, and not solely the occupant of a role the agent may decline. Within argumentative discourse the requirement is categorical in form, borne by the participant as participant and not on a revisable preference, so that Kettner’s practice of calling the discourse-constitutive responsibilities moral marks something real; it becomes moral in scope only if occupancy of the participant role is itself unavoidable in the required sense, which is the second stage.</w:t>
      </w:r>
      <w:r>
        <w:rPr>
          <w:rStyle w:val="FootnoteReference"/>
        </w:rPr>
        <w:footnoteReference w:id="133"/>
      </w:r>
      <w:r>
        <w:t xml:space="preserve"> </w:t>
      </w:r>
      <w:r>
        <w:t xml:space="preserve">It is in either case no instance of (U)’s requirement that norms be universalisable, which no part of the second stage asserts.</w:t>
      </w:r>
    </w:p>
    <w:p>
      <w:pPr>
        <w:pStyle w:val="BodyText"/>
      </w:pPr>
      <w:r>
        <w:t xml:space="preserve">Read as a quarrel about strength, Apel claiming more necessity and Habermas less, the dispute is irresoluble, because the two boundaries in play are not drawn on one axis. Apel’s boundary runs between grounding and application, placing the presuppositions and the moral principle on the apodictic side and the justification of situational norms on the corrigible side; the boundary drawn in these chapters runs between enactment and articulation and sorts by kind. A concession of extent by either party therefore leaves the disagreement where it stood. Both parties concede the phenomenon, that whoever argues stands under presuppositions he cannot coherently deny; what divides them is what a propositional articulation of the phenomenon can carry, and the strength-framing obscures that question, inviting only assertion and counter-assertion. Read as a quarrel about scope, it becomes a question with a determinate burden on each side. Apel must show that the conditions of determinate signification include reciprocal assessability in the rich sense, that to signify to another is already to address an assessor entitled to symmetrical standing. His burden falls into two steps: a quantificational step, that no specification of intelligibility adequate to individuate a content can be given without ranging over possible assessors; and an entitlement step, that the assessor position cannot be specified without entitlement. Quantification over an assessor is necessary for the rich condition and not sufficient, and the weight falls on the second step, which Γ.4 does not supply. The demonstration belongs to the theory of meaning and not to moral theory, which is one reason the dispute has proved intractable in the venue it has occupied. Habermas’s burden is of the opposite logical shape, existential where Apel’s is universal: it would be discharged by the exhibition of a practice, actual or coherently describable, in which determinate content is individuated and assessed without symmetry, equal entitlement and non-coercion. Hierarchical and coercive practices of signification suggest themselves, but a candidate must survive the argument of Chapter One §1.4.1, that a coercive or deceptive use is parasitic on the serious use it counterfeits. That argument forecloses the easy candidate, a coercive practice offered as though it owed nothing to the infrastructure it exploits, and leaves open whether the infrastructure so presupposed contains the full reciprocal package or stops at bare intelligibility.</w:t>
      </w:r>
    </w:p>
    <w:p>
      <w:pPr>
        <w:pStyle w:val="BodyText"/>
      </w:pPr>
      <w:r>
        <w:t xml:space="preserve">The objection that the reformulation defers rather than advances is the one on which the principal result of the chapter stands or falls: a dispute relabelled is not a dispute settled. The reply turns on one distinction. A question is underdetermined when its framing generates nothing on which an argument could bear; it is undecided when an argument of specified form and identified subject-matter could bear on it and has not yet been brought. The strength-framing was underdetermined. The scope-framing is undecided: Apel’s burden falls to a result in the theory of meaning and Habermas’s to the exhibition of a case, each an argument someone could set about constructing, and Apel’s direct route has already been brought to a first test whose divided result shows what deciding looks like once it is begun. Two consequences follow, and Chapter Four inherits both. Apel is right that the first stage is secured, within the limits §3.3.2 declared, and that within discourse equal standing as assessor is secured for participants among themselves. Habermas is right that the second stage is not thereby secured, and right for a reason his own texts supply, since the minimal construal of the claim to intelligibility is a live alternative which the strong reading argues against but does not defeat. Neither is right that the disagreement concerns how strongly the presuppositions bind. It concerns how far the exhibition reaches, and the open question is not whether the norms bind those who argue, since they do, but with whom argument must be had, and in what modality that</w:t>
      </w:r>
      <w:r>
        <w:t xml:space="preserve"> </w:t>
      </w:r>
      <w:r>
        <w:t xml:space="preserve">‘must’</w:t>
      </w:r>
      <w:r>
        <w:t xml:space="preserve"> </w:t>
      </w:r>
      <w:r>
        <w:t xml:space="preserve">holds.</w:t>
      </w:r>
    </w:p>
    <w:p>
      <w:pPr>
        <w:pStyle w:val="BodyText"/>
      </w:pPr>
      <w:r>
        <w:t xml:space="preserve">A final consequence passes to Chapter Four. So long as the second stage is neither secured nor refuted, the deficit in the practical form Chapter Four gives it, which rests on the availability of an exit from discourse, tells against Habermas’s architecture and is not a neutral datum. Apel denies the exit by asserting the second stage, and his statement is scoped to the questioner: whoever enters the ground of discourse with a serious question</w:t>
      </w:r>
      <w:r>
        <w:t xml:space="preserve"> </w:t>
      </w:r>
      <w:r>
        <w:t xml:space="preserve">‘unterstellt nicht nur automatisch die Gleichberechtigung aller virtuellen Diskurspartner, sondern auch so etwas wie eine Solidarität der Problemlösungsverantwortung’</w:t>
      </w:r>
      <w:r>
        <w:t xml:space="preserve">.</w:t>
      </w:r>
      <w:r>
        <w:rPr>
          <w:rStyle w:val="FootnoteReference"/>
        </w:rPr>
        <w:footnoteReference w:id="134"/>
      </w:r>
      <w:r>
        <w:t xml:space="preserve"> </w:t>
      </w:r>
      <w:r>
        <w:t xml:space="preserve">Extending the scope from the questioner to the agent as such is what the dropout question turns on, the dropout escaping or being held according as the extension stands or falls. Whether the deficit is a feature of the framework or of the human situation therefore turns on the second-stage question, which is declared open here and not left open by inadvertence.</w:t>
      </w:r>
      <w:r>
        <w:t xml:space="preserve"> </w:t>
      </w:r>
      <w:r>
        <w:t xml:space="preserve">## §3.4 · The Aporia of the Meaning of Truth</w:t>
      </w:r>
    </w:p>
    <w:p>
      <w:pPr>
        <w:pStyle w:val="BodyText"/>
      </w:pPr>
      <w:r>
        <w:t xml:space="preserve">Two routes to the governing aporia of the thesis terminate in this section. The route through the concept of truth was opened in Chapter One, where the question of validity is generated (§1.2.2), and narrowed at §1.5.6; the modal route, through the status of the presuppositions, was opened at Chapter Two §2.1.4 and grounded in §3.2. The office of this section in the thesis exceeds its office in the chapter, and it must be stated first. The three constitutive commitments of reconstructive science, reconstructivism, immanence and fallibilism, generate a tension which none of them may be surrendered to relieve. Habermas navigates it by drawing on what he calls a transcendence from within, a phrase he predicates of the unconditional moment in validity claims; its extension to philosophy’s own procedure is not his. The navigation raises one question: by what title, and within what limits, may philosophy operate as critical self-reflection on the practice in which it is itself conducted? That question is the inherited question of irrefutability, and it is prior to any dispute over the derivation of a moral principle. The place at which it becomes visible as a threat rather than a limitation is the aporia of the meaning of truth.</w:t>
      </w:r>
    </w:p>
    <w:bookmarkEnd w:id="135"/>
    <w:bookmarkStart w:id="136" w:name="an-avowal-and-a-limitation"/>
    <w:p>
      <w:pPr>
        <w:pStyle w:val="Heading3"/>
      </w:pPr>
      <w:r>
        <w:t xml:space="preserve">§3.4.1 · An avowal and a limitation</w:t>
      </w:r>
    </w:p>
    <w:p>
      <w:pPr>
        <w:pStyle w:val="FirstParagraph"/>
      </w:pPr>
      <w:r>
        <w:t xml:space="preserve">Two things about the standing of the argument which reaches this point are the conditions under which it is advanced. The first is an avowal. The reading the chapter has offered is an Apelian reading of Habermas, and it is entered as such rather than presented as a neutral adjudication. It takes over Apel’s strong construal of the claim to intelligibility, his reflexive concept of grounding, and his conviction that the presuppositions of argumentation are the prior question, and it reaches its conclusions because it takes these over. The negative claim of this section holds only for one who accepts those premises. What is claimed for the premises is that they are argued rather than assumed, the intelligibility transit at §3.3.2 and the concept of grounding at §3.1.3, and that where they remain contestable the contest has been recorded.</w:t>
      </w:r>
    </w:p>
    <w:p>
      <w:pPr>
        <w:pStyle w:val="BodyText"/>
      </w:pPr>
      <w:r>
        <w:t xml:space="preserve">The second is a limitation, the counterpart of the avowal. The reading’s being Apelian does not make it a vindication of</w:t>
      </w:r>
      <w:r>
        <w:t xml:space="preserve"> </w:t>
      </w:r>
      <w:r>
        <w:rPr>
          <w:i/>
          <w:iCs/>
        </w:rPr>
        <w:t xml:space="preserve">Letztbegründung</w:t>
      </w:r>
      <w:r>
        <w:t xml:space="preserve">. What the chapter establishes, for one who grants the avowed premises, is that weak transcendentalism cannot answer the prior question: an unavoidability indexed, as §3.2.4 finds Habermas’s to be, to the forms of life so far known is on the argument of §3.3.2 relative to the forms of life over which it quantifies, and a self-reflexive philosophy whose authority rested on it would have its authority relativised in the same measure. It does not establish that Apel’s apodictic answer succeeds, which §3.3.3 has declined. The result is a determinate negative claim together with a determinate question left open.</w:t>
      </w:r>
    </w:p>
    <w:bookmarkEnd w:id="136"/>
    <w:bookmarkStart w:id="144" w:name="the-two-desiderata-and-the-janus-face"/>
    <w:p>
      <w:pPr>
        <w:pStyle w:val="Heading3"/>
      </w:pPr>
      <w:r>
        <w:t xml:space="preserve">§3.4.2 · The two desiderata and the Janus face</w:t>
      </w:r>
    </w:p>
    <w:p>
      <w:pPr>
        <w:pStyle w:val="FirstParagraph"/>
      </w:pPr>
      <w:r>
        <w:t xml:space="preserve">The retraction of the epistemic conception of truth is established at Chapter One §1.5.6 and is invoked here. Habermas credits it to</w:t>
      </w:r>
      <w:r>
        <w:t xml:space="preserve"> </w:t>
      </w:r>
      <w:r>
        <w:t xml:space="preserve">‘discussions with Albrecht Wellmer and Cristina Lafont’</w:t>
      </w:r>
      <w:r>
        <w:t xml:space="preserve">, which convinced him that the internal connection between truth and justification</w:t>
      </w:r>
      <w:r>
        <w:t xml:space="preserve"> </w:t>
      </w:r>
      <w:r>
        <w:t xml:space="preserve">‘does not amount to a conceptual connection between truth and rational assertibility under ideal conditions. Otherwise we could not take truth to be a property of propositions that they</w:t>
      </w:r>
      <w:r>
        <w:t xml:space="preserve"> </w:t>
      </w:r>
      <w:r>
        <w:t xml:space="preserve">“cannot lose.”</w:t>
      </w:r>
      <w:r>
        <w:t xml:space="preserve">’</w:t>
      </w:r>
      <w:r>
        <w:rPr>
          <w:rStyle w:val="FootnoteReference"/>
        </w:rPr>
        <w:footnoteReference w:id="137"/>
      </w:r>
      <w:r>
        <w:t xml:space="preserve"> </w:t>
      </w:r>
      <w:r>
        <w:t xml:space="preserve">The mature account must therefore satisfy two requirements. Truth must remain internally connected to justification, since a claim’s content is fixed by what its discursive redemption would require, and a truth wholly severed from those conditions would be a truth of which nothing determinate could be said. Truth must nevertheless transcend justification, since without a justification-transcendent point of reference the difference between the best-justified consensus and the truth cannot be marked, and with that difference goes the fallibilism on which the reconstructive programme rests. An account which secures the first at the expense of the second is the consensus theory Habermas retracted; an account which secures the second at the expense of the first is the correspondence theory his post-metaphysical commitment forbids. The mature position is the attempt to occupy the interval.</w:t>
      </w:r>
    </w:p>
    <w:p>
      <w:pPr>
        <w:pStyle w:val="BodyText"/>
      </w:pPr>
      <w:r>
        <w:t xml:space="preserve">Habermas’s proposal for occupying it has two levels. The orientation towards truth,</w:t>
      </w:r>
      <w:r>
        <w:t xml:space="preserve"> </w:t>
      </w:r>
      <w:r>
        <w:t xml:space="preserve">‘as a property that a proposition</w:t>
      </w:r>
      <w:r>
        <w:t xml:space="preserve"> </w:t>
      </w:r>
      <w:r>
        <w:t xml:space="preserve">“cannot lose”</w:t>
      </w:r>
      <w:r>
        <w:t xml:space="preserve">’</w:t>
      </w:r>
      <w:r>
        <w:t xml:space="preserve">,</w:t>
      </w:r>
      <w:r>
        <w:t xml:space="preserve"> </w:t>
      </w:r>
      <w:r>
        <w:t xml:space="preserve">‘acquires an indispensable regulative function for fallible processes of justification precisely if such processes can at best lead to decisions about the rational acceptability of propositions and not their truth’</w:t>
      </w:r>
      <w:r>
        <w:t xml:space="preserve">.</w:t>
      </w:r>
      <w:r>
        <w:rPr>
          <w:rStyle w:val="FootnoteReference"/>
        </w:rPr>
        <w:footnoteReference w:id="138"/>
      </w:r>
      <w:r>
        <w:t xml:space="preserve"> </w:t>
      </w:r>
      <w:r>
        <w:t xml:space="preserve">That orientation is not housed in discourse. The nonepistemic concept of truth,</w:t>
      </w:r>
      <w:r>
        <w:t xml:space="preserve"> </w:t>
      </w:r>
      <w:r>
        <w:t xml:space="preserve">‘which manifests itself only operatively, that is, unthematically, in action, provides a justification-transcendent point of reference for discursively thematized truth claims’</w:t>
      </w:r>
      <w:r>
        <w:t xml:space="preserve">; the lifeworld</w:t>
      </w:r>
      <w:r>
        <w:t xml:space="preserve"> </w:t>
      </w:r>
      <w:r>
        <w:t xml:space="preserve">‘furnishes a justification-transcendent standard for orienting ourselves by context-independent truth claims—a standard that is always already presupposed in action’</w:t>
      </w:r>
      <w:r>
        <w:t xml:space="preserve">; and the gap between justification and truth, which</w:t>
      </w:r>
      <w:r>
        <w:t xml:space="preserve"> </w:t>
      </w:r>
      <w:r>
        <w:t xml:space="preserve">‘cannot be closed definitively within discourse’</w:t>
      </w:r>
      <w:r>
        <w:t xml:space="preserve">,</w:t>
      </w:r>
      <w:r>
        <w:t xml:space="preserve"> </w:t>
      </w:r>
      <w:r>
        <w:t xml:space="preserve">‘can be closed pragmatically by a rationally motivated transition from discourse to action’</w:t>
      </w:r>
      <w:r>
        <w:t xml:space="preserve">.</w:t>
      </w:r>
      <w:r>
        <w:rPr>
          <w:rStyle w:val="FootnoteReference"/>
        </w:rPr>
        <w:footnoteReference w:id="139"/>
      </w:r>
      <w:r>
        <w:t xml:space="preserve"> </w:t>
      </w:r>
      <w:r>
        <w:t xml:space="preserve">The discursive conception is to be complemented by a pragmatic one if it is</w:t>
      </w:r>
      <w:r>
        <w:t xml:space="preserve"> </w:t>
      </w:r>
      <w:r>
        <w:t xml:space="preserve">‘to do justice to the weak ontological connotations that we associate with the</w:t>
      </w:r>
      <w:r>
        <w:t xml:space="preserve"> </w:t>
      </w:r>
      <w:r>
        <w:t xml:space="preserve">“grasping of facts”</w:t>
      </w:r>
      <w:r>
        <w:t xml:space="preserve">’</w:t>
      </w:r>
      <w:r>
        <w:t xml:space="preserve">, and this reading</w:t>
      </w:r>
      <w:r>
        <w:t xml:space="preserve"> </w:t>
      </w:r>
      <w:r>
        <w:t xml:space="preserve">‘salvages the moment of unconditionality’</w:t>
      </w:r>
      <w:r>
        <w:t xml:space="preserve">.</w:t>
      </w:r>
      <w:r>
        <w:rPr>
          <w:rStyle w:val="FootnoteReference"/>
        </w:rPr>
        <w:footnoteReference w:id="140"/>
      </w:r>
      <w:r>
        <w:t xml:space="preserve"> </w:t>
      </w:r>
      <w:r>
        <w:t xml:space="preserve">The two-sided concept is what Habermas calls</w:t>
      </w:r>
      <w:r>
        <w:t xml:space="preserve"> </w:t>
      </w:r>
      <w:r>
        <w:t xml:space="preserve">‘a Janus-faced everyday concept of truth that mediates between lifeworld and discourse’</w:t>
      </w:r>
      <w:r>
        <w:t xml:space="preserve">.</w:t>
      </w:r>
      <w:r>
        <w:rPr>
          <w:rStyle w:val="FootnoteReference"/>
        </w:rPr>
        <w:footnoteReference w:id="141"/>
      </w:r>
    </w:p>
    <w:p>
      <w:pPr>
        <w:pStyle w:val="BodyText"/>
      </w:pPr>
      <w:r>
        <w:t xml:space="preserve">That discourse cannot supply its own transcendence is therefore not an objection to Habermas; it is his premise, and the two-level architecture is built on it. What is pressed here is narrower. The two desiderata are secured in different registers and by operations of different kinds: the tether to justification is fixed discursively, the outrunning is borne operatively, in the certainties of a practice which is not itself an assertion and whose standing as a whole no act of the practice calls to account, however many of its certainties are thematised singly. The transcendence is real, but it is borne and not established; and a theory which needs the difference between an ideally justified consensus and the truth must then take that difference on the practice’s word. Habermas states the cost himself: the transcending relation</w:t>
      </w:r>
      <w:r>
        <w:t xml:space="preserve"> </w:t>
      </w:r>
      <w:r>
        <w:t xml:space="preserve">‘guarantees the difference between truth and rational acceptability, but puts the participants in discourse in a paradoxical position’</w:t>
      </w:r>
      <w:r>
        <w:t xml:space="preserve">, since a truth claim can be made good by reasons alone while every reason stands under the reservation of fallibility.</w:t>
      </w:r>
      <w:r>
        <w:rPr>
          <w:rStyle w:val="FootnoteReference"/>
        </w:rPr>
        <w:footnoteReference w:id="142"/>
      </w:r>
    </w:p>
    <w:p>
      <w:pPr>
        <w:pStyle w:val="BodyText"/>
      </w:pPr>
      <w:r>
        <w:t xml:space="preserve">The counterpart on the side of rightness is a doctrine of the mature position and not an artefact of exposition.</w:t>
      </w:r>
      <w:r>
        <w:t xml:space="preserve"> </w:t>
      </w:r>
      <w:r>
        <w:t xml:space="preserve">‘Truth’</w:t>
      </w:r>
      <w:r>
        <w:t xml:space="preserve"> </w:t>
      </w:r>
      <w:r>
        <w:t xml:space="preserve">is</w:t>
      </w:r>
      <w:r>
        <w:t xml:space="preserve"> </w:t>
      </w:r>
      <w:r>
        <w:t xml:space="preserve">‘a justification-transcendent concept that cannot be made to coincide even with the concept of ideal warranted assertibility’</w:t>
      </w:r>
      <w:r>
        <w:t xml:space="preserve">, whereas</w:t>
      </w:r>
      <w:r>
        <w:t xml:space="preserve"> </w:t>
      </w:r>
      <w:r>
        <w:t xml:space="preserve">‘the meaning of</w:t>
      </w:r>
      <w:r>
        <w:t xml:space="preserve"> </w:t>
      </w:r>
      <w:r>
        <w:t xml:space="preserve">“rightness”</w:t>
      </w:r>
      <w:r>
        <w:t xml:space="preserve"> </w:t>
      </w:r>
      <w:r>
        <w:t xml:space="preserve">consists entirely in ideal warranted acceptability’</w:t>
      </w:r>
      <w:r>
        <w:t xml:space="preserve">. The qualification Habermas enters on the same page must be carried with it: the construction of a world of well-ordered interpersonal relationships</w:t>
      </w:r>
      <w:r>
        <w:t xml:space="preserve"> </w:t>
      </w:r>
      <w:r>
        <w:t xml:space="preserve">‘is subject to constraints that are not at our disposal; otherwise we could not talk about moral insight’</w:t>
      </w:r>
      <w:r>
        <w:t xml:space="preserve">, and</w:t>
      </w:r>
      <w:r>
        <w:t xml:space="preserve"> </w:t>
      </w:r>
      <w:r>
        <w:t xml:space="preserve">‘the absence of ontological connotations must not impair the claim to universal or unconditional validity’</w:t>
      </w:r>
      <w:r>
        <w:t xml:space="preserve">.</w:t>
      </w:r>
      <w:r>
        <w:rPr>
          <w:rStyle w:val="FootnoteReference"/>
        </w:rPr>
        <w:footnoteReference w:id="143"/>
      </w:r>
      <w:r>
        <w:t xml:space="preserve"> </w:t>
      </w:r>
      <w:r>
        <w:t xml:space="preserve">The measure therefore bifurcates. On the side of truth the cautionary use survives: a claim justified under the best available conditions may nonetheless be false, and the reservation is intelligible because there is something, the obtaining of the state of affairs, for the justified claim to fail of. On the side of rightness the reservation has no purchase, since there is nothing for an ideally accepted norm to fail to correspond to.</w:t>
      </w:r>
    </w:p>
    <w:bookmarkEnd w:id="144"/>
    <w:bookmarkStart w:id="151" w:name="X75c4fd1f770d8186e388dbf4e8ce6d9d1c47f4f"/>
    <w:p>
      <w:pPr>
        <w:pStyle w:val="Heading3"/>
      </w:pPr>
      <w:r>
        <w:t xml:space="preserve">§3.4.3 · Why the aporia is the modal fracture in another register</w:t>
      </w:r>
    </w:p>
    <w:p>
      <w:pPr>
        <w:pStyle w:val="FirstParagraph"/>
      </w:pPr>
      <w:r>
        <w:t xml:space="preserve">The justification-transcendence Habermas requires for truth is carried by the unconditional orientation built into the act of raising a claim and borne by the certainties of a form of life. Those certainties are placed here in the same modal position as the presuppositions §3.2.4 graded: the indexing Habermas enters for the practice of argumentation is carried over to them by this chapter and not by him, on the ground that a certainty sustained by a form of life is indexed no more widely than what sustains it. A transcendence borne by what is so indexed cannot be certified, on the account’s own resources, as anything other than form-of-life-relative, which is what the account required it not to be. The aporia is therefore not a local difficulty in the theory of truth but the modal fracture of §3.1 in the epistemological register. Habermas refuses both familiar horns, the wholly epistemic concept and correspondence, and states a third course, one which does justice to</w:t>
      </w:r>
      <w:r>
        <w:t xml:space="preserve"> </w:t>
      </w:r>
      <w:r>
        <w:t xml:space="preserve">‘the realist intuition that there is a world independent of us without representing propositions as corresponding to facts’</w:t>
      </w:r>
      <w:r>
        <w:t xml:space="preserve">.</w:t>
      </w:r>
      <w:r>
        <w:rPr>
          <w:rStyle w:val="FootnoteReference"/>
        </w:rPr>
        <w:footnoteReference w:id="145"/>
      </w:r>
      <w:r>
        <w:t xml:space="preserve"> </w:t>
      </w:r>
      <w:r>
        <w:t xml:space="preserve">The question pressed is not whether a third course has been stated, since the statement is his, but whether what is stated is a third course or the second conducted under a lifeworld description.</w:t>
      </w:r>
    </w:p>
    <w:p>
      <w:pPr>
        <w:pStyle w:val="BodyText"/>
      </w:pPr>
      <w:r>
        <w:t xml:space="preserve">The pressure on the rightness side has its nearest statement in Lafont. On the side of truth her argument reaches the conclusion the mature account adopts; on the side of rightness it is the same argument denied the same satisfaction. If ideal rational acceptability is what constitutes rightness, then either the ideal conditions are construed so strongly that the participants would have to be infallible, which no discourse-theoretic specification of the conditions can deliver, or the procedure</w:t>
      </w:r>
      <w:r>
        <w:t xml:space="preserve"> </w:t>
      </w:r>
      <w:r>
        <w:t xml:space="preserve">‘allows for error’</w:t>
      </w:r>
      <w:r>
        <w:t xml:space="preserve">, in which case</w:t>
      </w:r>
      <w:r>
        <w:t xml:space="preserve"> </w:t>
      </w:r>
      <w:r>
        <w:t xml:space="preserve">‘its results cannot be considered morally right per se’</w:t>
      </w:r>
      <w:r>
        <w:t xml:space="preserve">, and meeting the procedural conditions</w:t>
      </w:r>
      <w:r>
        <w:t xml:space="preserve"> </w:t>
      </w:r>
      <w:r>
        <w:t xml:space="preserve">‘does not constitute what</w:t>
      </w:r>
      <w:r>
        <w:t xml:space="preserve"> </w:t>
      </w:r>
      <w:r>
        <w:t xml:space="preserve">“morally right”</w:t>
      </w:r>
      <w:r>
        <w:t xml:space="preserve"> </w:t>
      </w:r>
      <w:r>
        <w:t xml:space="preserve">means’</w:t>
      </w:r>
      <w:r>
        <w:t xml:space="preserve">.</w:t>
      </w:r>
      <w:r>
        <w:rPr>
          <w:rStyle w:val="FootnoteReference"/>
        </w:rPr>
        <w:footnoteReference w:id="146"/>
      </w:r>
      <w:r>
        <w:t xml:space="preserve"> </w:t>
      </w:r>
      <w:r>
        <w:t xml:space="preserve">The cognitivist vocabulary the framework retains for morality, error, knowledge, learning, presupposes that an ideally formed agreement might nonetheless be mistaken, and that presupposition has no purchase on an account in which ideal acceptance is that in which correctness consists. Habermas retains a reservation for rightness which has the appearance of the one he retains for truth: discourses of application carry</w:t>
      </w:r>
      <w:r>
        <w:t xml:space="preserve"> </w:t>
      </w:r>
      <w:r>
        <w:t xml:space="preserve">‘revisionary force’</w:t>
      </w:r>
      <w:r>
        <w:t xml:space="preserve">, and the supposition</w:t>
      </w:r>
      <w:r>
        <w:t xml:space="preserve"> </w:t>
      </w:r>
      <w:r>
        <w:t xml:space="preserve">‘that every moral question here and now can in principle be given a</w:t>
      </w:r>
      <w:r>
        <w:t xml:space="preserve"> </w:t>
      </w:r>
      <w:r>
        <w:t xml:space="preserve">“single right answer”</w:t>
      </w:r>
      <w:r>
        <w:t xml:space="preserve"> </w:t>
      </w:r>
      <w:r>
        <w:t xml:space="preserve">is risky, to say the least’</w:t>
      </w:r>
      <w:r>
        <w:t xml:space="preserve">.</w:t>
      </w:r>
      <w:r>
        <w:rPr>
          <w:rStyle w:val="FootnoteReference"/>
        </w:rPr>
        <w:footnoteReference w:id="147"/>
      </w:r>
      <w:r>
        <w:t xml:space="preserve"> </w:t>
      </w:r>
      <w:r>
        <w:t xml:space="preserve">What that reservation indexes, however, is the distance of an actual agreement from the ideal, not a possible failure of the ideal agreement. Habermas sees the pressure and names it: given the premise that</w:t>
      </w:r>
      <w:r>
        <w:t xml:space="preserve"> </w:t>
      </w:r>
      <w:r>
        <w:t xml:space="preserve">‘rightness’</w:t>
      </w:r>
      <w:r>
        <w:t xml:space="preserve"> </w:t>
      </w:r>
      <w:r>
        <w:t xml:space="preserve">reduces to</w:t>
      </w:r>
      <w:r>
        <w:t xml:space="preserve"> </w:t>
      </w:r>
      <w:r>
        <w:t xml:space="preserve">‘rational acceptability’</w:t>
      </w:r>
      <w:r>
        <w:t xml:space="preserve">,</w:t>
      </w:r>
      <w:r>
        <w:t xml:space="preserve"> </w:t>
      </w:r>
      <w:r>
        <w:t xml:space="preserve">‘the binary decision, which must be unequivocal, somewhat acquires the character of a posit’</w:t>
      </w:r>
      <w:r>
        <w:t xml:space="preserve">.</w:t>
      </w:r>
      <w:r>
        <w:rPr>
          <w:rStyle w:val="FootnoteReference"/>
        </w:rPr>
        <w:footnoteReference w:id="148"/>
      </w:r>
      <w:r>
        <w:t xml:space="preserve"> </w:t>
      </w:r>
      <w:r>
        <w:t xml:space="preserve">Two pages on in the German he withdraws the idiom, holding that talk of</w:t>
      </w:r>
      <w:r>
        <w:t xml:space="preserve"> </w:t>
      </w:r>
      <w:r>
        <w:rPr>
          <w:i/>
          <w:iCs/>
        </w:rPr>
        <w:t xml:space="preserve">Entschluß</w:t>
      </w:r>
      <w:r>
        <w:t xml:space="preserve"> </w:t>
      </w:r>
      <w:r>
        <w:t xml:space="preserve">and</w:t>
      </w:r>
      <w:r>
        <w:t xml:space="preserve"> </w:t>
      </w:r>
      <w:r>
        <w:rPr>
          <w:i/>
          <w:iCs/>
        </w:rPr>
        <w:t xml:space="preserve">Festsetzung</w:t>
      </w:r>
      <w:r>
        <w:t xml:space="preserve"> </w:t>
      </w:r>
      <w:r>
        <w:t xml:space="preserve">‘weist in die falsche Richtung’</w:t>
      </w:r>
      <w:r>
        <w:t xml:space="preserve">, since the sceptical exit from the language game of justified moral expectations exists only in philosophical reflection and not in practice.</w:t>
      </w:r>
      <w:r>
        <w:rPr>
          <w:rStyle w:val="FootnoteReference"/>
        </w:rPr>
        <w:footnoteReference w:id="149"/>
      </w:r>
      <w:r>
        <w:t xml:space="preserve"> </w:t>
      </w:r>
      <w:r>
        <w:t xml:space="preserve">The withdrawal removes the suggestion of an arbitrary act and leaves the reduction where it was.</w:t>
      </w:r>
    </w:p>
    <w:p>
      <w:pPr>
        <w:pStyle w:val="BodyText"/>
      </w:pPr>
      <w:r>
        <w:t xml:space="preserve">Habermas answers Lafont, and the answer must be entered, since it is made with the instrument these chapters employ. He grants that</w:t>
      </w:r>
      <w:r>
        <w:t xml:space="preserve"> </w:t>
      </w:r>
      <w:r>
        <w:t xml:space="preserve">‘the projection of a moral world and the presupposition of an objective world are functionally equivalent’</w:t>
      </w:r>
      <w:r>
        <w:t xml:space="preserve"> </w:t>
      </w:r>
      <w:r>
        <w:t xml:space="preserve">in securing context-independence, and warns at once against</w:t>
      </w:r>
      <w:r>
        <w:t xml:space="preserve"> </w:t>
      </w:r>
      <w:r>
        <w:t xml:space="preserve">‘assimilating the moral to the objective world’</w:t>
      </w:r>
      <w:r>
        <w:t xml:space="preserve">, which is how he reads her grounding of cognitivism; the move, he objects,</w:t>
      </w:r>
      <w:r>
        <w:t xml:space="preserve"> </w:t>
      </w:r>
      <w:r>
        <w:t xml:space="preserve">‘assimilates the participant perspective, from within which the required generalization of interests must be undertaken, to an objectifying observer perspective’</w:t>
      </w:r>
      <w:r>
        <w:t xml:space="preserve">.</w:t>
      </w:r>
      <w:r>
        <w:rPr>
          <w:rStyle w:val="FootnoteReference"/>
        </w:rPr>
        <w:footnoteReference w:id="150"/>
      </w:r>
      <w:r>
        <w:t xml:space="preserve"> </w:t>
      </w:r>
      <w:r>
        <w:t xml:space="preserve">The objection is well taken against the proposal it addresses, and no such proposal is adopted here. What is pressed is narrower and stated wholly within the participant perspective: the cognitivist vocabulary the framework itself retains requires that an ideally formed agreement be capable of being mistaken, and an account in which ideal acceptance is that in which correctness consists cannot supply the requirement. Habermas may decline the ontologising of moral objectivity and still owe the fallibility.</w:t>
      </w:r>
    </w:p>
    <w:p>
      <w:pPr>
        <w:pStyle w:val="BodyText"/>
      </w:pPr>
      <w:r>
        <w:t xml:space="preserve">What the transfer of registers establishes may be stated as four claims, each resting on a commitment of Habermas’s. (i) Justification has two moments, one context-bound and one context-transcending, and the account requires both. (ii) The rightness of norms is exhausted by ideal rational acceptability, while truth is not so exhausted. (iii) Discourse operates on an understanding of validity which it renders explicit rather than institutes: what it certifies of a norm is its worthiness of recognition, while the mode of validity in which a norm exists is not of discourse’s producing (Chapter One §1.4.5), and the reconstructive method describes its own office in the same way (Chapter Two §2.1.1). (iv) No standpoint outside all discursive mediation is available from which that understanding might be secured. The conjunction is not Habermas’s, and neither is the thesis that the four constitute an aporia rather than a set of adjustable difficulties. The distinction between the two is what the chapter’s claim turns on. Four commitments constitute a set of difficulties if some adjustment to one of them would relieve the tension without costing the framework a commitment it cannot surrender; they constitute an aporia if every such adjustment costs it such a commitment. Abandon (i), and the distinction between inquiry and the ratification of convention goes. Abandon (ii), and either rightness acquires a justification-transcendent standing, which is moral realism, or truth loses its own, which is the retracted consensus theory; the intermediate branch, on which rightness answers to</w:t>
      </w:r>
      <w:r>
        <w:t xml:space="preserve"> </w:t>
      </w:r>
      <w:r>
        <w:t xml:space="preserve">‘constraints that are not at our disposal’</w:t>
      </w:r>
      <w:r>
        <w:t xml:space="preserve">, owes an account of what those constraints answer to, and on any answer short of a standing beyond ideal acceptability it collapses into no abandonment at all. Abandon (iii), and the method is no longer reconstructive, since a method which generates the competence it describes does not reconstruct it. Abandon (iv), and immanence goes, and the post-metaphysical constraint with it. The practice is thereby shown to rely at its centre on an understanding of validity which it can neither generate from within, by (iii), nor receive from without, by (iv), and which is therefore borne by a practice whose certainties no act of the practice can call to account. What is claimed is that no relieving adjustment has been found, not that none could be.</w:t>
      </w:r>
    </w:p>
    <w:bookmarkEnd w:id="151"/>
    <w:bookmarkStart w:id="154" w:name="Xdec444924da3f557f3b870f1567f89b66d74795"/>
    <w:p>
      <w:pPr>
        <w:pStyle w:val="Heading3"/>
      </w:pPr>
      <w:r>
        <w:t xml:space="preserve">§3.4.4 · The exits, the transcendental-semiotic resolution, and what it does not claim</w:t>
      </w:r>
    </w:p>
    <w:p>
      <w:pPr>
        <w:pStyle w:val="FirstParagraph"/>
      </w:pPr>
      <w:r>
        <w:t xml:space="preserve">The conjunction is shown to be an impasse and not an unexplored option by what each of its exits costs. Six are occupied. Rorty’s abandons the context-transcending moment. The moral realist’s accepts discourse-independent moral facts at the cost of the metaphysics whose refusal defines the post-metaphysical situation. A third withdraws the cognitivist claim for rightness, and it is taken from two directions: Wellmer withdraws it while keeping the critical office, at the cost §3.3.3 stated, and a systems-theoretic redescription of validity as a code by which a subsystem reproduces itself withdraws it at the cost of critical purchase, since a description in which validity is a code cannot distinguish a legitimate order from a stable one.</w:t>
      </w:r>
      <w:r>
        <w:rPr>
          <w:rStyle w:val="FootnoteReference"/>
        </w:rPr>
        <w:footnoteReference w:id="152"/>
      </w:r>
      <w:r>
        <w:t xml:space="preserve"> </w:t>
      </w:r>
      <w:r>
        <w:t xml:space="preserve">A fourth grounds the presuppositions apodictically, as Apel does, at the cost of the</w:t>
      </w:r>
      <w:r>
        <w:t xml:space="preserve"> </w:t>
      </w:r>
      <w:r>
        <w:rPr>
          <w:i/>
          <w:iCs/>
        </w:rPr>
        <w:t xml:space="preserve">Letztbegründung</w:t>
      </w:r>
      <w:r>
        <w:t xml:space="preserve"> </w:t>
      </w:r>
      <w:r>
        <w:t xml:space="preserve">which §3.3.3 found unsecured. A fifth is Habermas’s own, the pragmatic complement, whose price is modal and was stated at §3.4.3: a transcendence borne by a lifeworld owes an account of why it is not a form-of-life-relative unconditionality under another description. A sixth surrenders the reconstructive self-description and holds that the norms of discourse are instituted in the practice of giving and asking for reasons, as Brandom’s inferentialism does. Its price, set out at Chapter Two §2.3.3 and not repeated here, falls where Habermas’s reading of Brandom locates it: on one horn rational validity is assimilated to social validity, and on the other the surplus of content is secured by</w:t>
      </w:r>
      <w:r>
        <w:t xml:space="preserve"> </w:t>
      </w:r>
      <w:r>
        <w:t xml:space="preserve">‘a conceptual realism that obliterates the distinction between the intersubjectively shared lifeworld and the objective world’</w:t>
      </w:r>
      <w:r>
        <w:t xml:space="preserve">.</w:t>
      </w:r>
      <w:r>
        <w:rPr>
          <w:rStyle w:val="FootnoteReference"/>
        </w:rPr>
        <w:footnoteReference w:id="153"/>
      </w:r>
      <w:r>
        <w:t xml:space="preserve"> </w:t>
      </w:r>
      <w:r>
        <w:t xml:space="preserve">The instituted norms inherit the standing of the instituting practice, and the question of that practice’s standing returns one level up, no longer askable in the theory’s own vocabulary.</w:t>
      </w:r>
    </w:p>
    <w:p>
      <w:pPr>
        <w:pStyle w:val="BodyText"/>
      </w:pPr>
      <w:r>
        <w:t xml:space="preserve">The resolution proposed is conditional, and its condition is named before it is stated. If the transcendental-semiotic condition of §3.3.4 holds, that assessability by some competent interlocutor is constitutive of propositionhood and not an added desideratum, then the justification-transcendence Habermas requires for truth is located neither in a form of life nor in correspondence but in assessability itself, the condition which constitutes a claim as a claim. The transcendence so located is not relative to the forms of life so far known, since assessability is not a feature of a particular scheme but the condition of there being determinate content to relativise; and it is not a correspondence inspected from outside discourse, since it is a condition of signification and not a relation between propositions and facts.</w:t>
      </w:r>
    </w:p>
    <w:p>
      <w:pPr>
        <w:pStyle w:val="BodyText"/>
      </w:pPr>
      <w:r>
        <w:t xml:space="preserve">Two objections must be met, or the resolution will be misread. The first is that assessability by an unlimited community of interpreters is the Peircean final opinion under another name, so that the convergence theory declined at §3.3.4 has been adopted in another voice. The two come apart in both directions. Assessability is a modal property of a claim, that there is something it would be to assess it and someone for whom there would be; convergence is a normative postulate on inquiry, that assessment is to be pursued as though it terminated in agreement. A claim may be assessable and never assessed; it may be assessed without limit and never agreed; and a body of opinion may converge without assessment having done any of the work. The resolution requires assessability alone, and what it locates there is a condition on a claim’s having determinate content, not a promise about what inquiry will deliver. On this account what the world withholds, when a practice fails, is the assessability the claim had anticipated: worldly resistance is registered as a failure of anticipated assessment rather than as a mismatch between a proposition and a fact.</w:t>
      </w:r>
    </w:p>
    <w:p>
      <w:pPr>
        <w:pStyle w:val="BodyText"/>
      </w:pPr>
      <w:r>
        <w:t xml:space="preserve">The second objection is that rightness claims are assessable no less than truth claims, so that locating justification-transcendence in assessability erases the asymmetry on which §3.4.2–§3.4.3 depend. The objection would be decisive if assessability were being offered as what constitutes transcendence, and it is not. Assessability is a condition of any claim’s having determinate content, and it holds of every claim; what differs between the two kinds of claim is not whether assessment is possible but what assessment answers to. The resolution therefore neither supplies the asymmetry nor abolishes it. It supplies the condition under which an asymmetry between two kinds of claim is statable and leaves the asymmetry where Habermas’s doctrine places it. It follows that the resolution does nothing for the rightness side. The aporia is relieved, if at all, only on the side of truth, and the pressure of §3.4.3 on the cognitivist vocabulary for morality stands unrelieved. That limit is stated because concealing it would overstate the result.</w:t>
      </w:r>
    </w:p>
    <w:p>
      <w:pPr>
        <w:pStyle w:val="BodyText"/>
      </w:pPr>
      <w:r>
        <w:t xml:space="preserve">What the resolution does not claim bears equal weight. It is not a settlement in Apel’s favour: it secures its location of transcendence only on the strong reading of the intelligibility claim, which §3.3.2 argued and did not establish beyond contest, and on the minimal reading it is unavailable. It inherits the limit §3.3.2 declared on the retorsion, whose restriction was specified and not discharged. It is not a resolution Habermas could accept while retaining his own description, since to accept the semiotic condition is to accept that the presuppositions of determinate meaning are not unavoidable merely in fact. And it extends nothing to the reciprocal norms of discourse, the second-stage question being left open at §3.3.6. One question, turned on the thesis itself, must be answered rather than survived. If determining the unconditional moment exceeds the two offices Habermas’s methodology sanctions, stand-in and interpreter, then the resolution exercises some office, and an account is owed of which. The answer is a third office, elenctic exhibition, defended at §3.3.1 and exercised at §3.3.2–§3.3.4, whose warrant is borrowed neither from the empirical sciences nor from mediation but exhibited in its exercise. The determination it delivers is formal and not material: it exhibits the condition under which a claim possesses determinate content and locates transcendence there, without saying in what truth consists. The office is avowed and not disclaimed, and it is self-applying under the discipline of §3.3.3, its propositional articulation, that of this section included, being fallible and revisable while what it articulates is enacted in every revision.</w:t>
      </w:r>
    </w:p>
    <w:p>
      <w:pPr>
        <w:pStyle w:val="BodyText"/>
      </w:pPr>
      <w:r>
        <w:t xml:space="preserve">Avowal is not vindication. Declaring the office does not establish that it delivers what it claims, and whether an appeal of this kind vindicates anything is the question put at §3.1.4, on which the constructive proposal of the thesis turns and which is advanced, conditionally and with its cost stated, at the close of the thesis. What the chapter claims is not that the aporia has been dissolved but that its dissolution on the side of truth has been shown to depend on one determinate thesis, whose burden of proof is now locatable and whose price is now stateable. Chapter Four determines whether the same terminus is reached from the side of the discourse principle, by a route on which the meaning of truth is never in question.</w:t>
      </w:r>
    </w:p>
    <w:bookmarkEnd w:id="154"/>
    <w:bookmarkEnd w:id="155"/>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PSC 643 for the credit; PSC 627 for the abstract. The essay is</w:t>
      </w:r>
      <w:r>
        <w:t xml:space="preserve"> </w:t>
      </w:r>
      <w:r>
        <w:t xml:space="preserve">‘From formal semantics to transcendental pragmatics: Karl-Otto Apel’s original insight’</w:t>
      </w:r>
      <w:r>
        <w:t xml:space="preserve">, trans. Ciaran Cronin,</w:t>
      </w:r>
      <w:r>
        <w:t xml:space="preserve"> </w:t>
      </w:r>
      <w:r>
        <w:rPr>
          <w:i/>
          <w:iCs/>
        </w:rPr>
        <w:t xml:space="preserve">Philosophy and Social Criticism</w:t>
      </w:r>
      <w:r>
        <w:t xml:space="preserve"> </w:t>
      </w:r>
      <w:r>
        <w:t xml:space="preserve">46/6 (2020), 627–50. Habermas nonetheless calls Apel’s position</w:t>
      </w:r>
      <w:r>
        <w:t xml:space="preserve"> </w:t>
      </w:r>
      <w:r>
        <w:t xml:space="preserve">‘the foundationalist thesis’</w:t>
      </w:r>
      <w:r>
        <w:t xml:space="preserve"> </w:t>
      </w:r>
      <w:r>
        <w:t xml:space="preserve">at PSC 642; the word is predicated of a thesis about the ethos of discourse and not of a method, and it is the transposition into a contest of methods which this section denies.</w:t>
      </w:r>
    </w:p>
  </w:footnote>
  <w:footnote w:id="13">
    <w:p>
      <w:pPr>
        <w:pStyle w:val="FootnoteText"/>
      </w:pPr>
      <w:r>
        <w:rPr>
          <w:rStyle w:val="FootnoteReference"/>
        </w:rPr>
        <w:footnoteRef/>
      </w:r>
      <w:r>
        <w:t xml:space="preserve"> </w:t>
      </w:r>
      <w:r>
        <w:t xml:space="preserve">TTP, Preface to the English edition, p. x, dated Frankfurt am Main, July 1978; the derivation of the three paradigms from the triadic sign-relation is given at FTSPV 42–44 and, at greater length, SE1 240–41. The two English editions of TTP (Routledge &amp; Kegan Paul, 1980; Marquette University Press, 1998) are differently paginated; the edition used is declared in the front matter and the page numbers given here belong to it.</w:t>
      </w:r>
    </w:p>
  </w:footnote>
  <w:footnote w:id="14">
    <w:p>
      <w:pPr>
        <w:pStyle w:val="FootnoteText"/>
      </w:pPr>
      <w:r>
        <w:rPr>
          <w:rStyle w:val="FootnoteReference"/>
        </w:rPr>
        <w:footnoteRef/>
      </w:r>
      <w:r>
        <w:t xml:space="preserve"> </w:t>
      </w:r>
      <w:r>
        <w:t xml:space="preserve">FTSPV 43–45, where the three paradigms are derived from the triadic sign-relation</w:t>
      </w:r>
      <w:r>
        <w:t xml:space="preserve"> </w:t>
      </w:r>
      <w:r>
        <w:t xml:space="preserve">‘according to a logic of abstraction, so to speak’</w:t>
      </w:r>
      <w:r>
        <w:t xml:space="preserve"> </w:t>
      </w:r>
      <w:r>
        <w:t xml:space="preserve">(44); SE1 240–41. The derivation does not stand in the Preface of 1978, to which an earlier draft of this chapter attributed it.</w:t>
      </w:r>
    </w:p>
  </w:footnote>
  <w:footnote w:id="15">
    <w:p>
      <w:pPr>
        <w:pStyle w:val="FootnoteText"/>
      </w:pPr>
      <w:r>
        <w:rPr>
          <w:rStyle w:val="FootnoteReference"/>
        </w:rPr>
        <w:footnoteRef/>
      </w:r>
      <w:r>
        <w:t xml:space="preserve"> </w:t>
      </w:r>
      <w:r>
        <w:t xml:space="preserve">SE1 115, where the predicate is Apel’s and is said of language in its office as</w:t>
      </w:r>
      <w:r>
        <w:t xml:space="preserve"> </w:t>
      </w:r>
      <w:r>
        <w:t xml:space="preserve">‘a mediation of interpretation’</w:t>
      </w:r>
      <w:r>
        <w:t xml:space="preserve">; TTP 48 for the sign-mediation of the intersubjective validity of any constitution of meaning.</w:t>
      </w:r>
    </w:p>
  </w:footnote>
  <w:footnote w:id="16">
    <w:p>
      <w:pPr>
        <w:pStyle w:val="FootnoteText"/>
      </w:pPr>
      <w:r>
        <w:rPr>
          <w:rStyle w:val="FootnoteReference"/>
        </w:rPr>
        <w:footnoteRef/>
      </w:r>
      <w:r>
        <w:t xml:space="preserve"> </w:t>
      </w:r>
      <w:r>
        <w:t xml:space="preserve">The sentence is Apel’s and is reported, not endorsed. An earlier draft placed it at FTSPV 80, which is a page of endnotes; the locus must be re-established from the print copy before submission, and the sentence is to be deleted if it cannot be.</w:t>
      </w:r>
    </w:p>
  </w:footnote>
  <w:footnote w:id="18">
    <w:p>
      <w:pPr>
        <w:pStyle w:val="FootnoteText"/>
      </w:pPr>
      <w:r>
        <w:rPr>
          <w:rStyle w:val="FootnoteReference"/>
        </w:rPr>
        <w:footnoteRef/>
      </w:r>
      <w:r>
        <w:t xml:space="preserve"> </w:t>
      </w:r>
      <w:r>
        <w:t xml:space="preserve">The English phrase is Apel’s own, in the authorised translation of 1975 made in collaboration with him:</w:t>
      </w:r>
      <w:r>
        <w:t xml:space="preserve"> </w:t>
      </w:r>
      <w:r>
        <w:t xml:space="preserve">‘The Problem of Philosophical Fundamental-Grounding in Light of a Transcendental Pragmatic of Language’</w:t>
      </w:r>
      <w:r>
        <w:t xml:space="preserve">, trans. K. R. Pavlovic,</w:t>
      </w:r>
      <w:r>
        <w:t xml:space="preserve"> </w:t>
      </w:r>
      <w:r>
        <w:rPr>
          <w:i/>
          <w:iCs/>
        </w:rPr>
        <w:t xml:space="preserve">Man and World</w:t>
      </w:r>
      <w:r>
        <w:t xml:space="preserve"> </w:t>
      </w:r>
      <w:r>
        <w:t xml:space="preserve">8/3 (1975), 239–75, at 249, 263 (three times) and 273 (n. 63); reprinted as</w:t>
      </w:r>
      <w:r>
        <w:t xml:space="preserve"> </w:t>
      </w:r>
      <w:r>
        <w:t xml:space="preserve">‘The Question of Grounding: Philosophy and Transcendental Pragmatics of Language’</w:t>
      </w:r>
      <w:r>
        <w:t xml:space="preserve">, SE2 68–102. The semantic form of the diagnosis is reported at SE2 34: an abstractive fallacy results</w:t>
      </w:r>
      <w:r>
        <w:t xml:space="preserve"> </w:t>
      </w:r>
      <w:r>
        <w:t xml:space="preserve">‘if one sought to interpret truth as the predicate of propositions in a semantic system and not as the predicate of statements that are asserted by arguing human subjects in speech acts’</w:t>
      </w:r>
      <w:r>
        <w:t xml:space="preserve">. No German coinage is used for the term in this chapter; where the German is wanted it is to be taken from</w:t>
      </w:r>
      <w:r>
        <w:t xml:space="preserve"> </w:t>
      </w:r>
      <w:r>
        <w:rPr>
          <w:i/>
          <w:iCs/>
        </w:rPr>
        <w:t xml:space="preserve">Transformation der Philosophie</w:t>
      </w:r>
      <w:r>
        <w:t xml:space="preserve"> </w:t>
      </w:r>
      <w:r>
        <w:t xml:space="preserve">and not back-formed from the English.</w:t>
      </w:r>
    </w:p>
  </w:footnote>
  <w:footnote w:id="19">
    <w:p>
      <w:pPr>
        <w:pStyle w:val="FootnoteText"/>
      </w:pPr>
      <w:r>
        <w:rPr>
          <w:rStyle w:val="FootnoteReference"/>
        </w:rPr>
        <w:footnoteRef/>
      </w:r>
      <w:r>
        <w:t xml:space="preserve"> </w:t>
      </w:r>
      <w:r>
        <w:t xml:space="preserve">Apel,</w:t>
      </w:r>
      <w:r>
        <w:t xml:space="preserve"> </w:t>
      </w:r>
      <w:r>
        <w:t xml:space="preserve">‘Fundamental-Grounding’</w:t>
      </w:r>
      <w:r>
        <w:t xml:space="preserve"> </w:t>
      </w:r>
      <w:r>
        <w:t xml:space="preserve">(1975), 263; the same page holds that the logic of science so absolutised</w:t>
      </w:r>
      <w:r>
        <w:t xml:space="preserve"> </w:t>
      </w:r>
      <w:r>
        <w:t xml:space="preserve">‘banishes into the jurisdiction of empirical psychology the pragmatic dimension of argumentation insofar as it cannot be objectivized and formalized’</w:t>
      </w:r>
      <w:r>
        <w:t xml:space="preserve">.</w:t>
      </w:r>
    </w:p>
  </w:footnote>
  <w:footnote w:id="20">
    <w:p>
      <w:pPr>
        <w:pStyle w:val="FootnoteText"/>
      </w:pPr>
      <w:r>
        <w:rPr>
          <w:rStyle w:val="FootnoteReference"/>
        </w:rPr>
        <w:footnoteRef/>
      </w:r>
      <w:r>
        <w:t xml:space="preserve"> </w:t>
      </w:r>
      <w:r>
        <w:t xml:space="preserve">Apel,</w:t>
      </w:r>
      <w:r>
        <w:t xml:space="preserve"> </w:t>
      </w:r>
      <w:r>
        <w:t xml:space="preserve">‘How to Ground a Universalistic Ethics of Co-responsibility for the Effects of Collective Actions and Activities?’</w:t>
      </w:r>
      <w:r>
        <w:t xml:space="preserve">,</w:t>
      </w:r>
      <w:r>
        <w:t xml:space="preserve"> </w:t>
      </w:r>
      <w:r>
        <w:rPr>
          <w:i/>
          <w:iCs/>
        </w:rPr>
        <w:t xml:space="preserve">Philosophica</w:t>
      </w:r>
      <w:r>
        <w:t xml:space="preserve"> </w:t>
      </w:r>
      <w:r>
        <w:t xml:space="preserve">52 (1993/2), 9–29, at 19; his n. 17 (p. 29) refers the formulation back to the article of 1975.</w:t>
      </w:r>
    </w:p>
  </w:footnote>
  <w:footnote w:id="21">
    <w:p>
      <w:pPr>
        <w:pStyle w:val="FootnoteText"/>
      </w:pPr>
      <w:r>
        <w:rPr>
          <w:rStyle w:val="FootnoteReference"/>
        </w:rPr>
        <w:footnoteRef/>
      </w:r>
      <w:r>
        <w:t xml:space="preserve"> </w:t>
      </w:r>
      <w:r>
        <w:t xml:space="preserve">MCCA 80–82. That the performative-contradiction test identifies the rules of discourse rather than justifying them is the settled reading; see J. G. Finlayson and D. H. Rees,</w:t>
      </w:r>
      <w:r>
        <w:t xml:space="preserve"> </w:t>
      </w:r>
      <w:r>
        <w:t xml:space="preserve">‘Jürgen Habermas’</w:t>
      </w:r>
      <w:r>
        <w:t xml:space="preserve">,</w:t>
      </w:r>
      <w:r>
        <w:t xml:space="preserve"> </w:t>
      </w:r>
      <w:r>
        <w:rPr>
          <w:i/>
          <w:iCs/>
        </w:rPr>
        <w:t xml:space="preserve">The Stanford Encyclopedia of Philosophy</w:t>
      </w:r>
      <w:r>
        <w:t xml:space="preserve"> </w:t>
      </w:r>
      <w:r>
        <w:t xml:space="preserve">(2023), §1.3.</w:t>
      </w:r>
    </w:p>
  </w:footnote>
  <w:footnote w:id="22">
    <w:p>
      <w:pPr>
        <w:pStyle w:val="FootnoteText"/>
      </w:pPr>
      <w:r>
        <w:rPr>
          <w:rStyle w:val="FootnoteReference"/>
        </w:rPr>
        <w:footnoteRef/>
      </w:r>
      <w:r>
        <w:t xml:space="preserve"> </w:t>
      </w:r>
      <w:r>
        <w:t xml:space="preserve">BNR 88, in</w:t>
      </w:r>
      <w:r>
        <w:t xml:space="preserve"> </w:t>
      </w:r>
      <w:r>
        <w:t xml:space="preserve">‘On the Architectonics of Discursive Differentiation’</w:t>
      </w:r>
      <w:r>
        <w:t xml:space="preserve"> </w:t>
      </w:r>
      <w:r>
        <w:t xml:space="preserve">(2003); the point of contention is there placed not at the justification move but at its status, which §3.2.3 takes up.</w:t>
      </w:r>
    </w:p>
  </w:footnote>
  <w:footnote w:id="24">
    <w:p>
      <w:pPr>
        <w:pStyle w:val="FootnoteText"/>
      </w:pPr>
      <w:r>
        <w:rPr>
          <w:rStyle w:val="FootnoteReference"/>
        </w:rPr>
        <w:footnoteRef/>
      </w:r>
      <w:r>
        <w:t xml:space="preserve"> </w:t>
      </w:r>
      <w:r>
        <w:t xml:space="preserve">Peter Dews,</w:t>
      </w:r>
      <w:r>
        <w:t xml:space="preserve"> </w:t>
      </w:r>
      <w:r>
        <w:t xml:space="preserve">‘A Question of Grounding: Reconstruction and Strict Reflexion in Habermas and Apel’</w:t>
      </w:r>
      <w:r>
        <w:t xml:space="preserve">, in Peter Uwe Hohendahl and Jaimey Fisher (eds),</w:t>
      </w:r>
      <w:r>
        <w:t xml:space="preserve"> </w:t>
      </w:r>
      <w:r>
        <w:rPr>
          <w:i/>
          <w:iCs/>
        </w:rPr>
        <w:t xml:space="preserve">Critical Theory: Current State and Future Prospects</w:t>
      </w:r>
      <w:r>
        <w:t xml:space="preserve"> </w:t>
      </w:r>
      <w:r>
        <w:t xml:space="preserve">(New York and Oxford: Berghahn, 2001), 205–28. The contrast is announced in the title.</w:t>
      </w:r>
    </w:p>
  </w:footnote>
  <w:footnote w:id="25">
    <w:p>
      <w:pPr>
        <w:pStyle w:val="FootnoteText"/>
      </w:pPr>
      <w:r>
        <w:rPr>
          <w:rStyle w:val="FootnoteReference"/>
        </w:rPr>
        <w:footnoteRef/>
      </w:r>
      <w:r>
        <w:t xml:space="preserve"> </w:t>
      </w:r>
      <w:r>
        <w:t xml:space="preserve">Thomas McCarthy,</w:t>
      </w:r>
      <w:r>
        <w:t xml:space="preserve"> </w:t>
      </w:r>
      <w:r>
        <w:rPr>
          <w:i/>
          <w:iCs/>
        </w:rPr>
        <w:t xml:space="preserve">The Critical Theory of Jürgen Habermas</w:t>
      </w:r>
      <w:r>
        <w:t xml:space="preserve"> </w:t>
      </w:r>
      <w:r>
        <w:t xml:space="preserve">(Cambridge, MA: MIT Press, 1978), 304. The adjacent circle, of any attempt to justify argumentatively the decision to argue, is put at 320–21 and answered there by the transcendental</w:t>
      </w:r>
      <w:r>
        <w:t xml:space="preserve"> </w:t>
      </w:r>
      <w:r>
        <w:rPr>
          <w:i/>
          <w:iCs/>
        </w:rPr>
        <w:t xml:space="preserve">tu quoque</w:t>
      </w:r>
      <w:r>
        <w:t xml:space="preserve"> </w:t>
      </w:r>
      <w:r>
        <w:t xml:space="preserve">McCarthy takes from Apel; he does not return to the first circle, and no discharge of it in the form put has been found in the literature the Introduction surveys.</w:t>
      </w:r>
    </w:p>
  </w:footnote>
  <w:footnote w:id="26">
    <w:p>
      <w:pPr>
        <w:pStyle w:val="FootnoteText"/>
      </w:pPr>
      <w:r>
        <w:rPr>
          <w:rStyle w:val="FootnoteReference"/>
        </w:rPr>
        <w:footnoteRef/>
      </w:r>
      <w:r>
        <w:t xml:space="preserve"> </w:t>
      </w:r>
      <w:r>
        <w:t xml:space="preserve">Karl-Otto Apel,</w:t>
      </w:r>
      <w:r>
        <w:t xml:space="preserve"> </w:t>
      </w:r>
      <w:r>
        <w:t xml:space="preserve">‘Transzendentalpragmatik – Drittes Paradigma der Ersten Philosophie’</w:t>
      </w:r>
      <w:r>
        <w:t xml:space="preserve">, in</w:t>
      </w:r>
      <w:r>
        <w:t xml:space="preserve"> </w:t>
      </w:r>
      <w:r>
        <w:rPr>
          <w:i/>
          <w:iCs/>
        </w:rPr>
        <w:t xml:space="preserve">Habermas und der Historische Materialismus</w:t>
      </w:r>
      <w:r>
        <w:t xml:space="preserve">, ed. Smail Rapic (Freiburg and Munich: Alber, 2014), 97; his n. 7 refers the charge to</w:t>
      </w:r>
      <w:r>
        <w:t xml:space="preserve"> </w:t>
      </w:r>
      <w:r>
        <w:t xml:space="preserve">‘Auflösung der Diskursethik? Zur Architektonik der Diskursdifferenzierung in Habermas’</w:t>
      </w:r>
      <w:r>
        <w:t xml:space="preserve"> </w:t>
      </w:r>
      <w:r>
        <w:rPr>
          <w:i/>
          <w:iCs/>
        </w:rPr>
        <w:t xml:space="preserve">Faktizität und Geltung</w:t>
      </w:r>
      <w:r>
        <w:t xml:space="preserve">’, in</w:t>
      </w:r>
      <w:r>
        <w:t xml:space="preserve"> </w:t>
      </w:r>
      <w:r>
        <w:rPr>
          <w:i/>
          <w:iCs/>
        </w:rPr>
        <w:t xml:space="preserve">Auseinandersetzungen in Erprobung des transzendentalpragmatischen Ansatzes</w:t>
      </w:r>
      <w:r>
        <w:t xml:space="preserve"> </w:t>
      </w:r>
      <w:r>
        <w:t xml:space="preserve">(Frankfurt: Suhrkamp, 1998), 727–838, which is cited here only through the paper of 2014. The charge carries a second reservation,</w:t>
      </w:r>
      <w:r>
        <w:t xml:space="preserve"> </w:t>
      </w:r>
      <w:r>
        <w:t xml:space="preserve">‘oder vielleicht, genauer gesagt’</w:t>
      </w:r>
      <w:r>
        <w:t xml:space="preserve">, as to whether its target is universal or formal pragmatics. Translations from the paper are the chapter’s.</w:t>
      </w:r>
    </w:p>
  </w:footnote>
  <w:footnote w:id="27">
    <w:p>
      <w:pPr>
        <w:pStyle w:val="FootnoteText"/>
      </w:pPr>
      <w:r>
        <w:rPr>
          <w:rStyle w:val="FootnoteReference"/>
        </w:rPr>
        <w:footnoteRef/>
      </w:r>
      <w:r>
        <w:t xml:space="preserve"> </w:t>
      </w:r>
      <w:r>
        <w:t xml:space="preserve">Apel,</w:t>
      </w:r>
      <w:r>
        <w:t xml:space="preserve"> </w:t>
      </w:r>
      <w:r>
        <w:t xml:space="preserve">‘Transzendentalpragmatik’</w:t>
      </w:r>
      <w:r>
        <w:t xml:space="preserve"> </w:t>
      </w:r>
      <w:r>
        <w:t xml:space="preserve">(2014), 98, crediting the term in his n. 10 to Wolfgang Kuhlmann,</w:t>
      </w:r>
      <w:r>
        <w:t xml:space="preserve"> </w:t>
      </w:r>
      <w:r>
        <w:rPr>
          <w:i/>
          <w:iCs/>
        </w:rPr>
        <w:t xml:space="preserve">Reflexive Letztbegründung</w:t>
      </w:r>
      <w:r>
        <w:t xml:space="preserve"> </w:t>
      </w:r>
      <w:r>
        <w:t xml:space="preserve">(Freiburg and Munich: Alber, 1985). Hans Albert,</w:t>
      </w:r>
      <w:r>
        <w:t xml:space="preserve"> </w:t>
      </w:r>
      <w:r>
        <w:rPr>
          <w:i/>
          <w:iCs/>
        </w:rPr>
        <w:t xml:space="preserve">Traktat über kritische Vernunft</w:t>
      </w:r>
      <w:r>
        <w:t xml:space="preserve">, 5th edn (Tübingen: Mohr, 1991; first published 1968), ch. 1.</w:t>
      </w:r>
    </w:p>
  </w:footnote>
  <w:footnote w:id="28">
    <w:p>
      <w:pPr>
        <w:pStyle w:val="FootnoteText"/>
      </w:pPr>
      <w:r>
        <w:rPr>
          <w:rStyle w:val="FootnoteReference"/>
        </w:rPr>
        <w:footnoteRef/>
      </w:r>
      <w:r>
        <w:t xml:space="preserve"> </w:t>
      </w:r>
      <w:r>
        <w:t xml:space="preserve">Apel,</w:t>
      </w:r>
      <w:r>
        <w:t xml:space="preserve"> </w:t>
      </w:r>
      <w:r>
        <w:t xml:space="preserve">‘Fundamental-Grounding’</w:t>
      </w:r>
      <w:r>
        <w:t xml:space="preserve"> </w:t>
      </w:r>
      <w:r>
        <w:t xml:space="preserve">(1975), 244, in §II,</w:t>
      </w:r>
      <w:r>
        <w:t xml:space="preserve"> </w:t>
      </w:r>
      <w:r>
        <w:t xml:space="preserve">‘Critical Reconstruction of the</w:t>
      </w:r>
      <w:r>
        <w:t xml:space="preserve"> </w:t>
      </w:r>
      <w:r>
        <w:t xml:space="preserve">“Muenchhausen-Trilemma”</w:t>
      </w:r>
      <w:r>
        <w:t xml:space="preserve">’</w:t>
      </w:r>
      <w:r>
        <w:t xml:space="preserve"> </w:t>
      </w:r>
      <w:r>
        <w:t xml:space="preserve">(the spelling is the printing’s).</w:t>
      </w:r>
    </w:p>
  </w:footnote>
  <w:footnote w:id="29">
    <w:p>
      <w:pPr>
        <w:pStyle w:val="FootnoteText"/>
      </w:pPr>
      <w:r>
        <w:rPr>
          <w:rStyle w:val="FootnoteReference"/>
        </w:rPr>
        <w:footnoteRef/>
      </w:r>
      <w:r>
        <w:t xml:space="preserve"> </w:t>
      </w:r>
      <w:r>
        <w:t xml:space="preserve">TCA I 17–18; PSC 646 (Chapter One §1.4.5). What the practice requires of its participants is set out in 1983 as the catalogue of rules Habermas takes from Alexy, MCCA 89 (Chapter One §1.5.3).</w:t>
      </w:r>
    </w:p>
  </w:footnote>
  <w:footnote w:id="30">
    <w:p>
      <w:pPr>
        <w:pStyle w:val="FootnoteText"/>
      </w:pPr>
      <w:r>
        <w:rPr>
          <w:rStyle w:val="FootnoteReference"/>
        </w:rPr>
        <w:footnoteRef/>
      </w:r>
      <w:r>
        <w:t xml:space="preserve"> </w:t>
      </w:r>
      <w:r>
        <w:t xml:space="preserve">SE2 196–97, in</w:t>
      </w:r>
      <w:r>
        <w:t xml:space="preserve"> </w:t>
      </w:r>
      <w:r>
        <w:t xml:space="preserve">‘Limits of Discourse Ethics? An Attempt at a Provisional Assessment’</w:t>
      </w:r>
      <w:r>
        <w:t xml:space="preserve"> </w:t>
      </w:r>
      <w:r>
        <w:t xml:space="preserve">(SE2 192–218; German 1986). The objection is reported by Apel from a discussion (his n. 10) as one which</w:t>
      </w:r>
      <w:r>
        <w:t xml:space="preserve"> </w:t>
      </w:r>
      <w:r>
        <w:t xml:space="preserve">‘could appeal to the Habermasian concept of reconstructive science’</w:t>
      </w:r>
      <w:r>
        <w:t xml:space="preserve">. The ground of the predicate is given at FTSPV 238:</w:t>
      </w:r>
      <w:r>
        <w:t xml:space="preserve"> </w:t>
      </w:r>
      <w:r>
        <w:t xml:space="preserve">‘while arguing, one cannot, in principle, get behind the rationality of arguing’</w:t>
      </w:r>
      <w:r>
        <w:t xml:space="preserve">.</w:t>
      </w:r>
    </w:p>
  </w:footnote>
  <w:footnote w:id="31">
    <w:p>
      <w:pPr>
        <w:pStyle w:val="FootnoteText"/>
      </w:pPr>
      <w:r>
        <w:rPr>
          <w:rStyle w:val="FootnoteReference"/>
        </w:rPr>
        <w:footnoteRef/>
      </w:r>
      <w:r>
        <w:t xml:space="preserve"> </w:t>
      </w:r>
      <w:r>
        <w:t xml:space="preserve">TCA I 298; PSC 637; and OPC 197, in</w:t>
      </w:r>
      <w:r>
        <w:t xml:space="preserve"> </w:t>
      </w:r>
      <w:r>
        <w:t xml:space="preserve">‘A Reply’</w:t>
      </w:r>
      <w:r>
        <w:t xml:space="preserve"> </w:t>
      </w:r>
      <w:r>
        <w:t xml:space="preserve">(1991), for the four steps by which Habermas records the link from Apel to Austin (Chapter One §1.3.1).</w:t>
      </w:r>
    </w:p>
  </w:footnote>
  <w:footnote w:id="32">
    <w:p>
      <w:pPr>
        <w:pStyle w:val="FootnoteText"/>
      </w:pPr>
      <w:r>
        <w:rPr>
          <w:rStyle w:val="FootnoteReference"/>
        </w:rPr>
        <w:footnoteRef/>
      </w:r>
      <w:r>
        <w:t xml:space="preserve"> </w:t>
      </w:r>
      <w:r>
        <w:t xml:space="preserve">PSC 646 for the first sentence; PSC 630 for the second; PSC 633 for the argument against Gehlen, where Habermas at once qualifies the point by observing that Apel does not stress the prejudicing power of a pre-interpreting world-view but the anti-authoritarian feature of rational discourse.</w:t>
      </w:r>
    </w:p>
  </w:footnote>
  <w:footnote w:id="33">
    <w:p>
      <w:pPr>
        <w:pStyle w:val="FootnoteText"/>
      </w:pPr>
      <w:r>
        <w:rPr>
          <w:rStyle w:val="FootnoteReference"/>
        </w:rPr>
        <w:footnoteRef/>
      </w:r>
      <w:r>
        <w:t xml:space="preserve"> </w:t>
      </w:r>
      <w:r>
        <w:t xml:space="preserve">PSC 630, in the essay’s opening statement of its tasks. The qualifier</w:t>
      </w:r>
      <w:r>
        <w:t xml:space="preserve"> </w:t>
      </w:r>
      <w:r>
        <w:t xml:space="preserve">‘direct’</w:t>
      </w:r>
      <w:r>
        <w:t xml:space="preserve"> </w:t>
      </w:r>
      <w:r>
        <w:t xml:space="preserve">is Habermas’s and is kept, since without it the claim would be wider than his.</w:t>
      </w:r>
    </w:p>
  </w:footnote>
  <w:footnote w:id="34">
    <w:p>
      <w:pPr>
        <w:pStyle w:val="FootnoteText"/>
      </w:pPr>
      <w:r>
        <w:rPr>
          <w:rStyle w:val="FootnoteReference"/>
        </w:rPr>
        <w:footnoteRef/>
      </w:r>
      <w:r>
        <w:t xml:space="preserve"> </w:t>
      </w:r>
      <w:r>
        <w:t xml:space="preserve">PSC 643.</w:t>
      </w:r>
    </w:p>
  </w:footnote>
  <w:footnote w:id="35">
    <w:p>
      <w:pPr>
        <w:pStyle w:val="FootnoteText"/>
      </w:pPr>
      <w:r>
        <w:rPr>
          <w:rStyle w:val="FootnoteReference"/>
        </w:rPr>
        <w:footnoteRef/>
      </w:r>
      <w:r>
        <w:t xml:space="preserve"> </w:t>
      </w:r>
      <w:r>
        <w:t xml:space="preserve">PSC 643 for the first sentence; PSC 644 for the second and third.</w:t>
      </w:r>
    </w:p>
  </w:footnote>
  <w:footnote w:id="36">
    <w:p>
      <w:pPr>
        <w:pStyle w:val="FootnoteText"/>
      </w:pPr>
      <w:r>
        <w:rPr>
          <w:rStyle w:val="FootnoteReference"/>
        </w:rPr>
        <w:footnoteRef/>
      </w:r>
      <w:r>
        <w:t xml:space="preserve"> </w:t>
      </w:r>
      <w:r>
        <w:t xml:space="preserve">PSC 645, all three sentences.</w:t>
      </w:r>
    </w:p>
  </w:footnote>
  <w:footnote w:id="37">
    <w:p>
      <w:pPr>
        <w:pStyle w:val="FootnoteText"/>
      </w:pPr>
      <w:r>
        <w:rPr>
          <w:rStyle w:val="FootnoteReference"/>
        </w:rPr>
        <w:footnoteRef/>
      </w:r>
      <w:r>
        <w:t xml:space="preserve"> </w:t>
      </w:r>
      <w:r>
        <w:t xml:space="preserve">PSC 645. The immanence is of the claim’s constitution and not of its full explication, and the argument requires the first alone.</w:t>
      </w:r>
    </w:p>
  </w:footnote>
  <w:footnote w:id="38">
    <w:p>
      <w:pPr>
        <w:pStyle w:val="FootnoteText"/>
      </w:pPr>
      <w:r>
        <w:rPr>
          <w:rStyle w:val="FootnoteReference"/>
        </w:rPr>
        <w:footnoteRef/>
      </w:r>
      <w:r>
        <w:t xml:space="preserve"> </w:t>
      </w:r>
      <w:r>
        <w:t xml:space="preserve">PSC 630 for the announcement, PSC 646 for the teleological answer, PSC 647 for autonomy. At PSC 646 Habermas also conjectures that</w:t>
      </w:r>
      <w:r>
        <w:t xml:space="preserve"> </w:t>
      </w:r>
      <w:r>
        <w:t xml:space="preserve">‘perhaps it is this unresolved problem’</w:t>
      </w:r>
      <w:r>
        <w:t xml:space="preserve"> </w:t>
      </w:r>
      <w:r>
        <w:t xml:space="preserve">which led Apel to supplement his moral philosophy with a</w:t>
      </w:r>
      <w:r>
        <w:t xml:space="preserve"> </w:t>
      </w:r>
      <w:r>
        <w:t xml:space="preserve">‘Part B’</w:t>
      </w:r>
      <w:r>
        <w:t xml:space="preserve">, and declines to address that part; he had examined it at JA 84–86, and its evaluation stands at Chapter Four §4.5.3.</w:t>
      </w:r>
    </w:p>
  </w:footnote>
  <w:footnote w:id="40">
    <w:p>
      <w:pPr>
        <w:pStyle w:val="FootnoteText"/>
      </w:pPr>
      <w:r>
        <w:rPr>
          <w:rStyle w:val="FootnoteReference"/>
        </w:rPr>
        <w:footnoteRef/>
      </w:r>
      <w:r>
        <w:t xml:space="preserve"> </w:t>
      </w:r>
      <w:r>
        <w:t xml:space="preserve">Apel,</w:t>
      </w:r>
      <w:r>
        <w:t xml:space="preserve"> </w:t>
      </w:r>
      <w:r>
        <w:t xml:space="preserve">‘Discourse Ethics as a Response to the Novel Challenges of Today’s Reality to Coresponsibility’</w:t>
      </w:r>
      <w:r>
        <w:t xml:space="preserve">,</w:t>
      </w:r>
      <w:r>
        <w:t xml:space="preserve"> </w:t>
      </w:r>
      <w:r>
        <w:rPr>
          <w:i/>
          <w:iCs/>
        </w:rPr>
        <w:t xml:space="preserve">The Journal of Religion</w:t>
      </w:r>
      <w:r>
        <w:t xml:space="preserve"> </w:t>
      </w:r>
      <w:r>
        <w:t xml:space="preserve">73/4 (1993), 496–513, at 509, where the characterisation is entered</w:t>
      </w:r>
      <w:r>
        <w:t xml:space="preserve"> </w:t>
      </w:r>
      <w:r>
        <w:t xml:space="preserve">‘very roughly’</w:t>
      </w:r>
      <w:r>
        <w:t xml:space="preserve"> </w:t>
      </w:r>
      <w:r>
        <w:t xml:space="preserve">and the fourth claim is said to imply,</w:t>
      </w:r>
      <w:r>
        <w:t xml:space="preserve"> </w:t>
      </w:r>
      <w:r>
        <w:t xml:space="preserve">‘so to speak, the ethics of an ideal communication community’</w:t>
      </w:r>
      <w:r>
        <w:t xml:space="preserve">, which Apel calls</w:t>
      </w:r>
      <w:r>
        <w:t xml:space="preserve"> </w:t>
      </w:r>
      <w:r>
        <w:t xml:space="preserve">‘part A of discourse ethics’</w:t>
      </w:r>
      <w:r>
        <w:t xml:space="preserve">. The parallel enumeration in the</w:t>
      </w:r>
      <w:r>
        <w:t xml:space="preserve"> </w:t>
      </w:r>
      <w:r>
        <w:rPr>
          <w:i/>
          <w:iCs/>
        </w:rPr>
        <w:t xml:space="preserve">Philosophica</w:t>
      </w:r>
      <w:r>
        <w:t xml:space="preserve"> </w:t>
      </w:r>
      <w:r>
        <w:t xml:space="preserve">paper of the same year (21–22) differs in wording.</w:t>
      </w:r>
    </w:p>
  </w:footnote>
  <w:footnote w:id="41">
    <w:p>
      <w:pPr>
        <w:pStyle w:val="FootnoteText"/>
      </w:pPr>
      <w:r>
        <w:rPr>
          <w:rStyle w:val="FootnoteReference"/>
        </w:rPr>
        <w:footnoteRef/>
      </w:r>
      <w:r>
        <w:t xml:space="preserve"> </w:t>
      </w:r>
      <w:r>
        <w:t xml:space="preserve">Apel,</w:t>
      </w:r>
      <w:r>
        <w:t xml:space="preserve"> </w:t>
      </w:r>
      <w:r>
        <w:t xml:space="preserve">‘Discourse Ethics as a Response’</w:t>
      </w:r>
      <w:r>
        <w:t xml:space="preserve"> </w:t>
      </w:r>
      <w:r>
        <w:t xml:space="preserve">(1993), 508. The reciprocity invoked at this step is the correlative assessability of §3.3.2 and not the symmetry, equal entitlement and non-coercion which the rules of discourse articulate; the second-stage thesis of §3.3.6 is not drawn on here.</w:t>
      </w:r>
    </w:p>
  </w:footnote>
  <w:footnote w:id="42">
    <w:p>
      <w:pPr>
        <w:pStyle w:val="FootnoteText"/>
      </w:pPr>
      <w:r>
        <w:rPr>
          <w:rStyle w:val="FootnoteReference"/>
        </w:rPr>
        <w:footnoteRef/>
      </w:r>
      <w:r>
        <w:t xml:space="preserve"> </w:t>
      </w:r>
      <w:r>
        <w:t xml:space="preserve">BFN 20:</w:t>
      </w:r>
      <w:r>
        <w:t xml:space="preserve"> </w:t>
      </w:r>
      <w:r>
        <w:t xml:space="preserve">‘The validity we claim for our utterances and for practices of justification differs from the social validity or acceptance (</w:t>
      </w:r>
      <w:r>
        <w:rPr>
          <w:i/>
          <w:iCs/>
        </w:rPr>
        <w:t xml:space="preserve">soziale Geltung</w:t>
      </w:r>
      <w:r>
        <w:t xml:space="preserve">) of actually established standards and expectations whose stability is based merely on settled custom or the threat of sanctions.’</w:t>
      </w:r>
      <w:r>
        <w:t xml:space="preserve"> </w:t>
      </w:r>
      <w:r>
        <w:t xml:space="preserve">Rehg glosses the first term on that page as</w:t>
      </w:r>
      <w:r>
        <w:t xml:space="preserve"> </w:t>
      </w:r>
      <w:r>
        <w:rPr>
          <w:i/>
          <w:iCs/>
        </w:rPr>
        <w:t xml:space="preserve">Gültigkeit</w:t>
      </w:r>
      <w:r>
        <w:t xml:space="preserve">.</w:t>
      </w:r>
    </w:p>
  </w:footnote>
  <w:footnote w:id="43">
    <w:p>
      <w:pPr>
        <w:pStyle w:val="FootnoteText"/>
      </w:pPr>
      <w:r>
        <w:rPr>
          <w:rStyle w:val="FootnoteReference"/>
        </w:rPr>
        <w:footnoteRef/>
      </w:r>
      <w:r>
        <w:t xml:space="preserve"> </w:t>
      </w:r>
      <w:r>
        <w:t xml:space="preserve">BFN 107–10.</w:t>
      </w:r>
    </w:p>
  </w:footnote>
  <w:footnote w:id="44">
    <w:p>
      <w:pPr>
        <w:pStyle w:val="FootnoteText"/>
      </w:pPr>
      <w:r>
        <w:rPr>
          <w:rStyle w:val="FootnoteReference"/>
        </w:rPr>
        <w:footnoteRef/>
      </w:r>
      <w:r>
        <w:t xml:space="preserve"> </w:t>
      </w:r>
      <w:r>
        <w:t xml:space="preserve">Political liberalism in Rawls’s form declines the question at this level from the other side, drawing its standard of justification from what a democratic society’s political culture already holds and ordering it by a criterion of reciprocity: John Rawls,</w:t>
      </w:r>
      <w:r>
        <w:t xml:space="preserve"> </w:t>
      </w:r>
      <w:r>
        <w:rPr>
          <w:i/>
          <w:iCs/>
        </w:rPr>
        <w:t xml:space="preserve">Political Liberalism</w:t>
      </w:r>
      <w:r>
        <w:t xml:space="preserve">, expanded edn (New York: Columbia University Press, 2005), Lecture I §2 and Lecture II §2;</w:t>
      </w:r>
      <w:r>
        <w:t xml:space="preserve"> </w:t>
      </w:r>
      <w:r>
        <w:t xml:space="preserve">‘Justice as Fairness: Political not Metaphysical’</w:t>
      </w:r>
      <w:r>
        <w:t xml:space="preserve">,</w:t>
      </w:r>
      <w:r>
        <w:t xml:space="preserve"> </w:t>
      </w:r>
      <w:r>
        <w:rPr>
          <w:i/>
          <w:iCs/>
        </w:rPr>
        <w:t xml:space="preserve">Philosophy and Public Affairs</w:t>
      </w:r>
      <w:r>
        <w:t xml:space="preserve"> </w:t>
      </w:r>
      <w:r>
        <w:t xml:space="preserve">14/3 (1985), 223–51. The closure entered above reaches it by the same route, since a culture in which an idea is latent supplies the idea’s currency and not its title; the exchange with Habermas of 1995 belongs to Chapter Four and is not anticipated here.</w:t>
      </w:r>
    </w:p>
  </w:footnote>
  <w:footnote w:id="46">
    <w:p>
      <w:pPr>
        <w:pStyle w:val="FootnoteText"/>
      </w:pPr>
      <w:r>
        <w:rPr>
          <w:rStyle w:val="FootnoteReference"/>
        </w:rPr>
        <w:footnoteRef/>
      </w:r>
      <w:r>
        <w:t xml:space="preserve"> </w:t>
      </w:r>
      <w:r>
        <w:t xml:space="preserve">Apel,</w:t>
      </w:r>
      <w:r>
        <w:t xml:space="preserve"> </w:t>
      </w:r>
      <w:r>
        <w:t xml:space="preserve">‘Fundamental-Grounding’</w:t>
      </w:r>
      <w:r>
        <w:t xml:space="preserve"> </w:t>
      </w:r>
      <w:r>
        <w:t xml:space="preserve">(1975), 262–64; §3.3.5 quotes the passage.</w:t>
      </w:r>
    </w:p>
  </w:footnote>
  <w:footnote w:id="47">
    <w:p>
      <w:pPr>
        <w:pStyle w:val="FootnoteText"/>
      </w:pPr>
      <w:r>
        <w:rPr>
          <w:rStyle w:val="FootnoteReference"/>
        </w:rPr>
        <w:footnoteRef/>
      </w:r>
      <w:r>
        <w:t xml:space="preserve"> </w:t>
      </w:r>
      <w:r>
        <w:t xml:space="preserve">SE2 87; Apel,</w:t>
      </w:r>
      <w:r>
        <w:t xml:space="preserve"> </w:t>
      </w:r>
      <w:r>
        <w:t xml:space="preserve">‘Fundamental-Grounding’</w:t>
      </w:r>
      <w:r>
        <w:t xml:space="preserve"> </w:t>
      </w:r>
      <w:r>
        <w:t xml:space="preserve">(1975), 261:</w:t>
      </w:r>
      <w:r>
        <w:t xml:space="preserve"> </w:t>
      </w:r>
      <w:r>
        <w:t xml:space="preserve">‘If the</w:t>
      </w:r>
      <w:r>
        <w:t xml:space="preserve"> </w:t>
      </w:r>
      <w:r>
        <w:t xml:space="preserve">“Fallibilism”</w:t>
      </w:r>
      <w:r>
        <w:t xml:space="preserve"> </w:t>
      </w:r>
      <w:r>
        <w:t xml:space="preserve">principle is itself fallible, it is to just that extent not fallible and vice versa.’</w:t>
      </w:r>
      <w:r>
        <w:t xml:space="preserve"> </w:t>
      </w:r>
      <w:r>
        <w:t xml:space="preserve">The result is not that fallibilism is false but that it cannot be stated in unrestricted form: a result about a condition of statability and not about a truth-value. Its appearance at the level of a meta-thesis about reconstruction is the first indication that the method this chapter adopts is already operating in the materials it examines.</w:t>
      </w:r>
    </w:p>
  </w:footnote>
  <w:footnote w:id="48">
    <w:p>
      <w:pPr>
        <w:pStyle w:val="FootnoteText"/>
      </w:pPr>
      <w:r>
        <w:rPr>
          <w:rStyle w:val="FootnoteReference"/>
        </w:rPr>
        <w:footnoteRef/>
      </w:r>
      <w:r>
        <w:t xml:space="preserve"> </w:t>
      </w:r>
      <w:r>
        <w:t xml:space="preserve">PSC 643.</w:t>
      </w:r>
    </w:p>
  </w:footnote>
  <w:footnote w:id="49">
    <w:p>
      <w:pPr>
        <w:pStyle w:val="FootnoteText"/>
      </w:pPr>
      <w:r>
        <w:rPr>
          <w:rStyle w:val="FootnoteReference"/>
        </w:rPr>
        <w:footnoteRef/>
      </w:r>
      <w:r>
        <w:t xml:space="preserve"> </w:t>
      </w:r>
      <w:r>
        <w:t xml:space="preserve">J. G. Finlayson,</w:t>
      </w:r>
      <w:r>
        <w:t xml:space="preserve"> </w:t>
      </w:r>
      <w:r>
        <w:t xml:space="preserve">‘The Persistence of Normative Questions in Habermas’s Theory of Communicative Action’</w:t>
      </w:r>
      <w:r>
        <w:t xml:space="preserve">,</w:t>
      </w:r>
      <w:r>
        <w:t xml:space="preserve"> </w:t>
      </w:r>
      <w:r>
        <w:rPr>
          <w:i/>
          <w:iCs/>
        </w:rPr>
        <w:t xml:space="preserve">Constellations</w:t>
      </w:r>
      <w:r>
        <w:t xml:space="preserve"> </w:t>
      </w:r>
      <w:r>
        <w:t xml:space="preserve">20/4 (2013), 518–32, at 522. The observation is entered against Schnädelbach’s objection and not against the counter-programme.</w:t>
      </w:r>
    </w:p>
  </w:footnote>
  <w:footnote w:id="50">
    <w:p>
      <w:pPr>
        <w:pStyle w:val="FootnoteText"/>
      </w:pPr>
      <w:r>
        <w:rPr>
          <w:rStyle w:val="FootnoteReference"/>
        </w:rPr>
        <w:footnoteRef/>
      </w:r>
      <w:r>
        <w:t xml:space="preserve"> </w:t>
      </w:r>
      <w:r>
        <w:t xml:space="preserve">J. P. Brune, R. Stern and M. H. Werner (eds),</w:t>
      </w:r>
      <w:r>
        <w:t xml:space="preserve"> </w:t>
      </w:r>
      <w:r>
        <w:rPr>
          <w:i/>
          <w:iCs/>
        </w:rPr>
        <w:t xml:space="preserve">Transcendental Arguments in Moral Theory</w:t>
      </w:r>
      <w:r>
        <w:t xml:space="preserve"> </w:t>
      </w:r>
      <w:r>
        <w:t xml:space="preserve">(Berlin and Boston: De Gruyter, 2017): M. Kettner,</w:t>
      </w:r>
      <w:r>
        <w:t xml:space="preserve"> </w:t>
      </w:r>
      <w:r>
        <w:t xml:space="preserve">‘Argumentative Discourse: The Transcendental Starting Point of Apelian Discourse Ethics’</w:t>
      </w:r>
      <w:r>
        <w:t xml:space="preserve">, 325–48; M. H. Werner,</w:t>
      </w:r>
      <w:r>
        <w:t xml:space="preserve"> </w:t>
      </w:r>
      <w:r>
        <w:t xml:space="preserve">‘Social Constitutivism and the Role of Retorsive Arguments’</w:t>
      </w:r>
      <w:r>
        <w:t xml:space="preserve">, 231–46; J. P. Brune,</w:t>
      </w:r>
      <w:r>
        <w:t xml:space="preserve"> </w:t>
      </w:r>
      <w:r>
        <w:t xml:space="preserve">‘Transcending Value: Two Readings of Performative Inconsistency’</w:t>
      </w:r>
      <w:r>
        <w:t xml:space="preserve">, 283–300.</w:t>
      </w:r>
    </w:p>
  </w:footnote>
  <w:footnote w:id="51">
    <w:p>
      <w:pPr>
        <w:pStyle w:val="FootnoteText"/>
      </w:pPr>
      <w:r>
        <w:rPr>
          <w:rStyle w:val="FootnoteReference"/>
        </w:rPr>
        <w:footnoteRef/>
      </w:r>
      <w:r>
        <w:t xml:space="preserve"> </w:t>
      </w:r>
      <w:r>
        <w:t xml:space="preserve">Matthias Kettner,</w:t>
      </w:r>
      <w:r>
        <w:t xml:space="preserve"> </w:t>
      </w:r>
      <w:r>
        <w:t xml:space="preserve">‘Discourse Ethics: Apel, Habermas, and Beyond’</w:t>
      </w:r>
      <w:r>
        <w:t xml:space="preserve">, in Christoph Rehmann-Sutter, Marcus Düwell and Dietmar Mieth (eds),</w:t>
      </w:r>
      <w:r>
        <w:t xml:space="preserve"> </w:t>
      </w:r>
      <w:r>
        <w:rPr>
          <w:i/>
          <w:iCs/>
        </w:rPr>
        <w:t xml:space="preserve">Bioethics in Cultural Contexts</w:t>
      </w:r>
      <w:r>
        <w:t xml:space="preserve"> </w:t>
      </w:r>
      <w:r>
        <w:t xml:space="preserve">(Dordrecht: Springer, 2006), 299–318, at 315–16 n. 2.</w:t>
      </w:r>
    </w:p>
  </w:footnote>
  <w:footnote w:id="52">
    <w:p>
      <w:pPr>
        <w:pStyle w:val="FootnoteText"/>
      </w:pPr>
      <w:r>
        <w:rPr>
          <w:rStyle w:val="FootnoteReference"/>
        </w:rPr>
        <w:footnoteRef/>
      </w:r>
      <w:r>
        <w:t xml:space="preserve"> </w:t>
      </w:r>
      <w:r>
        <w:t xml:space="preserve">Horst Gronke,</w:t>
      </w:r>
      <w:r>
        <w:t xml:space="preserve"> </w:t>
      </w:r>
      <w:r>
        <w:t xml:space="preserve">‘Apel versus Habermas: Zur Architektonik der Diskursethik’</w:t>
      </w:r>
      <w:r>
        <w:t xml:space="preserve">, in A. Dorschel, M. Kettner, W. Kuhlmann and M. Niquet (eds),</w:t>
      </w:r>
      <w:r>
        <w:t xml:space="preserve"> </w:t>
      </w:r>
      <w:r>
        <w:rPr>
          <w:i/>
          <w:iCs/>
        </w:rPr>
        <w:t xml:space="preserve">Transzendentalpragmatik</w:t>
      </w:r>
      <w:r>
        <w:t xml:space="preserve"> </w:t>
      </w:r>
      <w:r>
        <w:t xml:space="preserve">(Frankfurt: Suhrkamp, 1993), 273–96.</w:t>
      </w:r>
    </w:p>
  </w:footnote>
  <w:footnote w:id="54">
    <w:p>
      <w:pPr>
        <w:pStyle w:val="FootnoteText"/>
      </w:pPr>
      <w:r>
        <w:rPr>
          <w:rStyle w:val="FootnoteReference"/>
        </w:rPr>
        <w:footnoteRef/>
      </w:r>
      <w:r>
        <w:t xml:space="preserve"> </w:t>
      </w:r>
      <w:r>
        <w:t xml:space="preserve">MCCA 86 for the compulsion shaken off outside argumentation;</w:t>
      </w:r>
      <w:r>
        <w:t xml:space="preserve"> </w:t>
      </w:r>
      <w:r>
        <w:rPr>
          <w:i/>
          <w:iCs/>
        </w:rPr>
        <w:t xml:space="preserve">Postmetaphysical Thinking II</w:t>
      </w:r>
      <w:r>
        <w:t xml:space="preserve">, trans. Ciaran Cronin (Cambridge: Polity, 2017), ch. 9, §III, n. 22, for the idealising and counterfactual content; MCCA 97 for the status of an assumption. The three-way division is not marked as such by Habermas.</w:t>
      </w:r>
    </w:p>
  </w:footnote>
  <w:footnote w:id="55">
    <w:p>
      <w:pPr>
        <w:pStyle w:val="FootnoteText"/>
      </w:pPr>
      <w:r>
        <w:rPr>
          <w:rStyle w:val="FootnoteReference"/>
        </w:rPr>
        <w:footnoteRef/>
      </w:r>
      <w:r>
        <w:t xml:space="preserve"> </w:t>
      </w:r>
      <w:r>
        <w:t xml:space="preserve">BNR 41.</w:t>
      </w:r>
    </w:p>
  </w:footnote>
  <w:footnote w:id="56">
    <w:p>
      <w:pPr>
        <w:pStyle w:val="FootnoteText"/>
      </w:pPr>
      <w:r>
        <w:rPr>
          <w:rStyle w:val="FootnoteReference"/>
        </w:rPr>
        <w:footnoteRef/>
      </w:r>
      <w:r>
        <w:t xml:space="preserve"> </w:t>
      </w:r>
      <w:r>
        <w:t xml:space="preserve">MCCA 95; Chapter Two §2.1.2 displays the sentence.</w:t>
      </w:r>
    </w:p>
  </w:footnote>
  <w:footnote w:id="57">
    <w:p>
      <w:pPr>
        <w:pStyle w:val="FootnoteText"/>
      </w:pPr>
      <w:r>
        <w:rPr>
          <w:rStyle w:val="FootnoteReference"/>
        </w:rPr>
        <w:footnoteRef/>
      </w:r>
      <w:r>
        <w:t xml:space="preserve"> </w:t>
      </w:r>
      <w:r>
        <w:t xml:space="preserve">The figure is Brunkhorst’s, describing philosophy’s doubly negativistic office:</w:t>
      </w:r>
      <w:r>
        <w:t xml:space="preserve"> </w:t>
      </w:r>
      <w:r>
        <w:t xml:space="preserve">‘double negation is not the same as affirmation on the mathematical model (i.e.,</w:t>
      </w:r>
      <w:r>
        <w:t xml:space="preserve"> </w:t>
      </w:r>
      <w:r>
        <w:t xml:space="preserve">“minus times minus equals plus”</w:t>
      </w:r>
      <w:r>
        <w:t xml:space="preserve">)’</w:t>
      </w:r>
      <w:r>
        <w:t xml:space="preserve">, in Hauke Brunkhorst, Regina Kreide and Cristina Lafont (eds),</w:t>
      </w:r>
      <w:r>
        <w:t xml:space="preserve"> </w:t>
      </w:r>
      <w:r>
        <w:rPr>
          <w:i/>
          <w:iCs/>
        </w:rPr>
        <w:t xml:space="preserve">The Habermas Handbook</w:t>
      </w:r>
      <w:r>
        <w:t xml:space="preserve"> </w:t>
      </w:r>
      <w:r>
        <w:t xml:space="preserve">(New York: Columbia University Press, 2018), 356. The inferential principle stated here is the chapter’s.</w:t>
      </w:r>
    </w:p>
  </w:footnote>
  <w:footnote w:id="58">
    <w:p>
      <w:pPr>
        <w:pStyle w:val="FootnoteText"/>
      </w:pPr>
      <w:r>
        <w:rPr>
          <w:rStyle w:val="FootnoteReference"/>
        </w:rPr>
        <w:footnoteRef/>
      </w:r>
      <w:r>
        <w:t xml:space="preserve"> </w:t>
      </w:r>
      <w:r>
        <w:t xml:space="preserve">TJ 230 for rightness as an epistemic concept which has lost the ontological connotation of truth; TJ 258 for the fallibilist proviso under which agreement in moral discourse nonetheless stands.</w:t>
      </w:r>
    </w:p>
  </w:footnote>
  <w:footnote w:id="59">
    <w:p>
      <w:pPr>
        <w:pStyle w:val="FootnoteText"/>
      </w:pPr>
      <w:r>
        <w:rPr>
          <w:rStyle w:val="FootnoteReference"/>
        </w:rPr>
        <w:footnoteRef/>
      </w:r>
      <w:r>
        <w:t xml:space="preserve"> </w:t>
      </w:r>
      <w:r>
        <w:t xml:space="preserve">MCCA 32. The relation asserted is one of sentence order on the page and nothing else.</w:t>
      </w:r>
    </w:p>
  </w:footnote>
  <w:footnote w:id="61">
    <w:p>
      <w:pPr>
        <w:pStyle w:val="FootnoteText"/>
      </w:pPr>
      <w:r>
        <w:rPr>
          <w:rStyle w:val="FootnoteReference"/>
        </w:rPr>
        <w:footnoteRef/>
      </w:r>
      <w:r>
        <w:t xml:space="preserve"> </w:t>
      </w:r>
      <w:r>
        <w:t xml:space="preserve">Robert Brandom,</w:t>
      </w:r>
      <w:r>
        <w:t xml:space="preserve"> </w:t>
      </w:r>
      <w:r>
        <w:rPr>
          <w:i/>
          <w:iCs/>
        </w:rPr>
        <w:t xml:space="preserve">Making It Explicit</w:t>
      </w:r>
      <w:r>
        <w:t xml:space="preserve"> </w:t>
      </w:r>
      <w:r>
        <w:t xml:space="preserve">(Cambridge, MA: Harvard University Press, 1994), 595 and 600, for objectivity as a structural feature of each scorekeeping perspective.</w:t>
      </w:r>
    </w:p>
  </w:footnote>
  <w:footnote w:id="62">
    <w:p>
      <w:pPr>
        <w:pStyle w:val="FootnoteText"/>
      </w:pPr>
      <w:r>
        <w:rPr>
          <w:rStyle w:val="FootnoteReference"/>
        </w:rPr>
        <w:footnoteRef/>
      </w:r>
      <w:r>
        <w:t xml:space="preserve"> </w:t>
      </w:r>
      <w:r>
        <w:t xml:space="preserve">OPC 207, in</w:t>
      </w:r>
      <w:r>
        <w:t xml:space="preserve"> </w:t>
      </w:r>
      <w:r>
        <w:t xml:space="preserve">‘A Reply’</w:t>
      </w:r>
      <w:r>
        <w:t xml:space="preserve"> </w:t>
      </w:r>
      <w:r>
        <w:t xml:space="preserve">(1991). The unavailability of a two-realm architecture is drawn here against the interest of the argument rather than in its favour.</w:t>
      </w:r>
    </w:p>
  </w:footnote>
  <w:footnote w:id="63">
    <w:p>
      <w:pPr>
        <w:pStyle w:val="FootnoteText"/>
      </w:pPr>
      <w:r>
        <w:rPr>
          <w:rStyle w:val="FootnoteReference"/>
        </w:rPr>
        <w:footnoteRef/>
      </w:r>
      <w:r>
        <w:t xml:space="preserve"> </w:t>
      </w:r>
      <w:r>
        <w:t xml:space="preserve">SE2 99, Apel’s own endnote 63 to</w:t>
      </w:r>
      <w:r>
        <w:t xml:space="preserve"> </w:t>
      </w:r>
      <w:r>
        <w:t xml:space="preserve">‘The Question of Grounding’</w:t>
      </w:r>
      <w:r>
        <w:t xml:space="preserve">. The register he there contrasts with the performative is logical demonstration and not the propositional as such; that this narrowing strengthens the result of §3.2.1 rather than conceding to Apel is argued in the body.</w:t>
      </w:r>
    </w:p>
  </w:footnote>
  <w:footnote w:id="65">
    <w:p>
      <w:pPr>
        <w:pStyle w:val="FootnoteText"/>
      </w:pPr>
      <w:r>
        <w:rPr>
          <w:rStyle w:val="FootnoteReference"/>
        </w:rPr>
        <w:footnoteRef/>
      </w:r>
      <w:r>
        <w:t xml:space="preserve"> </w:t>
      </w:r>
      <w:r>
        <w:t xml:space="preserve">MCCA 97.</w:t>
      </w:r>
    </w:p>
  </w:footnote>
  <w:footnote w:id="66">
    <w:p>
      <w:pPr>
        <w:pStyle w:val="FootnoteText"/>
      </w:pPr>
      <w:r>
        <w:rPr>
          <w:rStyle w:val="FootnoteReference"/>
        </w:rPr>
        <w:footnoteRef/>
      </w:r>
      <w:r>
        <w:t xml:space="preserve"> </w:t>
      </w:r>
      <w:r>
        <w:t xml:space="preserve">TCA I 119.</w:t>
      </w:r>
    </w:p>
  </w:footnote>
  <w:footnote w:id="67">
    <w:p>
      <w:pPr>
        <w:pStyle w:val="FootnoteText"/>
      </w:pPr>
      <w:r>
        <w:rPr>
          <w:rStyle w:val="FootnoteReference"/>
        </w:rPr>
        <w:footnoteRef/>
      </w:r>
      <w:r>
        <w:t xml:space="preserve"> </w:t>
      </w:r>
      <w:r>
        <w:t xml:space="preserve">JA 83. The token/type analysis has no counterpart in either author.</w:t>
      </w:r>
    </w:p>
  </w:footnote>
  <w:footnote w:id="68">
    <w:p>
      <w:pPr>
        <w:pStyle w:val="FootnoteText"/>
      </w:pPr>
      <w:r>
        <w:rPr>
          <w:rStyle w:val="FootnoteReference"/>
        </w:rPr>
        <w:footnoteRef/>
      </w:r>
      <w:r>
        <w:t xml:space="preserve"> </w:t>
      </w:r>
      <w:r>
        <w:t xml:space="preserve">SE2 198; FTSPV 88, where the concession</w:t>
      </w:r>
      <w:r>
        <w:t xml:space="preserve"> </w:t>
      </w:r>
      <w:r>
        <w:t xml:space="preserve">‘all such explications are revisable’</w:t>
      </w:r>
      <w:r>
        <w:t xml:space="preserve"> </w:t>
      </w:r>
      <w:r>
        <w:t xml:space="preserve">stands on the page with the condition that the fallibilism principle is coherent</w:t>
      </w:r>
      <w:r>
        <w:t xml:space="preserve"> </w:t>
      </w:r>
      <w:r>
        <w:t xml:space="preserve">‘only if its presuppositions are coherent in their a priori certainty’</w:t>
      </w:r>
      <w:r>
        <w:t xml:space="preserve">.</w:t>
      </w:r>
    </w:p>
  </w:footnote>
  <w:footnote w:id="69">
    <w:p>
      <w:pPr>
        <w:pStyle w:val="FootnoteText"/>
      </w:pPr>
      <w:r>
        <w:rPr>
          <w:rStyle w:val="FootnoteReference"/>
        </w:rPr>
        <w:footnoteRef/>
      </w:r>
      <w:r>
        <w:t xml:space="preserve"> </w:t>
      </w:r>
      <w:r>
        <w:t xml:space="preserve">SE2 198 and 200.</w:t>
      </w:r>
    </w:p>
  </w:footnote>
  <w:footnote w:id="70">
    <w:p>
      <w:pPr>
        <w:pStyle w:val="FootnoteText"/>
      </w:pPr>
      <w:r>
        <w:rPr>
          <w:rStyle w:val="FootnoteReference"/>
        </w:rPr>
        <w:footnoteRef/>
      </w:r>
      <w:r>
        <w:t xml:space="preserve"> </w:t>
      </w:r>
      <w:r>
        <w:t xml:space="preserve">SE2 197; and SE2 179 for self-accountability placed among the conditions of the reconstructive sciences’ possibility and not among their results.</w:t>
      </w:r>
    </w:p>
  </w:footnote>
  <w:footnote w:id="71">
    <w:p>
      <w:pPr>
        <w:pStyle w:val="FootnoteText"/>
      </w:pPr>
      <w:r>
        <w:rPr>
          <w:rStyle w:val="FootnoteReference"/>
        </w:rPr>
        <w:footnoteRef/>
      </w:r>
      <w:r>
        <w:t xml:space="preserve"> </w:t>
      </w:r>
      <w:r>
        <w:t xml:space="preserve">MCCA 98; BNR 88.</w:t>
      </w:r>
    </w:p>
  </w:footnote>
  <w:footnote w:id="72">
    <w:p>
      <w:pPr>
        <w:pStyle w:val="FootnoteText"/>
      </w:pPr>
      <w:r>
        <w:rPr>
          <w:rStyle w:val="FootnoteReference"/>
        </w:rPr>
        <w:footnoteRef/>
      </w:r>
      <w:r>
        <w:t xml:space="preserve"> </w:t>
      </w:r>
      <w:r>
        <w:t xml:space="preserve">MCCA 81.</w:t>
      </w:r>
    </w:p>
  </w:footnote>
  <w:footnote w:id="73">
    <w:p>
      <w:pPr>
        <w:pStyle w:val="FootnoteText"/>
      </w:pPr>
      <w:r>
        <w:rPr>
          <w:rStyle w:val="FootnoteReference"/>
        </w:rPr>
        <w:footnoteRef/>
      </w:r>
      <w:r>
        <w:t xml:space="preserve"> </w:t>
      </w:r>
      <w:r>
        <w:t xml:space="preserve">Kant,</w:t>
      </w:r>
      <w:r>
        <w:t xml:space="preserve"> </w:t>
      </w:r>
      <w:r>
        <w:rPr>
          <w:i/>
          <w:iCs/>
        </w:rPr>
        <w:t xml:space="preserve">Critique of Pure Reason</w:t>
      </w:r>
      <w:r>
        <w:t xml:space="preserve">, B131–32.</w:t>
      </w:r>
    </w:p>
  </w:footnote>
  <w:footnote w:id="75">
    <w:p>
      <w:pPr>
        <w:pStyle w:val="FootnoteText"/>
      </w:pPr>
      <w:r>
        <w:rPr>
          <w:rStyle w:val="FootnoteReference"/>
        </w:rPr>
        <w:footnoteRef/>
      </w:r>
      <w:r>
        <w:t xml:space="preserve"> </w:t>
      </w:r>
      <w:r>
        <w:t xml:space="preserve">FTSPV 21, in</w:t>
      </w:r>
      <w:r>
        <w:t xml:space="preserve"> </w:t>
      </w:r>
      <w:r>
        <w:t xml:space="preserve">‘The impact of analytic philosophy on my intellectual biography’</w:t>
      </w:r>
      <w:r>
        <w:t xml:space="preserve">; and SE2 43:</w:t>
      </w:r>
      <w:r>
        <w:t xml:space="preserve"> </w:t>
      </w:r>
      <w:r>
        <w:t xml:space="preserve">‘This a priori can be reconstructed, but not overlooked.’</w:t>
      </w:r>
    </w:p>
  </w:footnote>
  <w:footnote w:id="76">
    <w:p>
      <w:pPr>
        <w:pStyle w:val="FootnoteText"/>
      </w:pPr>
      <w:r>
        <w:rPr>
          <w:rStyle w:val="FootnoteReference"/>
        </w:rPr>
        <w:footnoteRef/>
      </w:r>
      <w:r>
        <w:t xml:space="preserve"> </w:t>
      </w:r>
      <w:r>
        <w:t xml:space="preserve">MCCA 96, in a passage which credits Apel with the paradigm shift it charges him with abandoning.</w:t>
      </w:r>
    </w:p>
  </w:footnote>
  <w:footnote w:id="77">
    <w:p>
      <w:pPr>
        <w:pStyle w:val="FootnoteText"/>
      </w:pPr>
      <w:r>
        <w:rPr>
          <w:rStyle w:val="FootnoteReference"/>
        </w:rPr>
        <w:footnoteRef/>
      </w:r>
      <w:r>
        <w:t xml:space="preserve"> </w:t>
      </w:r>
      <w:r>
        <w:t xml:space="preserve">FTSPV 21, continuing:</w:t>
      </w:r>
      <w:r>
        <w:t xml:space="preserve"> </w:t>
      </w:r>
      <w:r>
        <w:t xml:space="preserve">‘By contrast Habermas has recently appeared to consider any renewal of the problematic of reflection with the aid of language pragmatics as a relapse into the obsolete paradigm of the transcendental philosophy of consciousness.’</w:t>
      </w:r>
    </w:p>
  </w:footnote>
  <w:footnote w:id="78">
    <w:p>
      <w:pPr>
        <w:pStyle w:val="FootnoteText"/>
      </w:pPr>
      <w:r>
        <w:rPr>
          <w:rStyle w:val="FootnoteReference"/>
        </w:rPr>
        <w:footnoteRef/>
      </w:r>
      <w:r>
        <w:t xml:space="preserve"> </w:t>
      </w:r>
      <w:r>
        <w:t xml:space="preserve">BNR 97; the status is examined at Chapter Two §2.3.2.</w:t>
      </w:r>
    </w:p>
  </w:footnote>
  <w:footnote w:id="79">
    <w:p>
      <w:pPr>
        <w:pStyle w:val="FootnoteText"/>
      </w:pPr>
      <w:r>
        <w:rPr>
          <w:rStyle w:val="FootnoteReference"/>
        </w:rPr>
        <w:footnoteRef/>
      </w:r>
      <w:r>
        <w:t xml:space="preserve"> </w:t>
      </w:r>
      <w:r>
        <w:t xml:space="preserve">MCCA 95. Habermas’s note sends the passage to Kuhlmann (1981); the page reference given for it in earlier drafts (57) cannot be squared with the pagination of Kuhlmann’s article of that year (</w:t>
      </w:r>
      <w:r>
        <w:rPr>
          <w:i/>
          <w:iCs/>
        </w:rPr>
        <w:t xml:space="preserve">Zeitschrift für philosophische Forschung</w:t>
      </w:r>
      <w:r>
        <w:t xml:space="preserve"> </w:t>
      </w:r>
      <w:r>
        <w:t xml:space="preserve">35 (1981), 3–26) and must be taken from MCCA’s own endnote before submission.</w:t>
      </w:r>
    </w:p>
  </w:footnote>
  <w:footnote w:id="80">
    <w:p>
      <w:pPr>
        <w:pStyle w:val="FootnoteText"/>
      </w:pPr>
      <w:r>
        <w:rPr>
          <w:rStyle w:val="FootnoteReference"/>
        </w:rPr>
        <w:footnoteRef/>
      </w:r>
      <w:r>
        <w:t xml:space="preserve"> </w:t>
      </w:r>
      <w:r>
        <w:rPr>
          <w:i/>
          <w:iCs/>
        </w:rPr>
        <w:t xml:space="preserve">Wahrheit und Rechtfertigung</w:t>
      </w:r>
      <w:r>
        <w:t xml:space="preserve"> </w:t>
      </w:r>
      <w:r>
        <w:t xml:space="preserve">(Frankfurt am Main: Suhrkamp, 1999), 26, the sentence Chapter Two §2.1.4 displays in German; and Chapter Two §2.1 for the two offices.</w:t>
      </w:r>
    </w:p>
  </w:footnote>
  <w:footnote w:id="81">
    <w:p>
      <w:pPr>
        <w:pStyle w:val="FootnoteText"/>
      </w:pPr>
      <w:r>
        <w:rPr>
          <w:rStyle w:val="FootnoteReference"/>
        </w:rPr>
        <w:footnoteRef/>
      </w:r>
      <w:r>
        <w:t xml:space="preserve"> </w:t>
      </w:r>
      <w:r>
        <w:t xml:space="preserve">PSC 646. The next sentence calls the modality</w:t>
      </w:r>
      <w:r>
        <w:t xml:space="preserve"> </w:t>
      </w:r>
      <w:r>
        <w:t xml:space="preserve">‘a detranscendentalized conception of de facto unavoidability for our species’</w:t>
      </w:r>
      <w:r>
        <w:t xml:space="preserve">. Habermas’s own term for the register in the essay is</w:t>
      </w:r>
      <w:r>
        <w:t xml:space="preserve"> </w:t>
      </w:r>
      <w:r>
        <w:t xml:space="preserve">‘quasi-transcendental’</w:t>
      </w:r>
      <w:r>
        <w:t xml:space="preserve"> </w:t>
      </w:r>
      <w:r>
        <w:t xml:space="preserve">(PSC 635, 636, 645);</w:t>
      </w:r>
      <w:r>
        <w:t xml:space="preserve"> </w:t>
      </w:r>
      <w:r>
        <w:t xml:space="preserve">‘weakly transcendental’</w:t>
      </w:r>
      <w:r>
        <w:t xml:space="preserve"> </w:t>
      </w:r>
      <w:r>
        <w:t xml:space="preserve">is this thesis’s designation for the grade Chapter Two §2.1.4 fixes from his statements of 1991 and 2003, and is not his phrase in 2020.</w:t>
      </w:r>
    </w:p>
  </w:footnote>
  <w:footnote w:id="82">
    <w:p>
      <w:pPr>
        <w:pStyle w:val="FootnoteText"/>
      </w:pPr>
      <w:r>
        <w:rPr>
          <w:rStyle w:val="FootnoteReference"/>
        </w:rPr>
        <w:footnoteRef/>
      </w:r>
      <w:r>
        <w:t xml:space="preserve"> </w:t>
      </w:r>
      <w:r>
        <w:rPr>
          <w:i/>
          <w:iCs/>
        </w:rPr>
        <w:t xml:space="preserve">Wahrheit und Rechtfertigung</w:t>
      </w:r>
      <w:r>
        <w:t xml:space="preserve">, 51;</w:t>
      </w:r>
      <w:r>
        <w:t xml:space="preserve"> </w:t>
      </w:r>
      <w:r>
        <w:rPr>
          <w:i/>
          <w:iCs/>
        </w:rPr>
        <w:t xml:space="preserve">Auch eine Geschichte der Philosophie</w:t>
      </w:r>
      <w:r>
        <w:t xml:space="preserve">, 2 vols (Berlin: Suhrkamp, 2019; cited from the paperback edition of 2022), Bd. II, 755 (</w:t>
      </w:r>
      <w:r>
        <w:t xml:space="preserve">‘wir können sie nur im Vollzug einer Operation, die sich auf anderes richtet, rekonstruieren’</w:t>
      </w:r>
      <w:r>
        <w:t xml:space="preserve">), where the page before expressly downgrades the modality, calling the suppositions not necessary in a logically compelling sense but unavoidable or irreplaceable (754). Translations are the chapter’s.</w:t>
      </w:r>
    </w:p>
  </w:footnote>
  <w:footnote w:id="83">
    <w:p>
      <w:pPr>
        <w:pStyle w:val="FootnoteText"/>
      </w:pPr>
      <w:r>
        <w:rPr>
          <w:rStyle w:val="FootnoteReference"/>
        </w:rPr>
        <w:footnoteRef/>
      </w:r>
      <w:r>
        <w:t xml:space="preserve"> </w:t>
      </w:r>
      <w:r>
        <w:t xml:space="preserve">Apel,</w:t>
      </w:r>
      <w:r>
        <w:t xml:space="preserve"> </w:t>
      </w:r>
      <w:r>
        <w:rPr>
          <w:i/>
          <w:iCs/>
        </w:rPr>
        <w:t xml:space="preserve">Diskurs und Verantwortung</w:t>
      </w:r>
      <w:r>
        <w:t xml:space="preserve"> </w:t>
      </w:r>
      <w:r>
        <w:t xml:space="preserve">(Frankfurt: Suhrkamp, 1988), 253 n. 6; and 117–18 n. 17, where the reconstructive theory of communicative action is said not to replace the ultimate grounding of ethics but to presuppose it,</w:t>
      </w:r>
      <w:r>
        <w:t xml:space="preserve"> </w:t>
      </w:r>
      <w:r>
        <w:t xml:space="preserve">‘sondern setzt sie schon voraus’</w:t>
      </w:r>
      <w:r>
        <w:t xml:space="preserve">. Translations are the chapter’s.</w:t>
      </w:r>
    </w:p>
  </w:footnote>
  <w:footnote w:id="84">
    <w:p>
      <w:pPr>
        <w:pStyle w:val="FootnoteText"/>
      </w:pPr>
      <w:r>
        <w:rPr>
          <w:rStyle w:val="FootnoteReference"/>
        </w:rPr>
        <w:footnoteRef/>
      </w:r>
      <w:r>
        <w:t xml:space="preserve"> </w:t>
      </w:r>
      <w:r>
        <w:t xml:space="preserve">MCCA 95–96. Apel’s reply of 1989, that the charge establishes only the formal-logical non-rejectability of a claim within a language game which could as a whole be questioned, and that this is not available for the language game in which language games as such are spoken about, stands at Chapter One §1.6.2.</w:t>
      </w:r>
    </w:p>
  </w:footnote>
  <w:footnote w:id="85">
    <w:p>
      <w:pPr>
        <w:pStyle w:val="FootnoteText"/>
      </w:pPr>
      <w:r>
        <w:rPr>
          <w:rStyle w:val="FootnoteReference"/>
        </w:rPr>
        <w:footnoteRef/>
      </w:r>
      <w:r>
        <w:t xml:space="preserve"> </w:t>
      </w:r>
      <w:r>
        <w:t xml:space="preserve">Marcel Niquet,</w:t>
      </w:r>
      <w:r>
        <w:t xml:space="preserve"> </w:t>
      </w:r>
      <w:r>
        <w:rPr>
          <w:i/>
          <w:iCs/>
        </w:rPr>
        <w:t xml:space="preserve">Transzendentale Argumente: Kant, Strawson und die Aporetik der Detranszendentalisierung</w:t>
      </w:r>
      <w:r>
        <w:t xml:space="preserve"> </w:t>
      </w:r>
      <w:r>
        <w:t xml:space="preserve">(Frankfurt am Main: Suhrkamp, 1991), §2.2.3 (61 ff.), whose section title gives the triad</w:t>
      </w:r>
      <w:r>
        <w:t xml:space="preserve"> </w:t>
      </w:r>
      <w:r>
        <w:rPr>
          <w:i/>
          <w:iCs/>
        </w:rPr>
        <w:t xml:space="preserve">Konzeptualschemata, Alternativenlosigkeit, Vorstellbarkeit</w:t>
      </w:r>
      <w:r>
        <w:t xml:space="preserve">. The application is the chapter’s.</w:t>
      </w:r>
    </w:p>
  </w:footnote>
  <w:footnote w:id="87">
    <w:p>
      <w:pPr>
        <w:pStyle w:val="FootnoteText"/>
      </w:pPr>
      <w:r>
        <w:rPr>
          <w:rStyle w:val="FootnoteReference"/>
        </w:rPr>
        <w:footnoteRef/>
      </w:r>
      <w:r>
        <w:t xml:space="preserve"> </w:t>
      </w:r>
      <w:r>
        <w:rPr>
          <w:i/>
          <w:iCs/>
        </w:rPr>
        <w:t xml:space="preserve">Posterior Analytics</w:t>
      </w:r>
      <w:r>
        <w:t xml:space="preserve"> </w:t>
      </w:r>
      <w:r>
        <w:t xml:space="preserve">I.2, 71b20–33; I.3, 72b5–24, with the ground of the second refusal at 72b25–28.</w:t>
      </w:r>
    </w:p>
  </w:footnote>
  <w:footnote w:id="88">
    <w:p>
      <w:pPr>
        <w:pStyle w:val="FootnoteText"/>
      </w:pPr>
      <w:r>
        <w:rPr>
          <w:rStyle w:val="FootnoteReference"/>
        </w:rPr>
        <w:footnoteRef/>
      </w:r>
      <w:r>
        <w:t xml:space="preserve"> </w:t>
      </w:r>
      <w:r>
        <w:t xml:space="preserve">Apel,</w:t>
      </w:r>
      <w:r>
        <w:t xml:space="preserve"> </w:t>
      </w:r>
      <w:r>
        <w:t xml:space="preserve">‘Fundamental-Grounding’</w:t>
      </w:r>
      <w:r>
        <w:t xml:space="preserve"> </w:t>
      </w:r>
      <w:r>
        <w:t xml:space="preserve">(1975), 244 and 243; his n. 15 (270) quotes</w:t>
      </w:r>
      <w:r>
        <w:t xml:space="preserve"> </w:t>
      </w:r>
      <w:r>
        <w:rPr>
          <w:i/>
          <w:iCs/>
        </w:rPr>
        <w:t xml:space="preserve">Metaphysics</w:t>
      </w:r>
      <w:r>
        <w:t xml:space="preserve"> </w:t>
      </w:r>
      <w:r>
        <w:t xml:space="preserve">Γ.4, 1006a6–18, as the illustration of the classical problem, and his n. 17 refers to</w:t>
      </w:r>
      <w:r>
        <w:t xml:space="preserve"> </w:t>
      </w:r>
      <w:r>
        <w:rPr>
          <w:i/>
          <w:iCs/>
        </w:rPr>
        <w:t xml:space="preserve">An. Post.</w:t>
      </w:r>
      <w:r>
        <w:t xml:space="preserve"> </w:t>
      </w:r>
      <w:r>
        <w:t xml:space="preserve">I.2, 71b20 ff. Albert’s three alternatives are rendered at 240.</w:t>
      </w:r>
    </w:p>
  </w:footnote>
  <w:footnote w:id="89">
    <w:p>
      <w:pPr>
        <w:pStyle w:val="FootnoteText"/>
      </w:pPr>
      <w:r>
        <w:rPr>
          <w:rStyle w:val="FootnoteReference"/>
        </w:rPr>
        <w:footnoteRef/>
      </w:r>
      <w:r>
        <w:t xml:space="preserve"> </w:t>
      </w:r>
      <w:r>
        <w:t xml:space="preserve">Hans Albert,</w:t>
      </w:r>
      <w:r>
        <w:t xml:space="preserve"> </w:t>
      </w:r>
      <w:r>
        <w:rPr>
          <w:i/>
          <w:iCs/>
        </w:rPr>
        <w:t xml:space="preserve">Traktat über kritische Vernunft</w:t>
      </w:r>
      <w:r>
        <w:t xml:space="preserve">, ch. 1, §2. The older trilemma of dogmatism, infinite regress and psychologism, which Popper reports from Fries, stands beside Albert’s and not within Apel’s reconstruction: Karl Popper,</w:t>
      </w:r>
      <w:r>
        <w:t xml:space="preserve"> </w:t>
      </w:r>
      <w:r>
        <w:rPr>
          <w:i/>
          <w:iCs/>
        </w:rPr>
        <w:t xml:space="preserve">The Logic of Scientific Discovery</w:t>
      </w:r>
      <w:r>
        <w:t xml:space="preserve"> </w:t>
      </w:r>
      <w:r>
        <w:t xml:space="preserve">(London: Hutchinson, 1959), §25.</w:t>
      </w:r>
    </w:p>
  </w:footnote>
  <w:footnote w:id="90">
    <w:p>
      <w:pPr>
        <w:pStyle w:val="FootnoteText"/>
      </w:pPr>
      <w:r>
        <w:rPr>
          <w:rStyle w:val="FootnoteReference"/>
        </w:rPr>
        <w:footnoteRef/>
      </w:r>
      <w:r>
        <w:t xml:space="preserve"> </w:t>
      </w:r>
      <w:r>
        <w:rPr>
          <w:i/>
          <w:iCs/>
        </w:rPr>
        <w:t xml:space="preserve">Topics</w:t>
      </w:r>
      <w:r>
        <w:t xml:space="preserve"> </w:t>
      </w:r>
      <w:r>
        <w:t xml:space="preserve">I.2, 101a36–b4, in</w:t>
      </w:r>
      <w:r>
        <w:t xml:space="preserve"> </w:t>
      </w:r>
      <w:r>
        <w:rPr>
          <w:i/>
          <w:iCs/>
        </w:rPr>
        <w:t xml:space="preserve">Aristotle: Topics Books I and VIII</w:t>
      </w:r>
      <w:r>
        <w:t xml:space="preserve">, trans. Robin Smith (Oxford: Clarendon Press, 1997), 2–3. The strength of the assignment is disputed; what is taken here is the weaker and undisputed reading, that the indemonstrable principles are approached examinatively and not demonstratively.</w:t>
      </w:r>
    </w:p>
  </w:footnote>
  <w:footnote w:id="91">
    <w:p>
      <w:pPr>
        <w:pStyle w:val="FootnoteText"/>
      </w:pPr>
      <w:r>
        <w:rPr>
          <w:rStyle w:val="FootnoteReference"/>
        </w:rPr>
        <w:footnoteRef/>
      </w:r>
      <w:r>
        <w:t xml:space="preserve"> </w:t>
      </w:r>
      <w:r>
        <w:rPr>
          <w:i/>
          <w:iCs/>
        </w:rPr>
        <w:t xml:space="preserve">On Sophistical Refutations</w:t>
      </w:r>
      <w:r>
        <w:t xml:space="preserve"> </w:t>
      </w:r>
      <w:r>
        <w:t xml:space="preserve">5, 167a23–27, for the definition of a refutation as a deduction of the contradictory of the respondent’s thesis from premises he has granted, the point at issue itself excluded; 8, 169b25–27, and 11, 171b4–6, for examination as a department of dialectic; quoted from E. S. Forster’s Loeb rendering (Cambridge, MA: Harvard University Press, 1955). The definition does not deny the procedure premises; it fixes their provenance.</w:t>
      </w:r>
    </w:p>
  </w:footnote>
  <w:footnote w:id="92">
    <w:p>
      <w:pPr>
        <w:pStyle w:val="FootnoteText"/>
      </w:pPr>
      <w:r>
        <w:rPr>
          <w:rStyle w:val="FootnoteReference"/>
        </w:rPr>
        <w:footnoteRef/>
      </w:r>
      <w:r>
        <w:t xml:space="preserve"> </w:t>
      </w:r>
      <w:r>
        <w:t xml:space="preserve">Enrico Berti,</w:t>
      </w:r>
      <w:r>
        <w:t xml:space="preserve"> </w:t>
      </w:r>
      <w:r>
        <w:t xml:space="preserve">‘Ancient Greek Dialectic as an Expression of Freedom of Thought and Speech’</w:t>
      </w:r>
      <w:r>
        <w:t xml:space="preserve">,</w:t>
      </w:r>
      <w:r>
        <w:t xml:space="preserve"> </w:t>
      </w:r>
      <w:r>
        <w:rPr>
          <w:i/>
          <w:iCs/>
        </w:rPr>
        <w:t xml:space="preserve">Journal of the History of Ideas</w:t>
      </w:r>
      <w:r>
        <w:t xml:space="preserve"> </w:t>
      </w:r>
      <w:r>
        <w:t xml:space="preserve">39/3 (1978), 347–70, on the Socratic elenchos as exhibiting the contradiction between the thesis an interlocutor advances and the ensemble of beliefs he holds, without supplying a procedure for transcending it. Berti’s reading of the</w:t>
      </w:r>
      <w:r>
        <w:t xml:space="preserve"> </w:t>
      </w:r>
      <w:r>
        <w:rPr>
          <w:i/>
          <w:iCs/>
        </w:rPr>
        <w:t xml:space="preserve">Metaphysics</w:t>
      </w:r>
      <w:r>
        <w:t xml:space="preserve"> </w:t>
      </w:r>
      <w:r>
        <w:t xml:space="preserve">as a working-through of ἀπορίαι, with Β.1 (995a27–33) stating the method in Aristotle’s own voice, is taken under his name; the departure entered below, that the examination which reaches the principle need not proceed from ἔνδοξα, is a departure from him.</w:t>
      </w:r>
    </w:p>
  </w:footnote>
  <w:footnote w:id="93">
    <w:p>
      <w:pPr>
        <w:pStyle w:val="FootnoteText"/>
      </w:pPr>
      <w:r>
        <w:rPr>
          <w:rStyle w:val="FootnoteReference"/>
        </w:rPr>
        <w:footnoteRef/>
      </w:r>
      <w:r>
        <w:t xml:space="preserve"> </w:t>
      </w:r>
      <w:r>
        <w:t xml:space="preserve">Jan Łukasiewicz,</w:t>
      </w:r>
      <w:r>
        <w:t xml:space="preserve"> </w:t>
      </w:r>
      <w:r>
        <w:t xml:space="preserve">‘Über den Satz des Widerspruchs bei Aristoteles’</w:t>
      </w:r>
      <w:r>
        <w:t xml:space="preserve"> </w:t>
      </w:r>
      <w:r>
        <w:t xml:space="preserve">(1910), trans. as</w:t>
      </w:r>
      <w:r>
        <w:t xml:space="preserve"> </w:t>
      </w:r>
      <w:r>
        <w:t xml:space="preserve">‘On the Principle of Contradiction in Aristotle’</w:t>
      </w:r>
      <w:r>
        <w:t xml:space="preserve">,</w:t>
      </w:r>
      <w:r>
        <w:t xml:space="preserve"> </w:t>
      </w:r>
      <w:r>
        <w:rPr>
          <w:i/>
          <w:iCs/>
        </w:rPr>
        <w:t xml:space="preserve">Review of Metaphysics</w:t>
      </w:r>
      <w:r>
        <w:t xml:space="preserve"> </w:t>
      </w:r>
      <w:r>
        <w:t xml:space="preserve">24 (1971), 485–509. His own ranking makes the ontological formulation primary,</w:t>
      </w:r>
      <w:r>
        <w:t xml:space="preserve"> </w:t>
      </w:r>
      <w:r>
        <w:t xml:space="preserve">‘the principle of contradiction κατ’</w:t>
      </w:r>
      <w:r>
        <w:t xml:space="preserve"> </w:t>
      </w:r>
      <w:r>
        <w:t xml:space="preserve">ἐξοχήν’, and he argues that there is reason to doubt whether the three are logically equivalent; his verdict, that the principle is left unjustified in that formulation, is not adopted. The Greek of Γ throughout this chapter is quoted from W. D. Ross (ed.),</w:t>
      </w:r>
      <w:r>
        <w:t xml:space="preserve"> </w:t>
      </w:r>
      <w:r>
        <w:rPr>
          <w:i/>
          <w:iCs/>
        </w:rPr>
        <w:t xml:space="preserve">Aristotle’s Metaphysics</w:t>
      </w:r>
      <w:r>
        <w:t xml:space="preserve">, 2 vols (Oxford: Clarendon Press, 1924); Christopher Kirwan,</w:t>
      </w:r>
      <w:r>
        <w:t xml:space="preserve"> </w:t>
      </w:r>
      <w:r>
        <w:rPr>
          <w:i/>
          <w:iCs/>
        </w:rPr>
        <w:t xml:space="preserve">Aristotle: Metaphysics Books Γ, Δ, Ε</w:t>
      </w:r>
      <w:r>
        <w:t xml:space="preserve">, 2nd edn (Oxford: Clarendon Press, 1993), is used as commentary.</w:t>
      </w:r>
    </w:p>
  </w:footnote>
  <w:footnote w:id="94">
    <w:p>
      <w:pPr>
        <w:pStyle w:val="FootnoteText"/>
      </w:pPr>
      <w:r>
        <w:rPr>
          <w:rStyle w:val="FootnoteReference"/>
        </w:rPr>
        <w:footnoteRef/>
      </w:r>
      <w:r>
        <w:t xml:space="preserve"> </w:t>
      </w:r>
      <w:r>
        <w:rPr>
          <w:i/>
          <w:iCs/>
        </w:rPr>
        <w:t xml:space="preserve">Metaphysics</w:t>
      </w:r>
      <w:r>
        <w:t xml:space="preserve"> </w:t>
      </w:r>
      <w:r>
        <w:t xml:space="preserve">Γ.4, 1006a5–18: τὸ δ’ ἐλεγκτικῶς ἀποδεῖξαι λέγω διαφέρειν καὶ τὸ ἀποδεῖξαι, ὅτι ἀποδεικνύων μὲν ἂν δόξειεν αἰτεῖσθαι τὸ ἐν ἀρχῇ, ἄλλου δὲ τοῦ τοιούτου αἰτίου ὄντος ἔλεγχος ἂν εἴη καὶ οὐκ ἀπόδειξις (1006a15–18, Ross). The clause ἄλλου δὲ τοῦ τοιούτου αἰτίου ὄντος divides the translations: the Revised Oxford Translation construes the other party as responsible for the assumption, Lawson-Tancred (</w:t>
      </w:r>
      <w:r>
        <w:rPr>
          <w:i/>
          <w:iCs/>
        </w:rPr>
        <w:t xml:space="preserve">Aristotle: The Metaphysics</w:t>
      </w:r>
      <w:r>
        <w:t xml:space="preserve">, London: Penguin, 1998) as advancing a principle of his own. The two agree that the burden falls on the respondent and differ on what makes it fall there; the body follows the first, and on the second the procedure is available wherever the opponent advances any principle whatever, which widens its reach and does not narrow it.</w:t>
      </w:r>
    </w:p>
  </w:footnote>
  <w:footnote w:id="95">
    <w:p>
      <w:pPr>
        <w:pStyle w:val="FootnoteText"/>
      </w:pPr>
      <w:r>
        <w:rPr>
          <w:rStyle w:val="FootnoteReference"/>
        </w:rPr>
        <w:footnoteRef/>
      </w:r>
      <w:r>
        <w:t xml:space="preserve"> </w:t>
      </w:r>
      <w:r>
        <w:rPr>
          <w:i/>
          <w:iCs/>
        </w:rPr>
        <w:t xml:space="preserve">Metaphysics</w:t>
      </w:r>
      <w:r>
        <w:t xml:space="preserve"> </w:t>
      </w:r>
      <w:r>
        <w:t xml:space="preserve">Γ.4, 1006a13–22.</w:t>
      </w:r>
    </w:p>
  </w:footnote>
  <w:footnote w:id="96">
    <w:p>
      <w:pPr>
        <w:pStyle w:val="FootnoteText"/>
      </w:pPr>
      <w:r>
        <w:rPr>
          <w:rStyle w:val="FootnoteReference"/>
        </w:rPr>
        <w:footnoteRef/>
      </w:r>
      <w:r>
        <w:t xml:space="preserve"> </w:t>
      </w:r>
      <w:r>
        <w:rPr>
          <w:i/>
          <w:iCs/>
        </w:rPr>
        <w:t xml:space="preserve">Metaphysics</w:t>
      </w:r>
      <w:r>
        <w:t xml:space="preserve"> </w:t>
      </w:r>
      <w:r>
        <w:t xml:space="preserve">Γ.4, 1006b7 (Ross); the stipulation is introduced at 1006a31 ff. On the τι/ἕν transit as the contested joint see Michael V. Wedin,</w:t>
      </w:r>
      <w:r>
        <w:t xml:space="preserve"> </w:t>
      </w:r>
      <w:r>
        <w:t xml:space="preserve">‘Aristotle on the Firmness of the Principle of Non-Contradiction’</w:t>
      </w:r>
      <w:r>
        <w:t xml:space="preserve">,</w:t>
      </w:r>
      <w:r>
        <w:t xml:space="preserve"> </w:t>
      </w:r>
      <w:r>
        <w:rPr>
          <w:i/>
          <w:iCs/>
        </w:rPr>
        <w:t xml:space="preserve">Phronesis</w:t>
      </w:r>
      <w:r>
        <w:t xml:space="preserve"> </w:t>
      </w:r>
      <w:r>
        <w:t xml:space="preserve">49 (2004), 225–65, and Paula Gottlieb,</w:t>
      </w:r>
      <w:r>
        <w:t xml:space="preserve"> </w:t>
      </w:r>
      <w:r>
        <w:t xml:space="preserve">‘Aristotle on Non-contradiction’</w:t>
      </w:r>
      <w:r>
        <w:t xml:space="preserve">,</w:t>
      </w:r>
      <w:r>
        <w:t xml:space="preserve"> </w:t>
      </w:r>
      <w:r>
        <w:rPr>
          <w:i/>
          <w:iCs/>
        </w:rPr>
        <w:t xml:space="preserve">The Stanford Encyclopedia of Philosophy</w:t>
      </w:r>
      <w:r>
        <w:t xml:space="preserve"> </w:t>
      </w:r>
      <w:r>
        <w:t xml:space="preserve">(2023).</w:t>
      </w:r>
    </w:p>
  </w:footnote>
  <w:footnote w:id="97">
    <w:p>
      <w:pPr>
        <w:pStyle w:val="FootnoteText"/>
      </w:pPr>
      <w:r>
        <w:rPr>
          <w:rStyle w:val="FootnoteReference"/>
        </w:rPr>
        <w:footnoteRef/>
      </w:r>
      <w:r>
        <w:t xml:space="preserve"> </w:t>
      </w:r>
      <w:r>
        <w:rPr>
          <w:i/>
          <w:iCs/>
        </w:rPr>
        <w:t xml:space="preserve">Metaphysics</w:t>
      </w:r>
      <w:r>
        <w:t xml:space="preserve"> </w:t>
      </w:r>
      <w:r>
        <w:t xml:space="preserve">Γ.4, 1006a28–b13; the consequence at 1006b5–9, καὶ πρὸς αὑτόν (b9) being an a fortiori extension and not an ordering, so that no inference about the priority of address over solitary thought is drawn from the sentence. Kirwan, notes ad loc., treats the finite-significations concession as the move on which the argument turns.</w:t>
      </w:r>
    </w:p>
  </w:footnote>
  <w:footnote w:id="98">
    <w:p>
      <w:pPr>
        <w:pStyle w:val="FootnoteText"/>
      </w:pPr>
      <w:r>
        <w:rPr>
          <w:rStyle w:val="FootnoteReference"/>
        </w:rPr>
        <w:footnoteRef/>
      </w:r>
      <w:r>
        <w:t xml:space="preserve"> </w:t>
      </w:r>
      <w:r>
        <w:t xml:space="preserve">Alexander of Aphrodisias,</w:t>
      </w:r>
      <w:r>
        <w:t xml:space="preserve"> </w:t>
      </w:r>
      <w:r>
        <w:rPr>
          <w:i/>
          <w:iCs/>
        </w:rPr>
        <w:t xml:space="preserve">In Aristotelis Metaphysica commentaria</w:t>
      </w:r>
      <w:r>
        <w:t xml:space="preserve">, ed. M. Hayduck, CAG I (Berlin: Reimer, 1891), in the English of Arthur Madigan,</w:t>
      </w:r>
      <w:r>
        <w:t xml:space="preserve"> </w:t>
      </w:r>
      <w:r>
        <w:rPr>
          <w:i/>
          <w:iCs/>
        </w:rPr>
        <w:t xml:space="preserve">Alexander of Aphrodisias: On Aristotle Metaphysics 4</w:t>
      </w:r>
      <w:r>
        <w:t xml:space="preserve"> </w:t>
      </w:r>
      <w:r>
        <w:t xml:space="preserve">(London: Duckworth, 1993). The attribution rests on Inna Kupreeva,</w:t>
      </w:r>
      <w:r>
        <w:t xml:space="preserve"> </w:t>
      </w:r>
      <w:r>
        <w:t xml:space="preserve">‘Alexander of Aphrodisias on the Principle of Non-Contradiction: The Argument</w:t>
      </w:r>
      <w:r>
        <w:t xml:space="preserve"> </w:t>
      </w:r>
      <w:r>
        <w:t xml:space="preserve">“from Signification”</w:t>
      </w:r>
      <w:r>
        <w:t xml:space="preserve">’</w:t>
      </w:r>
      <w:r>
        <w:t xml:space="preserve">, in Melina G. Mouzala (ed.),</w:t>
      </w:r>
      <w:r>
        <w:t xml:space="preserve"> </w:t>
      </w:r>
      <w:r>
        <w:rPr>
          <w:i/>
          <w:iCs/>
        </w:rPr>
        <w:t xml:space="preserve">Ancient Greek Dialectic and Its Reception</w:t>
      </w:r>
      <w:r>
        <w:t xml:space="preserve"> </w:t>
      </w:r>
      <w:r>
        <w:t xml:space="preserve">(Berlin: De Gruyter, 2023), 287–330, the dedicated modern study; its consistency with</w:t>
      </w:r>
      <w:r>
        <w:t xml:space="preserve"> </w:t>
      </w:r>
      <w:r>
        <w:rPr>
          <w:i/>
          <w:iCs/>
        </w:rPr>
        <w:t xml:space="preserve">De Interpretatione</w:t>
      </w:r>
      <w:r>
        <w:t xml:space="preserve"> </w:t>
      </w:r>
      <w:r>
        <w:t xml:space="preserve">3, 16b22–25, has been questioned there.</w:t>
      </w:r>
    </w:p>
  </w:footnote>
  <w:footnote w:id="99">
    <w:p>
      <w:pPr>
        <w:pStyle w:val="FootnoteText"/>
      </w:pPr>
      <w:r>
        <w:rPr>
          <w:rStyle w:val="FootnoteReference"/>
        </w:rPr>
        <w:footnoteRef/>
      </w:r>
      <w:r>
        <w:t xml:space="preserve"> </w:t>
      </w:r>
      <w:r>
        <w:rPr>
          <w:i/>
          <w:iCs/>
        </w:rPr>
        <w:t xml:space="preserve">De Interpretatione</w:t>
      </w:r>
      <w:r>
        <w:t xml:space="preserve"> </w:t>
      </w:r>
      <w:r>
        <w:t xml:space="preserve">4, 16b26–17a7.</w:t>
      </w:r>
    </w:p>
  </w:footnote>
  <w:footnote w:id="100">
    <w:p>
      <w:pPr>
        <w:pStyle w:val="FootnoteText"/>
      </w:pPr>
      <w:r>
        <w:rPr>
          <w:rStyle w:val="FootnoteReference"/>
        </w:rPr>
        <w:footnoteRef/>
      </w:r>
      <w:r>
        <w:t xml:space="preserve"> </w:t>
      </w:r>
      <w:r>
        <w:rPr>
          <w:i/>
          <w:iCs/>
        </w:rPr>
        <w:t xml:space="preserve">Prior Analytics</w:t>
      </w:r>
      <w:r>
        <w:t xml:space="preserve"> </w:t>
      </w:r>
      <w:r>
        <w:t xml:space="preserve">A.1, 24a22–28; W. D. Ross,</w:t>
      </w:r>
      <w:r>
        <w:t xml:space="preserve"> </w:t>
      </w:r>
      <w:r>
        <w:rPr>
          <w:i/>
          <w:iCs/>
        </w:rPr>
        <w:t xml:space="preserve">Aristotle’s Prior and Posterior Analytics</w:t>
      </w:r>
      <w:r>
        <w:t xml:space="preserve"> </w:t>
      </w:r>
      <w:r>
        <w:t xml:space="preserve">(Oxford: Clarendon Press, 1949), 287. The invariance of content across force is the double structure of Chapter One §1.2.1.</w:t>
      </w:r>
    </w:p>
  </w:footnote>
  <w:footnote w:id="101">
    <w:p>
      <w:pPr>
        <w:pStyle w:val="FootnoteText"/>
      </w:pPr>
      <w:r>
        <w:rPr>
          <w:rStyle w:val="FootnoteReference"/>
        </w:rPr>
        <w:footnoteRef/>
      </w:r>
      <w:r>
        <w:t xml:space="preserve"> </w:t>
      </w:r>
      <w:r>
        <w:rPr>
          <w:i/>
          <w:iCs/>
        </w:rPr>
        <w:t xml:space="preserve">Metaphysics</w:t>
      </w:r>
      <w:r>
        <w:t xml:space="preserve"> </w:t>
      </w:r>
      <w:r>
        <w:t xml:space="preserve">Β.1, 995a27–33, in the Revised Oxford Translation, ed. Jonathan Barnes (Princeton: Princeton University Press, 1984), vol. 2, 1572.</w:t>
      </w:r>
    </w:p>
  </w:footnote>
  <w:footnote w:id="102">
    <w:p>
      <w:pPr>
        <w:pStyle w:val="FootnoteText"/>
      </w:pPr>
      <w:r>
        <w:rPr>
          <w:rStyle w:val="FootnoteReference"/>
        </w:rPr>
        <w:footnoteRef/>
      </w:r>
      <w:r>
        <w:t xml:space="preserve"> </w:t>
      </w:r>
      <w:r>
        <w:t xml:space="preserve">ML 42. The argument, Apel adds,</w:t>
      </w:r>
      <w:r>
        <w:t xml:space="preserve"> </w:t>
      </w:r>
      <w:r>
        <w:t xml:space="preserve">‘presupposes a sincere cooperation of the possible opponent’</w:t>
      </w:r>
      <w:r>
        <w:t xml:space="preserve">, which he holds to be itself an ethical presupposition of argumentation; the modality is accordingly conditional and not a compulsion.</w:t>
      </w:r>
    </w:p>
  </w:footnote>
  <w:footnote w:id="103">
    <w:p>
      <w:pPr>
        <w:pStyle w:val="FootnoteText"/>
      </w:pPr>
      <w:r>
        <w:rPr>
          <w:rStyle w:val="FootnoteReference"/>
        </w:rPr>
        <w:footnoteRef/>
      </w:r>
      <w:r>
        <w:t xml:space="preserve"> </w:t>
      </w:r>
      <w:r>
        <w:t xml:space="preserve">ML 42–43; FTSPV 94. Apel disclaims any claim that his interpretation</w:t>
      </w:r>
      <w:r>
        <w:t xml:space="preserve"> </w:t>
      </w:r>
      <w:r>
        <w:t xml:space="preserve">‘exactly covers Aristotle’s self-understanding’</w:t>
      </w:r>
      <w:r>
        <w:t xml:space="preserve"> </w:t>
      </w:r>
      <w:r>
        <w:t xml:space="preserve">(ML 43).</w:t>
      </w:r>
    </w:p>
  </w:footnote>
  <w:footnote w:id="105">
    <w:p>
      <w:pPr>
        <w:pStyle w:val="FootnoteText"/>
      </w:pPr>
      <w:r>
        <w:rPr>
          <w:rStyle w:val="FootnoteReference"/>
        </w:rPr>
        <w:footnoteRef/>
      </w:r>
      <w:r>
        <w:t xml:space="preserve"> </w:t>
      </w:r>
      <w:r>
        <w:t xml:space="preserve">On the divergence over the claim to intelligibility (</w:t>
      </w:r>
      <w:r>
        <w:rPr>
          <w:i/>
          <w:iCs/>
        </w:rPr>
        <w:t xml:space="preserve">Sinnverständlichkeit</w:t>
      </w:r>
      <w:r>
        <w:t xml:space="preserve">) see Linda Lovelli,</w:t>
      </w:r>
      <w:r>
        <w:t xml:space="preserve"> </w:t>
      </w:r>
      <w:r>
        <w:t xml:space="preserve">‘Why be moral? On the ultimate ground and the ultimate sense of the</w:t>
      </w:r>
      <w:r>
        <w:t xml:space="preserve"> </w:t>
      </w:r>
      <w:r>
        <w:t xml:space="preserve">“moral point of view”</w:t>
      </w:r>
      <w:r>
        <w:t xml:space="preserve"> </w:t>
      </w:r>
      <w:r>
        <w:t xml:space="preserve">(with and beyond Apel)’</w:t>
      </w:r>
      <w:r>
        <w:t xml:space="preserve">,</w:t>
      </w:r>
      <w:r>
        <w:t xml:space="preserve"> </w:t>
      </w:r>
      <w:r>
        <w:rPr>
          <w:i/>
          <w:iCs/>
        </w:rPr>
        <w:t xml:space="preserve">Topologik</w:t>
      </w:r>
      <w:r>
        <w:t xml:space="preserve"> </w:t>
      </w:r>
      <w:r>
        <w:t xml:space="preserve">26 (2019–20), 89–96, at 91 n. 10, citing Apel,</w:t>
      </w:r>
      <w:r>
        <w:t xml:space="preserve"> </w:t>
      </w:r>
      <w:r>
        <w:rPr>
          <w:i/>
          <w:iCs/>
        </w:rPr>
        <w:t xml:space="preserve">Auseinandersetzungen</w:t>
      </w:r>
      <w:r>
        <w:t xml:space="preserve">, 689–90 n. 55, which is the textual locus of the dispute.</w:t>
      </w:r>
    </w:p>
  </w:footnote>
  <w:footnote w:id="106">
    <w:p>
      <w:pPr>
        <w:pStyle w:val="FootnoteText"/>
      </w:pPr>
      <w:r>
        <w:rPr>
          <w:rStyle w:val="FootnoteReference"/>
        </w:rPr>
        <w:footnoteRef/>
      </w:r>
      <w:r>
        <w:t xml:space="preserve"> </w:t>
      </w:r>
      <w:r>
        <w:t xml:space="preserve">Barry Stroud,</w:t>
      </w:r>
      <w:r>
        <w:t xml:space="preserve"> </w:t>
      </w:r>
      <w:r>
        <w:t xml:space="preserve">‘Transcendental Arguments’</w:t>
      </w:r>
      <w:r>
        <w:t xml:space="preserve">,</w:t>
      </w:r>
      <w:r>
        <w:t xml:space="preserve"> </w:t>
      </w:r>
      <w:r>
        <w:rPr>
          <w:i/>
          <w:iCs/>
        </w:rPr>
        <w:t xml:space="preserve">Journal of Philosophy</w:t>
      </w:r>
      <w:r>
        <w:t xml:space="preserve"> </w:t>
      </w:r>
      <w:r>
        <w:t xml:space="preserve">65 (1968), 241–56; the formulation in the body is the form the objection has settled into and not Stroud’s wording.</w:t>
      </w:r>
    </w:p>
  </w:footnote>
  <w:footnote w:id="107">
    <w:p>
      <w:pPr>
        <w:pStyle w:val="FootnoteText"/>
      </w:pPr>
      <w:r>
        <w:rPr>
          <w:rStyle w:val="FootnoteReference"/>
        </w:rPr>
        <w:footnoteRef/>
      </w:r>
      <w:r>
        <w:t xml:space="preserve"> </w:t>
      </w:r>
      <w:r>
        <w:t xml:space="preserve">Stephan Körner,</w:t>
      </w:r>
      <w:r>
        <w:t xml:space="preserve"> </w:t>
      </w:r>
      <w:r>
        <w:t xml:space="preserve">‘The Impossibility of Transcendental Deductions’</w:t>
      </w:r>
      <w:r>
        <w:t xml:space="preserve">,</w:t>
      </w:r>
      <w:r>
        <w:t xml:space="preserve"> </w:t>
      </w:r>
      <w:r>
        <w:rPr>
          <w:i/>
          <w:iCs/>
        </w:rPr>
        <w:t xml:space="preserve">The Monist</w:t>
      </w:r>
      <w:r>
        <w:t xml:space="preserve"> </w:t>
      </w:r>
      <w:r>
        <w:t xml:space="preserve">51/3 (1967), 317–31.</w:t>
      </w:r>
    </w:p>
  </w:footnote>
  <w:footnote w:id="108">
    <w:p>
      <w:pPr>
        <w:pStyle w:val="FootnoteText"/>
      </w:pPr>
      <w:r>
        <w:rPr>
          <w:rStyle w:val="FootnoteReference"/>
        </w:rPr>
        <w:footnoteRef/>
      </w:r>
      <w:r>
        <w:t xml:space="preserve"> </w:t>
      </w:r>
      <w:r>
        <w:t xml:space="preserve">Robert Stern,</w:t>
      </w:r>
      <w:r>
        <w:t xml:space="preserve"> </w:t>
      </w:r>
      <w:r>
        <w:t xml:space="preserve">‘Silencing the Sceptic? The Prospects for Transcendental Arguments in Practical Philosophy’</w:t>
      </w:r>
      <w:r>
        <w:t xml:space="preserve">, in Brune, Stern and Werner (eds),</w:t>
      </w:r>
      <w:r>
        <w:t xml:space="preserve"> </w:t>
      </w:r>
      <w:r>
        <w:rPr>
          <w:i/>
          <w:iCs/>
        </w:rPr>
        <w:t xml:space="preserve">Transcendental Arguments in Moral Theory</w:t>
      </w:r>
      <w:r>
        <w:t xml:space="preserve">, 9–26, at 17; Apel and Kuhlmann are named at 11 among the proponents of the retorsive strategy, and the optimism Stern questions at 17 is Finnis’s and Illies’s.</w:t>
      </w:r>
    </w:p>
  </w:footnote>
  <w:footnote w:id="109">
    <w:p>
      <w:pPr>
        <w:pStyle w:val="FootnoteText"/>
      </w:pPr>
      <w:r>
        <w:rPr>
          <w:rStyle w:val="FootnoteReference"/>
        </w:rPr>
        <w:footnoteRef/>
      </w:r>
      <w:r>
        <w:t xml:space="preserve"> </w:t>
      </w:r>
      <w:r>
        <w:t xml:space="preserve">Apel,</w:t>
      </w:r>
      <w:r>
        <w:t xml:space="preserve"> </w:t>
      </w:r>
      <w:r>
        <w:rPr>
          <w:i/>
          <w:iCs/>
        </w:rPr>
        <w:t xml:space="preserve">Understanding and Explanation: A Transcendental-Pragmatic Perspective</w:t>
      </w:r>
      <w:r>
        <w:t xml:space="preserve">, trans. Georgia Warnke (Cambridge, MA: MIT Press, 1984), 90–91.</w:t>
      </w:r>
    </w:p>
  </w:footnote>
  <w:footnote w:id="110">
    <w:p>
      <w:pPr>
        <w:pStyle w:val="FootnoteText"/>
      </w:pPr>
      <w:r>
        <w:rPr>
          <w:rStyle w:val="FootnoteReference"/>
        </w:rPr>
        <w:footnoteRef/>
      </w:r>
      <w:r>
        <w:t xml:space="preserve"> </w:t>
      </w:r>
      <w:r>
        <w:t xml:space="preserve">The terms are Christopher Peacocke’s,</w:t>
      </w:r>
      <w:r>
        <w:t xml:space="preserve"> </w:t>
      </w:r>
      <w:r>
        <w:rPr>
          <w:i/>
          <w:iCs/>
        </w:rPr>
        <w:t xml:space="preserve">Transcendental Arguments in the Theory of Content</w:t>
      </w:r>
      <w:r>
        <w:t xml:space="preserve"> </w:t>
      </w:r>
      <w:r>
        <w:t xml:space="preserve">(Oxford: Oxford University Press, 1989), 4, and Quassim Cassam’s,</w:t>
      </w:r>
      <w:r>
        <w:t xml:space="preserve"> </w:t>
      </w:r>
      <w:r>
        <w:t xml:space="preserve">‘Self-Directed Transcendental Arguments’</w:t>
      </w:r>
      <w:r>
        <w:t xml:space="preserve">, in Robert Stern (ed.),</w:t>
      </w:r>
      <w:r>
        <w:t xml:space="preserve"> </w:t>
      </w:r>
      <w:r>
        <w:rPr>
          <w:i/>
          <w:iCs/>
        </w:rPr>
        <w:t xml:space="preserve">Transcendental Arguments: Problems and Prospects</w:t>
      </w:r>
      <w:r>
        <w:t xml:space="preserve"> </w:t>
      </w:r>
      <w:r>
        <w:t xml:space="preserve">(Oxford: Clarendon Press, 1999), 83, as Robert Stern,</w:t>
      </w:r>
      <w:r>
        <w:t xml:space="preserve"> </w:t>
      </w:r>
      <w:r>
        <w:t xml:space="preserve">‘Transcendental Arguments’</w:t>
      </w:r>
      <w:r>
        <w:t xml:space="preserve">,</w:t>
      </w:r>
      <w:r>
        <w:t xml:space="preserve"> </w:t>
      </w:r>
      <w:r>
        <w:rPr>
          <w:i/>
          <w:iCs/>
        </w:rPr>
        <w:t xml:space="preserve">The Stanford Encyclopedia of Philosophy</w:t>
      </w:r>
      <w:r>
        <w:t xml:space="preserve"> </w:t>
      </w:r>
      <w:r>
        <w:t xml:space="preserve">(2015), §2, records.</w:t>
      </w:r>
    </w:p>
  </w:footnote>
  <w:footnote w:id="112">
    <w:p>
      <w:pPr>
        <w:pStyle w:val="FootnoteText"/>
      </w:pPr>
      <w:r>
        <w:rPr>
          <w:rStyle w:val="FootnoteReference"/>
        </w:rPr>
        <w:footnoteRef/>
      </w:r>
      <w:r>
        <w:t xml:space="preserve"> </w:t>
      </w:r>
      <w:r>
        <w:t xml:space="preserve">Niquet,</w:t>
      </w:r>
      <w:r>
        <w:t xml:space="preserve"> </w:t>
      </w:r>
      <w:r>
        <w:rPr>
          <w:i/>
          <w:iCs/>
        </w:rPr>
        <w:t xml:space="preserve">Transzendentale Argumente</w:t>
      </w:r>
      <w:r>
        <w:t xml:space="preserve">, 10–11, with the designation credited to Apel at 11 n. 7. The operative–propositional asymmetry on which these chapters turn is a received distinction, so cited; what the three-level structure adds is the third level, since neither Niquet nor Apel, in the loci consulted, addresses the regress the iteration of the first two generates.</w:t>
      </w:r>
    </w:p>
  </w:footnote>
  <w:footnote w:id="113">
    <w:p>
      <w:pPr>
        <w:pStyle w:val="FootnoteText"/>
      </w:pPr>
      <w:r>
        <w:rPr>
          <w:rStyle w:val="FootnoteReference"/>
        </w:rPr>
        <w:footnoteRef/>
      </w:r>
      <w:r>
        <w:t xml:space="preserve"> </w:t>
      </w:r>
      <w:r>
        <w:t xml:space="preserve">Wolfgang Kuhlmann,</w:t>
      </w:r>
      <w:r>
        <w:t xml:space="preserve"> </w:t>
      </w:r>
      <w:r>
        <w:t xml:space="preserve">‘Reflexive Letztbegründung versus radikaler Fallibilismus: Eine Replik’</w:t>
      </w:r>
      <w:r>
        <w:t xml:space="preserve">,</w:t>
      </w:r>
      <w:r>
        <w:t xml:space="preserve"> </w:t>
      </w:r>
      <w:r>
        <w:rPr>
          <w:i/>
          <w:iCs/>
        </w:rPr>
        <w:t xml:space="preserve">Zeitschrift für allgemeine Wissenschaftstheorie</w:t>
      </w:r>
      <w:r>
        <w:t xml:space="preserve"> </w:t>
      </w:r>
      <w:r>
        <w:t xml:space="preserve">16/2 (1985), 357–74, at 367, where the naming sentence follows:</w:t>
      </w:r>
      <w:r>
        <w:t xml:space="preserve"> </w:t>
      </w:r>
      <w:r>
        <w:t xml:space="preserve">‘Ich nenne das Geforderte strikt reflexives Argumentieren’</w:t>
      </w:r>
      <w:r>
        <w:t xml:space="preserve">. The restriction of the certainty claim to philosophical statements</w:t>
      </w:r>
      <w:r>
        <w:t xml:space="preserve"> </w:t>
      </w:r>
      <w:r>
        <w:t xml:space="preserve">‘in denen kritisch über Recht und Reichweite von Geltungsansprüchen gehandelt wird’</w:t>
      </w:r>
      <w:r>
        <w:t xml:space="preserve"> </w:t>
      </w:r>
      <w:r>
        <w:t xml:space="preserve">stands at 361. The German is retained because the objection turns on</w:t>
      </w:r>
      <w:r>
        <w:t xml:space="preserve"> </w:t>
      </w:r>
      <w:r>
        <w:rPr>
          <w:i/>
          <w:iCs/>
        </w:rPr>
        <w:t xml:space="preserve">nivellieren</w:t>
      </w:r>
      <w:r>
        <w:t xml:space="preserve"> </w:t>
      </w:r>
      <w:r>
        <w:t xml:space="preserve">and</w:t>
      </w:r>
      <w:r>
        <w:t xml:space="preserve"> </w:t>
      </w:r>
      <w:r>
        <w:rPr>
          <w:i/>
          <w:iCs/>
        </w:rPr>
        <w:t xml:space="preserve">verwischen</w:t>
      </w:r>
      <w:r>
        <w:t xml:space="preserve">. For the fuller engagement with Albert, Kuhlmann,</w:t>
      </w:r>
      <w:r>
        <w:t xml:space="preserve"> </w:t>
      </w:r>
      <w:r>
        <w:rPr>
          <w:i/>
          <w:iCs/>
        </w:rPr>
        <w:t xml:space="preserve">Reflexive Letztbegründung</w:t>
      </w:r>
      <w:r>
        <w:t xml:space="preserve">, ch. II; the thesis of the non-circumventibility of the argumentation situation is announced in the title of</w:t>
      </w:r>
      <w:r>
        <w:t xml:space="preserve"> </w:t>
      </w:r>
      <w:r>
        <w:t xml:space="preserve">‘Reflexive Letztbegründung: Zur These von der Unhintergehbarkeit der Argumentationssituation’</w:t>
      </w:r>
      <w:r>
        <w:t xml:space="preserve">,</w:t>
      </w:r>
      <w:r>
        <w:t xml:space="preserve"> </w:t>
      </w:r>
      <w:r>
        <w:rPr>
          <w:i/>
          <w:iCs/>
        </w:rPr>
        <w:t xml:space="preserve">Zeitschrift für philosophische Forschung</w:t>
      </w:r>
      <w:r>
        <w:t xml:space="preserve"> </w:t>
      </w:r>
      <w:r>
        <w:t xml:space="preserve">35 (1981), 3–26.</w:t>
      </w:r>
    </w:p>
  </w:footnote>
  <w:footnote w:id="114">
    <w:p>
      <w:pPr>
        <w:pStyle w:val="FootnoteText"/>
      </w:pPr>
      <w:r>
        <w:rPr>
          <w:rStyle w:val="FootnoteReference"/>
        </w:rPr>
        <w:footnoteRef/>
      </w:r>
      <w:r>
        <w:t xml:space="preserve"> </w:t>
      </w:r>
      <w:r>
        <w:t xml:space="preserve">Albrecht Wellmer,</w:t>
      </w:r>
      <w:r>
        <w:t xml:space="preserve"> </w:t>
      </w:r>
      <w:r>
        <w:t xml:space="preserve">‘Ethics and Dialogue: Elements of Moral Judgement in Kant and Discourse Ethics’</w:t>
      </w:r>
      <w:r>
        <w:t xml:space="preserve">, in</w:t>
      </w:r>
      <w:r>
        <w:t xml:space="preserve"> </w:t>
      </w:r>
      <w:r>
        <w:rPr>
          <w:i/>
          <w:iCs/>
        </w:rPr>
        <w:t xml:space="preserve">The Persistence of Modernity</w:t>
      </w:r>
      <w:r>
        <w:t xml:space="preserve">, trans. David Midgley (Cambridge: Polity, 1991), 113–231, at c. 115–16, 182 and 177–81; German:</w:t>
      </w:r>
      <w:r>
        <w:t xml:space="preserve"> </w:t>
      </w:r>
      <w:r>
        <w:rPr>
          <w:i/>
          <w:iCs/>
        </w:rPr>
        <w:t xml:space="preserve">Ethik und Dialog</w:t>
      </w:r>
      <w:r>
        <w:t xml:space="preserve"> </w:t>
      </w:r>
      <w:r>
        <w:t xml:space="preserve">(Frankfurt: Suhrkamp, 1986). Page numbers are to be checked against the print edition.</w:t>
      </w:r>
      <w:r>
        <w:t xml:space="preserve"> </w:t>
      </w:r>
      <w:r>
        <w:t xml:space="preserve">‘Negative justification’</w:t>
      </w:r>
      <w:r>
        <w:t xml:space="preserve"> </w:t>
      </w:r>
      <w:r>
        <w:t xml:space="preserve">is not Wellmer’s phrase; his own formulations are that the moral</w:t>
      </w:r>
      <w:r>
        <w:t xml:space="preserve"> </w:t>
      </w:r>
      <w:r>
        <w:t xml:space="preserve">‘ought’</w:t>
      </w:r>
      <w:r>
        <w:t xml:space="preserve"> </w:t>
      </w:r>
      <w:r>
        <w:t xml:space="preserve">is derived from the categorical imperative</w:t>
      </w:r>
      <w:r>
        <w:t xml:space="preserve"> </w:t>
      </w:r>
      <w:r>
        <w:t xml:space="preserve">‘only</w:t>
      </w:r>
      <w:r>
        <w:t xml:space="preserve"> </w:t>
      </w:r>
      <w:r>
        <w:rPr>
          <w:i/>
          <w:iCs/>
        </w:rPr>
        <w:t xml:space="preserve">via negationis</w:t>
      </w:r>
      <w:r>
        <w:t xml:space="preserve">’</w:t>
      </w:r>
      <w:r>
        <w:t xml:space="preserve"> </w:t>
      </w:r>
      <w:r>
        <w:t xml:space="preserve">and that the principle of moral progress</w:t>
      </w:r>
      <w:r>
        <w:t xml:space="preserve"> </w:t>
      </w:r>
      <w:r>
        <w:t xml:space="preserve">‘is not the perfection of sense, but the elimination of nonsense’</w:t>
      </w:r>
      <w:r>
        <w:t xml:space="preserve">.</w:t>
      </w:r>
    </w:p>
  </w:footnote>
  <w:footnote w:id="115">
    <w:p>
      <w:pPr>
        <w:pStyle w:val="FootnoteText"/>
      </w:pPr>
      <w:r>
        <w:rPr>
          <w:rStyle w:val="FootnoteReference"/>
        </w:rPr>
        <w:footnoteRef/>
      </w:r>
      <w:r>
        <w:t xml:space="preserve"> </w:t>
      </w:r>
      <w:r>
        <w:t xml:space="preserve">Charles Sanders Peirce,</w:t>
      </w:r>
      <w:r>
        <w:t xml:space="preserve"> </w:t>
      </w:r>
      <w:r>
        <w:rPr>
          <w:i/>
          <w:iCs/>
        </w:rPr>
        <w:t xml:space="preserve">Collected Papers</w:t>
      </w:r>
      <w:r>
        <w:t xml:space="preserve">, ed. C. Hartshorne, P. Weiss and A. W. Burks, 8 vols (Cambridge, MA: Harvard University Press, 1931–58), 5.402, 5.407, 5.311.</w:t>
      </w:r>
    </w:p>
  </w:footnote>
  <w:footnote w:id="116">
    <w:p>
      <w:pPr>
        <w:pStyle w:val="FootnoteText"/>
      </w:pPr>
      <w:r>
        <w:rPr>
          <w:rStyle w:val="FootnoteReference"/>
        </w:rPr>
        <w:footnoteRef/>
      </w:r>
      <w:r>
        <w:t xml:space="preserve"> </w:t>
      </w:r>
      <w:r>
        <w:t xml:space="preserve">TTP 87–88. Chapter 3 of TTP is printed in Apel’s own English, first published in L. W. Beck (ed.),</w:t>
      </w:r>
      <w:r>
        <w:t xml:space="preserve"> </w:t>
      </w:r>
      <w:r>
        <w:rPr>
          <w:i/>
          <w:iCs/>
        </w:rPr>
        <w:t xml:space="preserve">Proceedings of the Third International Kant Congress</w:t>
      </w:r>
      <w:r>
        <w:t xml:space="preserve"> </w:t>
      </w:r>
      <w:r>
        <w:t xml:space="preserve">(Dordrecht: Reidel, 1972).</w:t>
      </w:r>
    </w:p>
  </w:footnote>
  <w:footnote w:id="117">
    <w:p>
      <w:pPr>
        <w:pStyle w:val="FootnoteText"/>
      </w:pPr>
      <w:r>
        <w:rPr>
          <w:rStyle w:val="FootnoteReference"/>
        </w:rPr>
        <w:footnoteRef/>
      </w:r>
      <w:r>
        <w:t xml:space="preserve"> </w:t>
      </w:r>
      <w:r>
        <w:t xml:space="preserve">Apel,</w:t>
      </w:r>
      <w:r>
        <w:t xml:space="preserve"> </w:t>
      </w:r>
      <w:r>
        <w:t xml:space="preserve">‘C. S. Peirce and the Post-Tarskian Problem of an Adequate Explication of the Meaning of Truth: Towards a Transcendental-Pragmatic Theory of Truth, Part I’</w:t>
      </w:r>
      <w:r>
        <w:t xml:space="preserve">,</w:t>
      </w:r>
      <w:r>
        <w:t xml:space="preserve"> </w:t>
      </w:r>
      <w:r>
        <w:rPr>
          <w:i/>
          <w:iCs/>
        </w:rPr>
        <w:t xml:space="preserve">The Monist</w:t>
      </w:r>
      <w:r>
        <w:t xml:space="preserve"> </w:t>
      </w:r>
      <w:r>
        <w:t xml:space="preserve">63/3 (1980), 386–407, at 401;</w:t>
      </w:r>
      <w:r>
        <w:t xml:space="preserve"> </w:t>
      </w:r>
      <w:r>
        <w:t xml:space="preserve">‘criterium’</w:t>
      </w:r>
      <w:r>
        <w:t xml:space="preserve"> </w:t>
      </w:r>
      <w:r>
        <w:t xml:space="preserve">is the article’s spelling. On 402 the real is conceived</w:t>
      </w:r>
      <w:r>
        <w:t xml:space="preserve"> </w:t>
      </w:r>
      <w:r>
        <w:t xml:space="preserve">‘not as that which can be factually</w:t>
      </w:r>
      <w:r>
        <w:t xml:space="preserve"> </w:t>
      </w:r>
      <w:r>
        <w:t xml:space="preserve">“known”</w:t>
      </w:r>
      <w:r>
        <w:t xml:space="preserve"> </w:t>
      </w:r>
      <w:r>
        <w:t xml:space="preserve">but as the</w:t>
      </w:r>
      <w:r>
        <w:t xml:space="preserve"> </w:t>
      </w:r>
      <w:r>
        <w:t xml:space="preserve">“knowable”</w:t>
      </w:r>
      <w:r>
        <w:t xml:space="preserve">’</w:t>
      </w:r>
      <w:r>
        <w:t xml:space="preserve">, against the Kantian thing-in-itself. Apel names the position</w:t>
      </w:r>
      <w:r>
        <w:t xml:space="preserve"> </w:t>
      </w:r>
      <w:r>
        <w:t xml:space="preserve">‘sense-critical realism’</w:t>
      </w:r>
      <w:r>
        <w:t xml:space="preserve"> </w:t>
      </w:r>
      <w:r>
        <w:t xml:space="preserve">in Part II,</w:t>
      </w:r>
      <w:r>
        <w:t xml:space="preserve"> </w:t>
      </w:r>
      <w:r>
        <w:rPr>
          <w:i/>
          <w:iCs/>
        </w:rPr>
        <w:t xml:space="preserve">Transactions of the Charles S. Peirce Society</w:t>
      </w:r>
      <w:r>
        <w:t xml:space="preserve"> </w:t>
      </w:r>
      <w:r>
        <w:t xml:space="preserve">18/1 (1982), 3–17, at 16 n. 50, where he defends it against the charge in</w:t>
      </w:r>
      <w:r>
        <w:t xml:space="preserve"> </w:t>
      </w:r>
      <w:r>
        <w:rPr>
          <w:i/>
          <w:iCs/>
        </w:rPr>
        <w:t xml:space="preserve">Knowledge and Human Interests</w:t>
      </w:r>
      <w:r>
        <w:t xml:space="preserve"> </w:t>
      </w:r>
      <w:r>
        <w:t xml:space="preserve">that Peirce’s semiotic realism relapses into pre-Kantian metaphysics.</w:t>
      </w:r>
    </w:p>
  </w:footnote>
  <w:footnote w:id="118">
    <w:p>
      <w:pPr>
        <w:pStyle w:val="FootnoteText"/>
      </w:pPr>
      <w:r>
        <w:rPr>
          <w:rStyle w:val="FootnoteReference"/>
        </w:rPr>
        <w:footnoteRef/>
      </w:r>
      <w:r>
        <w:t xml:space="preserve"> </w:t>
      </w:r>
      <w:r>
        <w:t xml:space="preserve">Apel,</w:t>
      </w:r>
      <w:r>
        <w:t xml:space="preserve"> </w:t>
      </w:r>
      <w:r>
        <w:rPr>
          <w:i/>
          <w:iCs/>
        </w:rPr>
        <w:t xml:space="preserve">Monist</w:t>
      </w:r>
      <w:r>
        <w:t xml:space="preserve"> </w:t>
      </w:r>
      <w:r>
        <w:t xml:space="preserve">I, 394; and 389 for the triadic structure of semiosis</w:t>
      </w:r>
      <w:r>
        <w:t xml:space="preserve"> </w:t>
      </w:r>
      <w:r>
        <w:t xml:space="preserve">‘considered by Peirce as a semiotic equivalent of Kant’s</w:t>
      </w:r>
      <w:r>
        <w:t xml:space="preserve"> </w:t>
      </w:r>
      <w:r>
        <w:t xml:space="preserve">“synthesis of apperception”</w:t>
      </w:r>
      <w:r>
        <w:t xml:space="preserve">’</w:t>
      </w:r>
      <w:r>
        <w:t xml:space="preserve">.</w:t>
      </w:r>
    </w:p>
  </w:footnote>
  <w:footnote w:id="119">
    <w:p>
      <w:pPr>
        <w:pStyle w:val="FootnoteText"/>
      </w:pPr>
      <w:r>
        <w:rPr>
          <w:rStyle w:val="FootnoteReference"/>
        </w:rPr>
        <w:footnoteRef/>
      </w:r>
      <w:r>
        <w:t xml:space="preserve"> </w:t>
      </w:r>
      <w:r>
        <w:t xml:space="preserve">TTP 88 and 105; TTP 90 for Peirce’s logical socialism as</w:t>
      </w:r>
      <w:r>
        <w:t xml:space="preserve"> </w:t>
      </w:r>
      <w:r>
        <w:t xml:space="preserve">‘a practical postulate of ethics’</w:t>
      </w:r>
      <w:r>
        <w:t xml:space="preserve">. These TTP loci lie beyond the portion of the Drive copy that could be checked, and are to be verified against the print edition.</w:t>
      </w:r>
    </w:p>
  </w:footnote>
  <w:footnote w:id="120">
    <w:p>
      <w:pPr>
        <w:pStyle w:val="FootnoteText"/>
      </w:pPr>
      <w:r>
        <w:rPr>
          <w:rStyle w:val="FootnoteReference"/>
        </w:rPr>
        <w:footnoteRef/>
      </w:r>
      <w:r>
        <w:t xml:space="preserve"> </w:t>
      </w:r>
      <w:r>
        <w:t xml:space="preserve">TJ 101.</w:t>
      </w:r>
    </w:p>
  </w:footnote>
  <w:footnote w:id="121">
    <w:p>
      <w:pPr>
        <w:pStyle w:val="FootnoteText"/>
      </w:pPr>
      <w:r>
        <w:rPr>
          <w:rStyle w:val="FootnoteReference"/>
        </w:rPr>
        <w:footnoteRef/>
      </w:r>
      <w:r>
        <w:t xml:space="preserve"> </w:t>
      </w:r>
      <w:r>
        <w:t xml:space="preserve">CP 5.491 against 5.407; T. L. Short,</w:t>
      </w:r>
      <w:r>
        <w:t xml:space="preserve"> </w:t>
      </w:r>
      <w:r>
        <w:rPr>
          <w:i/>
          <w:iCs/>
        </w:rPr>
        <w:t xml:space="preserve">Peirce’s Theory of Signs</w:t>
      </w:r>
      <w:r>
        <w:t xml:space="preserve"> </w:t>
      </w:r>
      <w:r>
        <w:t xml:space="preserve">(Cambridge: Cambridge University Press, 2007).</w:t>
      </w:r>
    </w:p>
  </w:footnote>
  <w:footnote w:id="123">
    <w:p>
      <w:pPr>
        <w:pStyle w:val="FootnoteText"/>
      </w:pPr>
      <w:r>
        <w:rPr>
          <w:rStyle w:val="FootnoteReference"/>
        </w:rPr>
        <w:footnoteRef/>
      </w:r>
      <w:r>
        <w:t xml:space="preserve"> </w:t>
      </w:r>
      <w:r>
        <w:t xml:space="preserve">Finlayson,</w:t>
      </w:r>
      <w:r>
        <w:t xml:space="preserve"> </w:t>
      </w:r>
      <w:r>
        <w:t xml:space="preserve">‘The Persistence of Normative Questions’</w:t>
      </w:r>
      <w:r>
        <w:t xml:space="preserve"> </w:t>
      </w:r>
      <w:r>
        <w:t xml:space="preserve">(2013), 523–24; and</w:t>
      </w:r>
      <w:r>
        <w:t xml:space="preserve"> </w:t>
      </w:r>
      <w:r>
        <w:t xml:space="preserve">‘Modernity and Morality in Habermas’s Discourse Ethics’</w:t>
      </w:r>
      <w:r>
        <w:t xml:space="preserve">,</w:t>
      </w:r>
      <w:r>
        <w:t xml:space="preserve"> </w:t>
      </w:r>
      <w:r>
        <w:rPr>
          <w:i/>
          <w:iCs/>
        </w:rPr>
        <w:t xml:space="preserve">Inquiry</w:t>
      </w:r>
      <w:r>
        <w:t xml:space="preserve"> </w:t>
      </w:r>
      <w:r>
        <w:t xml:space="preserve">43/3 (2000), 319–40, at 320–21, for the biconditional argument and for the second limb.</w:t>
      </w:r>
    </w:p>
  </w:footnote>
  <w:footnote w:id="124">
    <w:p>
      <w:pPr>
        <w:pStyle w:val="FootnoteText"/>
      </w:pPr>
      <w:r>
        <w:rPr>
          <w:rStyle w:val="FootnoteReference"/>
        </w:rPr>
        <w:footnoteRef/>
      </w:r>
      <w:r>
        <w:t xml:space="preserve"> </w:t>
      </w:r>
      <w:r>
        <w:t xml:space="preserve">Apel,</w:t>
      </w:r>
      <w:r>
        <w:t xml:space="preserve"> </w:t>
      </w:r>
      <w:r>
        <w:t xml:space="preserve">‘Fundamental-Grounding’</w:t>
      </w:r>
      <w:r>
        <w:t xml:space="preserve"> </w:t>
      </w:r>
      <w:r>
        <w:t xml:space="preserve">(1975), 248–49.</w:t>
      </w:r>
    </w:p>
  </w:footnote>
  <w:footnote w:id="125">
    <w:p>
      <w:pPr>
        <w:pStyle w:val="FootnoteText"/>
      </w:pPr>
      <w:r>
        <w:rPr>
          <w:rStyle w:val="FootnoteReference"/>
        </w:rPr>
        <w:footnoteRef/>
      </w:r>
      <w:r>
        <w:t xml:space="preserve"> </w:t>
      </w:r>
      <w:r>
        <w:t xml:space="preserve">Ibid., 262; and 264:</w:t>
      </w:r>
      <w:r>
        <w:t xml:space="preserve"> </w:t>
      </w:r>
      <w:r>
        <w:t xml:space="preserve">‘If I cannot challenge something without actual self-contradiction and cannot deductively ground it without formal-logical</w:t>
      </w:r>
      <w:r>
        <w:t xml:space="preserve"> </w:t>
      </w:r>
      <w:r>
        <w:rPr>
          <w:i/>
          <w:iCs/>
        </w:rPr>
        <w:t xml:space="preserve">petitio principii</w:t>
      </w:r>
      <w:r>
        <w:t xml:space="preserve">, then that thing belongs precisely to those transcendental-pragmatic presuppositions of argumentation which one must always have accepted’</w:t>
      </w:r>
      <w:r>
        <w:t xml:space="preserve">.</w:t>
      </w:r>
    </w:p>
  </w:footnote>
  <w:footnote w:id="126">
    <w:p>
      <w:pPr>
        <w:pStyle w:val="FootnoteText"/>
      </w:pPr>
      <w:r>
        <w:rPr>
          <w:rStyle w:val="FootnoteReference"/>
        </w:rPr>
        <w:footnoteRef/>
      </w:r>
      <w:r>
        <w:t xml:space="preserve"> </w:t>
      </w:r>
      <w:r>
        <w:t xml:space="preserve">Finlayson,</w:t>
      </w:r>
      <w:r>
        <w:t xml:space="preserve"> </w:t>
      </w:r>
      <w:r>
        <w:t xml:space="preserve">‘Modernity and Morality’</w:t>
      </w:r>
      <w:r>
        <w:t xml:space="preserve"> </w:t>
      </w:r>
      <w:r>
        <w:t xml:space="preserve">(2000), 325 and 321.</w:t>
      </w:r>
    </w:p>
  </w:footnote>
  <w:footnote w:id="128">
    <w:p>
      <w:pPr>
        <w:pStyle w:val="FootnoteText"/>
      </w:pPr>
      <w:r>
        <w:rPr>
          <w:rStyle w:val="FootnoteReference"/>
        </w:rPr>
        <w:footnoteRef/>
      </w:r>
      <w:r>
        <w:t xml:space="preserve"> </w:t>
      </w:r>
      <w:r>
        <w:t xml:space="preserve">Equal entitlement and non-coercion are the rules Habermas reproduces from Alexy at MCCA 89;</w:t>
      </w:r>
      <w:r>
        <w:t xml:space="preserve"> </w:t>
      </w:r>
      <w:r>
        <w:t xml:space="preserve">‘symmetry’</w:t>
      </w:r>
      <w:r>
        <w:t xml:space="preserve"> </w:t>
      </w:r>
      <w:r>
        <w:t xml:space="preserve">is his own word for the general conditions at MCCA 88.</w:t>
      </w:r>
    </w:p>
  </w:footnote>
  <w:footnote w:id="129">
    <w:p>
      <w:pPr>
        <w:pStyle w:val="FootnoteText"/>
      </w:pPr>
      <w:r>
        <w:rPr>
          <w:rStyle w:val="FootnoteReference"/>
        </w:rPr>
        <w:footnoteRef/>
      </w:r>
      <w:r>
        <w:t xml:space="preserve"> </w:t>
      </w:r>
      <w:r>
        <w:t xml:space="preserve">DV 271.</w:t>
      </w:r>
    </w:p>
  </w:footnote>
  <w:footnote w:id="130">
    <w:p>
      <w:pPr>
        <w:pStyle w:val="FootnoteText"/>
      </w:pPr>
      <w:r>
        <w:rPr>
          <w:rStyle w:val="FootnoteReference"/>
        </w:rPr>
        <w:footnoteRef/>
      </w:r>
      <w:r>
        <w:t xml:space="preserve"> </w:t>
      </w:r>
      <w:r>
        <w:t xml:space="preserve">ML 47–48. The same claims stand in German at DV 233 and 271, and in English at Apel,</w:t>
      </w:r>
      <w:r>
        <w:t xml:space="preserve"> </w:t>
      </w:r>
      <w:r>
        <w:t xml:space="preserve">‘How to Ground a Universalistic Ethics’</w:t>
      </w:r>
      <w:r>
        <w:t xml:space="preserve"> </w:t>
      </w:r>
      <w:r>
        <w:t xml:space="preserve">(1993), 22.</w:t>
      </w:r>
    </w:p>
  </w:footnote>
  <w:footnote w:id="131">
    <w:p>
      <w:pPr>
        <w:pStyle w:val="FootnoteText"/>
      </w:pPr>
      <w:r>
        <w:rPr>
          <w:rStyle w:val="FootnoteReference"/>
        </w:rPr>
        <w:footnoteRef/>
      </w:r>
      <w:r>
        <w:t xml:space="preserve"> </w:t>
      </w:r>
      <w:r>
        <w:t xml:space="preserve">DV 233. The modal verb announces a demonstration owed and not one executed, and the test is therefore Apel’s own.</w:t>
      </w:r>
    </w:p>
  </w:footnote>
  <w:footnote w:id="132">
    <w:p>
      <w:pPr>
        <w:pStyle w:val="FootnoteText"/>
      </w:pPr>
      <w:r>
        <w:rPr>
          <w:rStyle w:val="FootnoteReference"/>
        </w:rPr>
        <w:footnoteRef/>
      </w:r>
      <w:r>
        <w:t xml:space="preserve"> </w:t>
      </w:r>
      <w:r>
        <w:t xml:space="preserve">ML 81–82. The concession concerns application and not admission, and the two joints are not identified; it establishes in Apel’s voice that the reach of the reflective foundation and that of the discursive paradigm are distinct questions.</w:t>
      </w:r>
    </w:p>
  </w:footnote>
  <w:footnote w:id="133">
    <w:p>
      <w:pPr>
        <w:pStyle w:val="FootnoteText"/>
      </w:pPr>
      <w:r>
        <w:rPr>
          <w:rStyle w:val="FootnoteReference"/>
        </w:rPr>
        <w:footnoteRef/>
      </w:r>
      <w:r>
        <w:t xml:space="preserve"> </w:t>
      </w:r>
      <w:r>
        <w:t xml:space="preserve">Kettner,</w:t>
      </w:r>
      <w:r>
        <w:t xml:space="preserve"> </w:t>
      </w:r>
      <w:r>
        <w:t xml:space="preserve">‘Discourse Ethics: Apel, Habermas, and Beyond’</w:t>
      </w:r>
      <w:r>
        <w:t xml:space="preserve"> </w:t>
      </w:r>
      <w:r>
        <w:t xml:space="preserve">(2006), 303–4; Apel himself calls the pair</w:t>
      </w:r>
      <w:r>
        <w:t xml:space="preserve"> </w:t>
      </w:r>
      <w:r>
        <w:t xml:space="preserve">‘fundamental moral norms’</w:t>
      </w:r>
      <w:r>
        <w:t xml:space="preserve"> </w:t>
      </w:r>
      <w:r>
        <w:t xml:space="preserve">of an ideal communication community. The criterion applied here does not deny the predication; it restricts what the predication licenses.</w:t>
      </w:r>
    </w:p>
  </w:footnote>
  <w:footnote w:id="134">
    <w:p>
      <w:pPr>
        <w:pStyle w:val="FootnoteText"/>
      </w:pPr>
      <w:r>
        <w:rPr>
          <w:rStyle w:val="FootnoteReference"/>
        </w:rPr>
        <w:footnoteRef/>
      </w:r>
      <w:r>
        <w:t xml:space="preserve"> </w:t>
      </w:r>
      <w:r>
        <w:t xml:space="preserve">DV 451.</w:t>
      </w:r>
    </w:p>
  </w:footnote>
  <w:footnote w:id="137">
    <w:p>
      <w:pPr>
        <w:pStyle w:val="FootnoteText"/>
      </w:pPr>
      <w:r>
        <w:rPr>
          <w:rStyle w:val="FootnoteReference"/>
        </w:rPr>
        <w:footnoteRef/>
      </w:r>
      <w:r>
        <w:t xml:space="preserve"> </w:t>
      </w:r>
      <w:r>
        <w:t xml:space="preserve">TJ 37–38. The parenthesis credits discussions and not publications; the arguments they concerned are presumably those of Cristina Lafont,</w:t>
      </w:r>
      <w:r>
        <w:t xml:space="preserve"> </w:t>
      </w:r>
      <w:r>
        <w:rPr>
          <w:i/>
          <w:iCs/>
        </w:rPr>
        <w:t xml:space="preserve">The Linguistic Turn in Hermeneutic Philosophy</w:t>
      </w:r>
      <w:r>
        <w:t xml:space="preserve">, trans. José Medina (Cambridge, MA: MIT Press, 1999), ch. 6,</w:t>
      </w:r>
      <w:r>
        <w:t xml:space="preserve"> </w:t>
      </w:r>
      <w:r>
        <w:t xml:space="preserve">‘Rational Acceptability and Truth’</w:t>
      </w:r>
      <w:r>
        <w:t xml:space="preserve">, 283–314, and of Wellmer,</w:t>
      </w:r>
      <w:r>
        <w:t xml:space="preserve"> </w:t>
      </w:r>
      <w:r>
        <w:rPr>
          <w:i/>
          <w:iCs/>
        </w:rPr>
        <w:t xml:space="preserve">Ethik und Dialog</w:t>
      </w:r>
      <w:r>
        <w:t xml:space="preserve"> </w:t>
      </w:r>
      <w:r>
        <w:t xml:space="preserve">(1986), which Lafont herself credits (299 n. 24). The identification is the chapter’s.</w:t>
      </w:r>
    </w:p>
  </w:footnote>
  <w:footnote w:id="138">
    <w:p>
      <w:pPr>
        <w:pStyle w:val="FootnoteText"/>
      </w:pPr>
      <w:r>
        <w:rPr>
          <w:rStyle w:val="FootnoteReference"/>
        </w:rPr>
        <w:footnoteRef/>
      </w:r>
      <w:r>
        <w:t xml:space="preserve"> </w:t>
      </w:r>
      <w:r>
        <w:t xml:space="preserve">TJ 91–92.</w:t>
      </w:r>
    </w:p>
  </w:footnote>
  <w:footnote w:id="139">
    <w:p>
      <w:pPr>
        <w:pStyle w:val="FootnoteText"/>
      </w:pPr>
      <w:r>
        <w:rPr>
          <w:rStyle w:val="FootnoteReference"/>
        </w:rPr>
        <w:footnoteRef/>
      </w:r>
      <w:r>
        <w:t xml:space="preserve"> </w:t>
      </w:r>
      <w:r>
        <w:t xml:space="preserve">TJ 39, 254 and 92.</w:t>
      </w:r>
    </w:p>
  </w:footnote>
  <w:footnote w:id="140">
    <w:p>
      <w:pPr>
        <w:pStyle w:val="FootnoteText"/>
      </w:pPr>
      <w:r>
        <w:rPr>
          <w:rStyle w:val="FootnoteReference"/>
        </w:rPr>
        <w:footnoteRef/>
      </w:r>
      <w:r>
        <w:t xml:space="preserve"> </w:t>
      </w:r>
      <w:r>
        <w:t xml:space="preserve">TJ 252.</w:t>
      </w:r>
    </w:p>
  </w:footnote>
  <w:footnote w:id="141">
    <w:p>
      <w:pPr>
        <w:pStyle w:val="FootnoteText"/>
      </w:pPr>
      <w:r>
        <w:rPr>
          <w:rStyle w:val="FootnoteReference"/>
        </w:rPr>
        <w:footnoteRef/>
      </w:r>
      <w:r>
        <w:t xml:space="preserve"> </w:t>
      </w:r>
      <w:r>
        <w:t xml:space="preserve">TJ 254; and 253 for</w:t>
      </w:r>
      <w:r>
        <w:t xml:space="preserve"> </w:t>
      </w:r>
      <w:r>
        <w:t xml:space="preserve">‘a Janus-faced truth that establishes the desired internal connection between performative certainty and warranted assertibility’</w:t>
      </w:r>
      <w:r>
        <w:t xml:space="preserve">.</w:t>
      </w:r>
    </w:p>
  </w:footnote>
  <w:footnote w:id="142">
    <w:p>
      <w:pPr>
        <w:pStyle w:val="FootnoteText"/>
      </w:pPr>
      <w:r>
        <w:rPr>
          <w:rStyle w:val="FootnoteReference"/>
        </w:rPr>
        <w:footnoteRef/>
      </w:r>
      <w:r>
        <w:t xml:space="preserve"> </w:t>
      </w:r>
      <w:r>
        <w:t xml:space="preserve">TJ 40.</w:t>
      </w:r>
    </w:p>
  </w:footnote>
  <w:footnote w:id="143">
    <w:p>
      <w:pPr>
        <w:pStyle w:val="FootnoteText"/>
      </w:pPr>
      <w:r>
        <w:rPr>
          <w:rStyle w:val="FootnoteReference"/>
        </w:rPr>
        <w:footnoteRef/>
      </w:r>
      <w:r>
        <w:t xml:space="preserve"> </w:t>
      </w:r>
      <w:r>
        <w:t xml:space="preserve">TJ 247–48; and TJ 42: the rightness of moral judgments and norms</w:t>
      </w:r>
      <w:r>
        <w:t xml:space="preserve"> </w:t>
      </w:r>
      <w:r>
        <w:t xml:space="preserve">‘lacks such a justification-transcendent point of reference’</w:t>
      </w:r>
      <w:r>
        <w:t xml:space="preserve">.</w:t>
      </w:r>
    </w:p>
  </w:footnote>
  <w:footnote w:id="145">
    <w:p>
      <w:pPr>
        <w:pStyle w:val="FootnoteText"/>
      </w:pPr>
      <w:r>
        <w:rPr>
          <w:rStyle w:val="FootnoteReference"/>
        </w:rPr>
        <w:footnoteRef/>
      </w:r>
      <w:r>
        <w:t xml:space="preserve"> </w:t>
      </w:r>
      <w:r>
        <w:t xml:space="preserve">TJ 247.</w:t>
      </w:r>
    </w:p>
  </w:footnote>
  <w:footnote w:id="146">
    <w:p>
      <w:pPr>
        <w:pStyle w:val="FootnoteText"/>
      </w:pPr>
      <w:r>
        <w:rPr>
          <w:rStyle w:val="FootnoteReference"/>
        </w:rPr>
        <w:footnoteRef/>
      </w:r>
      <w:r>
        <w:t xml:space="preserve"> </w:t>
      </w:r>
      <w:r>
        <w:t xml:space="preserve">Lafont,</w:t>
      </w:r>
      <w:r>
        <w:t xml:space="preserve"> </w:t>
      </w:r>
      <w:r>
        <w:rPr>
          <w:i/>
          <w:iCs/>
        </w:rPr>
        <w:t xml:space="preserve">The Linguistic Turn in Hermeneutic Philosophy</w:t>
      </w:r>
      <w:r>
        <w:t xml:space="preserve">, ch. 7,</w:t>
      </w:r>
      <w:r>
        <w:t xml:space="preserve"> </w:t>
      </w:r>
      <w:r>
        <w:t xml:space="preserve">‘Rational Acceptability and Moral Rightness’</w:t>
      </w:r>
      <w:r>
        <w:t xml:space="preserve">, 315–60, at 333–35.</w:t>
      </w:r>
    </w:p>
  </w:footnote>
  <w:footnote w:id="147">
    <w:p>
      <w:pPr>
        <w:pStyle w:val="FootnoteText"/>
      </w:pPr>
      <w:r>
        <w:rPr>
          <w:rStyle w:val="FootnoteReference"/>
        </w:rPr>
        <w:footnoteRef/>
      </w:r>
      <w:r>
        <w:t xml:space="preserve"> </w:t>
      </w:r>
      <w:r>
        <w:t xml:space="preserve">TJ 272.</w:t>
      </w:r>
    </w:p>
  </w:footnote>
  <w:footnote w:id="148">
    <w:p>
      <w:pPr>
        <w:pStyle w:val="FootnoteText"/>
      </w:pPr>
      <w:r>
        <w:rPr>
          <w:rStyle w:val="FootnoteReference"/>
        </w:rPr>
        <w:footnoteRef/>
      </w:r>
      <w:r>
        <w:t xml:space="preserve"> </w:t>
      </w:r>
      <w:r>
        <w:t xml:space="preserve">TJ 273; WuR 315.</w:t>
      </w:r>
    </w:p>
  </w:footnote>
  <w:footnote w:id="149">
    <w:p>
      <w:pPr>
        <w:pStyle w:val="FootnoteText"/>
      </w:pPr>
      <w:r>
        <w:rPr>
          <w:rStyle w:val="FootnoteReference"/>
        </w:rPr>
        <w:footnoteRef/>
      </w:r>
      <w:r>
        <w:t xml:space="preserve"> </w:t>
      </w:r>
      <w:r>
        <w:t xml:space="preserve">WuR 317.</w:t>
      </w:r>
    </w:p>
  </w:footnote>
  <w:footnote w:id="150">
    <w:p>
      <w:pPr>
        <w:pStyle w:val="FootnoteText"/>
      </w:pPr>
      <w:r>
        <w:rPr>
          <w:rStyle w:val="FootnoteReference"/>
        </w:rPr>
        <w:footnoteRef/>
      </w:r>
      <w:r>
        <w:t xml:space="preserve"> </w:t>
      </w:r>
      <w:r>
        <w:t xml:space="preserve">TJ 266 and 268.</w:t>
      </w:r>
    </w:p>
  </w:footnote>
  <w:footnote w:id="152">
    <w:p>
      <w:pPr>
        <w:pStyle w:val="FootnoteText"/>
      </w:pPr>
      <w:r>
        <w:rPr>
          <w:rStyle w:val="FootnoteReference"/>
        </w:rPr>
        <w:footnoteRef/>
      </w:r>
      <w:r>
        <w:t xml:space="preserve"> </w:t>
      </w:r>
      <w:r>
        <w:t xml:space="preserve">Niklas Luhmann,</w:t>
      </w:r>
      <w:r>
        <w:t xml:space="preserve"> </w:t>
      </w:r>
      <w:r>
        <w:rPr>
          <w:i/>
          <w:iCs/>
        </w:rPr>
        <w:t xml:space="preserve">Das Recht der Gesellschaft</w:t>
      </w:r>
      <w:r>
        <w:t xml:space="preserve"> </w:t>
      </w:r>
      <w:r>
        <w:t xml:space="preserve">(Frankfurt: Suhrkamp, 1993), chs 2 and 4; English as</w:t>
      </w:r>
      <w:r>
        <w:t xml:space="preserve"> </w:t>
      </w:r>
      <w:r>
        <w:rPr>
          <w:i/>
          <w:iCs/>
        </w:rPr>
        <w:t xml:space="preserve">Law as a Social System</w:t>
      </w:r>
      <w:r>
        <w:t xml:space="preserve">, trans. Klaus A. Ziegert (Oxford: Oxford University Press, 2004). Cited at the level of the position.</w:t>
      </w:r>
    </w:p>
  </w:footnote>
  <w:footnote w:id="153">
    <w:p>
      <w:pPr>
        <w:pStyle w:val="FootnoteText"/>
      </w:pPr>
      <w:r>
        <w:rPr>
          <w:rStyle w:val="FootnoteReference"/>
        </w:rPr>
        <w:footnoteRef/>
      </w:r>
      <w:r>
        <w:t xml:space="preserve"> </w:t>
      </w:r>
      <w:r>
        <w:t xml:space="preserve">TJ 142 and 8; TJ 145 for</w:t>
      </w:r>
      <w:r>
        <w:t xml:space="preserve"> </w:t>
      </w:r>
      <w:r>
        <w:t xml:space="preserve">‘a linguistic variation on an objective idealism’</w:t>
      </w:r>
      <w:r>
        <w:t xml:space="preserve">. Brandom holds the perspectival structure of scorekeeping sufficient for the thought that the whole community may be mistaken (</w:t>
      </w:r>
      <w:r>
        <w:rPr>
          <w:i/>
          <w:iCs/>
        </w:rPr>
        <w:t xml:space="preserve">Making It Explicit</w:t>
      </w:r>
      <w:r>
        <w:t xml:space="preserve">, 179); the objection concedes the result and asks what the availability of the thought is grounded in.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2026-09-29T09:59:00Z</dcterms:created>
  <dcterms:modified xsi:type="dcterms:W3CDTF">2026-09-29T09:59:00Z</dcterms:modified>
</cp:coreProperties>
</file>

<file path=docProps/custom.xml><?xml version="1.0" encoding="utf-8"?>
<Properties xmlns="http://schemas.openxmlformats.org/officeDocument/2006/custom-properties" xmlns:vt="http://schemas.openxmlformats.org/officeDocument/2006/docPropsVTypes"/>
</file>