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2af33d7705afe458153d348900de22acc9eae77"/>
    <w:p>
      <w:pPr>
        <w:pStyle w:val="Heading1"/>
      </w:pPr>
      <w:r>
        <w:t xml:space="preserve">Chapter Three — Pre-Viva Assessment and Revision Report</w:t>
      </w:r>
    </w:p>
    <w:p>
      <w:pPr>
        <w:pStyle w:val="FirstParagraph"/>
      </w:pPr>
      <w:r>
        <w:rPr>
          <w:b/>
          <w:bCs/>
        </w:rPr>
        <w:t xml:space="preserve">Object of assessment:</w:t>
      </w:r>
      <w:r>
        <w:t xml:space="preserve"> </w:t>
      </w:r>
      <w:r>
        <w:t xml:space="preserve">CHAPTER_THREE_REVISED_32.docx,</w:t>
      </w:r>
      <w:r>
        <w:t xml:space="preserve"> </w:t>
      </w:r>
      <w:r>
        <w:t xml:space="preserve">“The Formal-Pragmatic Threshold: The Apel–Habermas Dispute, Reflexive Irrefutability, and the Aporia of the Meaning of Truth”</w:t>
      </w:r>
      <w:r>
        <w:t xml:space="preserve"> </w:t>
      </w:r>
      <w:r>
        <w:t xml:space="preserve">(about 40,600 words of body text and 13,700 words in 164 footnotes).</w:t>
      </w:r>
    </w:p>
    <w:p>
      <w:pPr>
        <w:pStyle w:val="BodyText"/>
      </w:pPr>
      <w:r>
        <w:rPr>
          <w:b/>
          <w:bCs/>
        </w:rPr>
        <w:t xml:space="preserve">Collateral read:</w:t>
      </w:r>
      <w:r>
        <w:t xml:space="preserve"> </w:t>
      </w:r>
      <w:r>
        <w:t xml:space="preserve">CHAPTER_ONE_REVISED_41 (28 September 2026), CHAPTER_TWO_SUBMISSION (31 August 2026), and CHAPTER_THREE_REVISED_01 (1 September 2026).</w:t>
      </w:r>
    </w:p>
    <w:p>
      <w:pPr>
        <w:pStyle w:val="BodyText"/>
      </w:pPr>
      <w:r>
        <w:rPr>
          <w:b/>
          <w:bCs/>
        </w:rPr>
        <w:t xml:space="preserve">Sources checked:</w:t>
      </w:r>
      <w:r>
        <w:t xml:space="preserve"> </w:t>
      </w:r>
      <w:r>
        <w:t xml:space="preserve">the primary and secondary texts held on the candidate’s Google Drive, where the Drive tool could extract them. The verification register in section 4 says which loci could and could not be checked.</w:t>
      </w:r>
    </w:p>
    <w:p>
      <w:pPr>
        <w:pStyle w:val="BodyText"/>
      </w:pPr>
      <w:r>
        <w:rPr>
          <w:b/>
          <w:bCs/>
        </w:rPr>
        <w:t xml:space="preserve">Deliverable:</w:t>
      </w:r>
      <w:r>
        <w:t xml:space="preserve"> </w:t>
      </w:r>
      <w:r>
        <w:t xml:space="preserve">CHAPTER_THREE_REVISED_33 is the fully rewritten chapter. It has about 32,400 words including 125 notes.</w:t>
      </w:r>
    </w:p>
    <w:p>
      <w:r>
        <w:pict>
          <v:rect style="width:0;height:1.5pt" o:hralign="center" o:hrstd="t" o:hr="t"/>
        </w:pict>
      </w:r>
    </w:p>
    <w:bookmarkStart w:id="9" w:name="overall-pre-viva-assessment"/>
    <w:p>
      <w:pPr>
        <w:pStyle w:val="Heading2"/>
      </w:pPr>
      <w:r>
        <w:t xml:space="preserve">1. Overall pre-viva assessment</w:t>
      </w:r>
    </w:p>
    <w:p>
      <w:pPr>
        <w:pStyle w:val="FirstParagraph"/>
      </w:pPr>
      <w:r>
        <w:t xml:space="preserve">The chapter is the strongest philosophical material in the thesis. It is also the chapter most likely to be attacked at viva, because it claims more than it establishes at three points.</w:t>
      </w:r>
    </w:p>
    <w:p>
      <w:pPr>
        <w:pStyle w:val="BodyText"/>
      </w:pPr>
      <w:r>
        <w:t xml:space="preserve">Its principal result is sound and defensible. The Apel–Habermas dispute is not a contest of methods. Both parties practise the same non-deductive, confutative procedure. The dispute concerns the modal standing of what that procedure yields, and it is better posed as a question of scope than as a quarrel about degrees of necessity. The engagement with Kuhlmann’s three prohibitions is the most original passage in the chapter. So is the token/type analysis of self-application, and so is the verdict that Apel’s direct route to equal entitlement succeeds against the contester inside discourse and fails at the constitution of the class of addressees. Specialists will recognise these as contributions.</w:t>
      </w:r>
    </w:p>
    <w:p>
      <w:pPr>
        <w:pStyle w:val="BodyText"/>
      </w:pPr>
      <w:r>
        <w:t xml:space="preserve">In its submitted form the chapter would not pass a demanding examiner without major corrections. The reasons are these:</w:t>
      </w:r>
    </w:p>
    <w:p>
      <w:pPr>
        <w:pStyle w:val="Compact"/>
        <w:numPr>
          <w:ilvl w:val="0"/>
          <w:numId w:val="1001"/>
        </w:numPr>
      </w:pPr>
      <w:r>
        <w:rPr>
          <w:b/>
          <w:bCs/>
        </w:rPr>
        <w:t xml:space="preserve">Conditional results are stated as established.</w:t>
      </w:r>
      <w:r>
        <w:t xml:space="preserve"> </w:t>
      </w:r>
      <w:r>
        <w:t xml:space="preserve">The modal result against Habermas holds only on Apel’s strong construal of the claim to intelligibility. The chapter says so in some places and forgets it in others.</w:t>
      </w:r>
    </w:p>
    <w:p>
      <w:pPr>
        <w:pStyle w:val="Compact"/>
        <w:numPr>
          <w:ilvl w:val="0"/>
          <w:numId w:val="1001"/>
        </w:numPr>
      </w:pPr>
      <w:r>
        <w:rPr>
          <w:b/>
          <w:bCs/>
        </w:rPr>
        <w:t xml:space="preserve">The central concept is exposed to a collapse objection it does not face.</w:t>
      </w:r>
      <w:r>
        <w:t xml:space="preserve"> </w:t>
      </w:r>
      <w:r>
        <w:t xml:space="preserve">“Reflexive irrefutability”</w:t>
      </w:r>
      <w:r>
        <w:t xml:space="preserve"> </w:t>
      </w:r>
      <w:r>
        <w:t xml:space="preserve">risks saying nothing Habermas does not already say.</w:t>
      </w:r>
    </w:p>
    <w:p>
      <w:pPr>
        <w:pStyle w:val="Compact"/>
        <w:numPr>
          <w:ilvl w:val="0"/>
          <w:numId w:val="1001"/>
        </w:numPr>
      </w:pPr>
      <w:r>
        <w:rPr>
          <w:b/>
          <w:bCs/>
        </w:rPr>
        <w:t xml:space="preserve">One exegetical inference from Aristotle is unsound.</w:t>
      </w:r>
      <w:r>
        <w:t xml:space="preserve"> </w:t>
      </w:r>
      <w:r>
        <w:t xml:space="preserve">It concerns the word order at</w:t>
      </w:r>
      <w:r>
        <w:t xml:space="preserve"> </w:t>
      </w:r>
      <w:r>
        <w:rPr>
          <w:i/>
          <w:iCs/>
        </w:rPr>
        <w:t xml:space="preserve">Metaphysics</w:t>
      </w:r>
      <w:r>
        <w:t xml:space="preserve"> </w:t>
      </w:r>
      <w:r>
        <w:t xml:space="preserve">Γ.4, 1006b.</w:t>
      </w:r>
    </w:p>
    <w:p>
      <w:pPr>
        <w:pStyle w:val="Compact"/>
        <w:numPr>
          <w:ilvl w:val="0"/>
          <w:numId w:val="1001"/>
        </w:numPr>
      </w:pPr>
      <w:r>
        <w:rPr>
          <w:b/>
          <w:bCs/>
        </w:rPr>
        <w:t xml:space="preserve">The apparatus contains a significant number of citation errors.</w:t>
      </w:r>
      <w:r>
        <w:t xml:space="preserve"> </w:t>
      </w:r>
      <w:r>
        <w:t xml:space="preserve">Some are misattributions, some misquotations, and some page numbers are wrong.</w:t>
      </w:r>
    </w:p>
    <w:p>
      <w:pPr>
        <w:pStyle w:val="Compact"/>
        <w:numPr>
          <w:ilvl w:val="0"/>
          <w:numId w:val="1001"/>
        </w:numPr>
      </w:pPr>
      <w:r>
        <w:rPr>
          <w:b/>
          <w:bCs/>
        </w:rPr>
        <w:t xml:space="preserve">The chapter is too long and its prose is too recursive.</w:t>
      </w:r>
      <w:r>
        <w:t xml:space="preserve"> </w:t>
      </w:r>
      <w:r>
        <w:t xml:space="preserve">It is roughly half as long again as a thesis chapter should be, and its self-referential signposting will read to an examiner as defensive, and possibly as machine-assisted.</w:t>
      </w:r>
    </w:p>
    <w:p>
      <w:pPr>
        <w:pStyle w:val="FirstParagraph"/>
      </w:pPr>
      <w:r>
        <w:t xml:space="preserve">Recommended outcome if submitted unrevised:</w:t>
      </w:r>
      <w:r>
        <w:t xml:space="preserve"> </w:t>
      </w:r>
      <w:r>
        <w:rPr>
          <w:b/>
          <w:bCs/>
        </w:rPr>
        <w:t xml:space="preserve">major corrections.</w:t>
      </w:r>
      <w:r>
        <w:t xml:space="preserve"> </w:t>
      </w:r>
      <w:r>
        <w:t xml:space="preserve">If the revised version is adopted and the open items in section 4 are closed, the chapter should be defensible at a leading institution.</w:t>
      </w:r>
    </w:p>
    <w:p>
      <w:r>
        <w:pict>
          <v:rect style="width:0;height:1.5pt" o:hralign="center" o:hrstd="t" o:hr="t"/>
        </w:pict>
      </w:r>
    </w:p>
    <w:bookmarkEnd w:id="9"/>
    <w:bookmarkStart w:id="10" w:name="major-conceptual-weaknesses"/>
    <w:p>
      <w:pPr>
        <w:pStyle w:val="Heading2"/>
      </w:pPr>
      <w:r>
        <w:t xml:space="preserve">2. Major conceptual weaknesses</w:t>
      </w:r>
    </w:p>
    <w:p>
      <w:pPr>
        <w:pStyle w:val="FirstParagraph"/>
      </w:pPr>
      <w:r>
        <w:rPr>
          <w:b/>
          <w:bCs/>
        </w:rPr>
        <w:t xml:space="preserve">2.1 The result against Habermas is conditional, and the chapter does not consistently say so.</w:t>
      </w:r>
    </w:p>
    <w:p>
      <w:pPr>
        <w:pStyle w:val="Compact"/>
        <w:numPr>
          <w:ilvl w:val="0"/>
          <w:numId w:val="1002"/>
        </w:numPr>
      </w:pPr>
      <w:r>
        <w:rPr>
          <w:b/>
          <w:bCs/>
        </w:rPr>
        <w:t xml:space="preserve">The problem.</w:t>
      </w:r>
      <w:r>
        <w:t xml:space="preserve"> </w:t>
      </w:r>
      <w:r>
        <w:t xml:space="preserve">Habermas does not deny the first stage, that determinate meaning requires the exclusion of contradiction. A result confined to the first stage is therefore not a result against him. Everything the chapter claims against weak transcendentalism depends on the strong construal of the intelligibility claim. On that construal, assessability by an entitled other is already a condition of meaning. §3.3.2 says this is</w:t>
      </w:r>
      <w:r>
        <w:t xml:space="preserve"> </w:t>
      </w:r>
      <w:r>
        <w:t xml:space="preserve">“argued and not established”</w:t>
      </w:r>
      <w:r>
        <w:t xml:space="preserve">. Yet §3.3.4 says the semiotic a priori</w:t>
      </w:r>
      <w:r>
        <w:t xml:space="preserve"> </w:t>
      </w:r>
      <w:r>
        <w:t xml:space="preserve">“now supplies”</w:t>
      </w:r>
      <w:r>
        <w:t xml:space="preserve"> </w:t>
      </w:r>
      <w:r>
        <w:t xml:space="preserve">the conclusion §3.1.5 required, and §3.4.1 states the negative result with only a general avowal.</w:t>
      </w:r>
    </w:p>
    <w:p>
      <w:pPr>
        <w:pStyle w:val="Compact"/>
        <w:numPr>
          <w:ilvl w:val="0"/>
          <w:numId w:val="1002"/>
        </w:numPr>
      </w:pPr>
      <w:r>
        <w:rPr>
          <w:b/>
          <w:bCs/>
        </w:rPr>
        <w:t xml:space="preserve">The cost.</w:t>
      </w:r>
      <w:r>
        <w:t xml:space="preserve"> </w:t>
      </w:r>
      <w:r>
        <w:t xml:space="preserve">An examiner will ask the candidate to state the result without the strong construal. Nothing against Habermas survives.</w:t>
      </w:r>
    </w:p>
    <w:p>
      <w:pPr>
        <w:pStyle w:val="Compact"/>
        <w:numPr>
          <w:ilvl w:val="0"/>
          <w:numId w:val="1002"/>
        </w:numPr>
      </w:pPr>
      <w:r>
        <w:rPr>
          <w:b/>
          <w:bCs/>
        </w:rPr>
        <w:t xml:space="preserve">Revision.</w:t>
      </w:r>
      <w:r>
        <w:t xml:space="preserve"> </w:t>
      </w:r>
      <w:r>
        <w:t xml:space="preserve">A new paragraph in §3.3.2 states the dependence explicitly. The yield against Habermas is now stated in conditional form throughout.</w:t>
      </w:r>
    </w:p>
    <w:p>
      <w:pPr>
        <w:pStyle w:val="FirstParagraph"/>
      </w:pPr>
      <w:r>
        <w:rPr>
          <w:b/>
          <w:bCs/>
        </w:rPr>
        <w:t xml:space="preserve">2.2</w:t>
      </w:r>
      <w:r>
        <w:rPr>
          <w:b/>
          <w:bCs/>
        </w:rPr>
        <w:t xml:space="preserve"> </w:t>
      </w:r>
      <w:r>
        <w:rPr>
          <w:b/>
          <w:bCs/>
        </w:rPr>
        <w:t xml:space="preserve">“Reflexive irrefutability”</w:t>
      </w:r>
      <w:r>
        <w:rPr>
          <w:b/>
          <w:bCs/>
        </w:rPr>
        <w:t xml:space="preserve"> </w:t>
      </w:r>
      <w:r>
        <w:rPr>
          <w:b/>
          <w:bCs/>
        </w:rPr>
        <w:t xml:space="preserve">faces a collapse objection the chapter does not address.</w:t>
      </w:r>
    </w:p>
    <w:p>
      <w:pPr>
        <w:pStyle w:val="Compact"/>
        <w:numPr>
          <w:ilvl w:val="0"/>
          <w:numId w:val="1003"/>
        </w:numPr>
      </w:pPr>
      <w:r>
        <w:rPr>
          <w:b/>
          <w:bCs/>
        </w:rPr>
        <w:t xml:space="preserve">The problem.</w:t>
      </w:r>
      <w:r>
        <w:t xml:space="preserve"> </w:t>
      </w:r>
      <w:r>
        <w:t xml:space="preserve">By the chapter’s own categorial premise, refutation is an operation on propositions and enactments are not propositions. So</w:t>
      </w:r>
      <w:r>
        <w:t xml:space="preserve"> </w:t>
      </w:r>
      <w:r>
        <w:t xml:space="preserve">“irrefutability”</w:t>
      </w:r>
      <w:r>
        <w:t xml:space="preserve"> </w:t>
      </w:r>
      <w:r>
        <w:t xml:space="preserve">cannot be predicated of an enactment directly. If it is predicated of the type-claim, that every denial of the kind miscarries, then the claim is a proposition and corrigible. The position is then Habermas’s own,</w:t>
      </w:r>
      <w:r>
        <w:t xml:space="preserve"> </w:t>
      </w:r>
      <w:r>
        <w:t xml:space="preserve">“indexically self-verifying and universally hypothetical”</w:t>
      </w:r>
      <w:r>
        <w:t xml:space="preserve">. The chapter itself formulated that position at §3.2.3.</w:t>
      </w:r>
    </w:p>
    <w:p>
      <w:pPr>
        <w:pStyle w:val="Compact"/>
        <w:numPr>
          <w:ilvl w:val="0"/>
          <w:numId w:val="1003"/>
        </w:numPr>
      </w:pPr>
      <w:r>
        <w:rPr>
          <w:b/>
          <w:bCs/>
        </w:rPr>
        <w:t xml:space="preserve">The cost.</w:t>
      </w:r>
      <w:r>
        <w:t xml:space="preserve"> </w:t>
      </w:r>
      <w:r>
        <w:t xml:space="preserve">The chapter’s claimed addition to the tradition becomes a relabelling.</w:t>
      </w:r>
    </w:p>
    <w:p>
      <w:pPr>
        <w:pStyle w:val="Compact"/>
        <w:numPr>
          <w:ilvl w:val="0"/>
          <w:numId w:val="1003"/>
        </w:numPr>
      </w:pPr>
      <w:r>
        <w:rPr>
          <w:b/>
          <w:bCs/>
        </w:rPr>
        <w:t xml:space="preserve">Revision.</w:t>
      </w:r>
      <w:r>
        <w:t xml:space="preserve"> </w:t>
      </w:r>
      <w:r>
        <w:t xml:space="preserve">The new §3.3.3 introduces the predicate as attaching to the enactment by way of the class of its denials. It concedes that the type-claim is corrigible. It then states where the difference from Habermas lies: in what a correction answers to and in the scope of the quantifier, not in certainty. The advance is described as real but modest.</w:t>
      </w:r>
    </w:p>
    <w:p>
      <w:pPr>
        <w:pStyle w:val="FirstParagraph"/>
      </w:pPr>
      <w:r>
        <w:rPr>
          <w:b/>
          <w:bCs/>
        </w:rPr>
        <w:t xml:space="preserve">2.3 The five-step argument against the socio-ontology of the moral</w:t>
      </w:r>
      <w:r>
        <w:rPr>
          <w:b/>
          <w:bCs/>
        </w:rPr>
        <w:t xml:space="preserve"> </w:t>
      </w:r>
      <w:r>
        <w:rPr>
          <w:b/>
          <w:bCs/>
        </w:rPr>
        <w:t xml:space="preserve">“ought”</w:t>
      </w:r>
      <w:r>
        <w:rPr>
          <w:b/>
          <w:bCs/>
        </w:rPr>
        <w:t xml:space="preserve"> </w:t>
      </w:r>
      <w:r>
        <w:rPr>
          <w:b/>
          <w:bCs/>
        </w:rPr>
        <w:t xml:space="preserve">partly misses its target.</w:t>
      </w:r>
    </w:p>
    <w:p>
      <w:pPr>
        <w:pStyle w:val="Compact"/>
        <w:numPr>
          <w:ilvl w:val="0"/>
          <w:numId w:val="1004"/>
        </w:numPr>
      </w:pPr>
      <w:r>
        <w:rPr>
          <w:b/>
          <w:bCs/>
        </w:rPr>
        <w:t xml:space="preserve">The problem.</w:t>
      </w:r>
      <w:r>
        <w:t xml:space="preserve"> </w:t>
      </w:r>
      <w:r>
        <w:t xml:space="preserve">Habermas’s thesis of 2020 concerns deontic force, the</w:t>
      </w:r>
      <w:r>
        <w:t xml:space="preserve"> </w:t>
      </w:r>
      <w:r>
        <w:rPr>
          <w:i/>
          <w:iCs/>
        </w:rPr>
        <w:t xml:space="preserve">Sollgeltung</w:t>
      </w:r>
      <w:r>
        <w:t xml:space="preserve">. The original argument shows that a norm’s standing as a candidate for validity presupposes the reciprocal conditions of assessment. It then concludes that Habermas</w:t>
      </w:r>
      <w:r>
        <w:t xml:space="preserve"> </w:t>
      </w:r>
      <w:r>
        <w:t xml:space="preserve">“has not exhibited a mode of being for moral norms independent of the discourse-presuppositions”</w:t>
      </w:r>
      <w:r>
        <w:t xml:space="preserve">. That runs the two senses of</w:t>
      </w:r>
      <w:r>
        <w:t xml:space="preserve"> </w:t>
      </w:r>
      <w:r>
        <w:t xml:space="preserve">“normativity”</w:t>
      </w:r>
      <w:r>
        <w:t xml:space="preserve"> </w:t>
      </w:r>
      <w:r>
        <w:t xml:space="preserve">together.</w:t>
      </w:r>
    </w:p>
    <w:p>
      <w:pPr>
        <w:pStyle w:val="Compact"/>
        <w:numPr>
          <w:ilvl w:val="0"/>
          <w:numId w:val="1004"/>
        </w:numPr>
      </w:pPr>
      <w:r>
        <w:rPr>
          <w:b/>
          <w:bCs/>
        </w:rPr>
        <w:t xml:space="preserve">Revision.</w:t>
      </w:r>
      <w:r>
        <w:t xml:space="preserve"> </w:t>
      </w:r>
      <w:r>
        <w:t xml:space="preserve">§3.1.4 now separates</w:t>
      </w:r>
      <w:r>
        <w:t xml:space="preserve"> </w:t>
      </w:r>
      <w:r>
        <w:rPr>
          <w:i/>
          <w:iCs/>
        </w:rPr>
        <w:t xml:space="preserve">standing as a candidate for validity</w:t>
      </w:r>
      <w:r>
        <w:t xml:space="preserve"> </w:t>
      </w:r>
      <w:r>
        <w:t xml:space="preserve">from</w:t>
      </w:r>
      <w:r>
        <w:t xml:space="preserve"> </w:t>
      </w:r>
      <w:r>
        <w:rPr>
          <w:i/>
          <w:iCs/>
        </w:rPr>
        <w:t xml:space="preserve">deontic force</w:t>
      </w:r>
      <w:r>
        <w:t xml:space="preserve">. It concedes the second to Habermas and contests only the first. The argument is narrower and no longer vulnerable to the reply that it attacks a thesis Habermas does not hold.</w:t>
      </w:r>
    </w:p>
    <w:p>
      <w:pPr>
        <w:pStyle w:val="FirstParagraph"/>
      </w:pPr>
      <w:r>
        <w:rPr>
          <w:b/>
          <w:bCs/>
        </w:rPr>
        <w:t xml:space="preserve">2.4 The proceduralist reply to the</w:t>
      </w:r>
      <w:r>
        <w:rPr>
          <w:b/>
          <w:bCs/>
        </w:rPr>
        <w:t xml:space="preserve"> </w:t>
      </w:r>
      <w:r>
        <w:rPr>
          <w:b/>
          <w:bCs/>
        </w:rPr>
        <w:t xml:space="preserve">“criterion of the better reason”</w:t>
      </w:r>
      <w:r>
        <w:rPr>
          <w:b/>
          <w:bCs/>
        </w:rPr>
        <w:t xml:space="preserve"> </w:t>
      </w:r>
      <w:r>
        <w:rPr>
          <w:b/>
          <w:bCs/>
        </w:rPr>
        <w:t xml:space="preserve">is not faced.</w:t>
      </w:r>
    </w:p>
    <w:p>
      <w:pPr>
        <w:pStyle w:val="Compact"/>
        <w:numPr>
          <w:ilvl w:val="0"/>
          <w:numId w:val="1005"/>
        </w:numPr>
      </w:pPr>
      <w:r>
        <w:rPr>
          <w:b/>
          <w:bCs/>
        </w:rPr>
        <w:t xml:space="preserve">The problem.</w:t>
      </w:r>
      <w:r>
        <w:t xml:space="preserve"> </w:t>
      </w:r>
      <w:r>
        <w:t xml:space="preserve">The chapter repeatedly asks by what criterion one reason is better than another. A Habermasian will answer that there is no criterion beyond the procedure, and that asking for one begs the question against proceduralism.</w:t>
      </w:r>
    </w:p>
    <w:p>
      <w:pPr>
        <w:pStyle w:val="Compact"/>
        <w:numPr>
          <w:ilvl w:val="0"/>
          <w:numId w:val="1005"/>
        </w:numPr>
      </w:pPr>
      <w:r>
        <w:rPr>
          <w:b/>
          <w:bCs/>
        </w:rPr>
        <w:t xml:space="preserve">Revision.</w:t>
      </w:r>
      <w:r>
        <w:t xml:space="preserve"> </w:t>
      </w:r>
      <w:r>
        <w:t xml:space="preserve">§3.1.4 now enters the reply and bounds it. What is pressed is the standing of the procedure’s presuppositions, not a demand for a substantive criterion.</w:t>
      </w:r>
    </w:p>
    <w:p>
      <w:pPr>
        <w:pStyle w:val="FirstParagraph"/>
      </w:pPr>
      <w:r>
        <w:rPr>
          <w:b/>
          <w:bCs/>
        </w:rPr>
        <w:t xml:space="preserve">2.5 The transcendental-semiotic resolution in §3.4.4 does nothing for rightness.</w:t>
      </w:r>
    </w:p>
    <w:p>
      <w:pPr>
        <w:pStyle w:val="Compact"/>
        <w:numPr>
          <w:ilvl w:val="0"/>
          <w:numId w:val="1006"/>
        </w:numPr>
      </w:pPr>
      <w:r>
        <w:rPr>
          <w:b/>
          <w:bCs/>
        </w:rPr>
        <w:t xml:space="preserve">The problem.</w:t>
      </w:r>
      <w:r>
        <w:t xml:space="preserve"> </w:t>
      </w:r>
      <w:r>
        <w:t xml:space="preserve">The original’s own answer to the second objection shows that assessability is shared by truth and rightness claims. So locating transcendence in assessability cannot relieve the pressure on the cognitivist vocabulary for morality. The original nevertheless presents the resolution as bearing on</w:t>
      </w:r>
      <w:r>
        <w:t xml:space="preserve"> </w:t>
      </w:r>
      <w:r>
        <w:t xml:space="preserve">“the aporia”</w:t>
      </w:r>
      <w:r>
        <w:t xml:space="preserve"> </w:t>
      </w:r>
      <w:r>
        <w:t xml:space="preserve">as a whole.</w:t>
      </w:r>
    </w:p>
    <w:p>
      <w:pPr>
        <w:pStyle w:val="Compact"/>
        <w:numPr>
          <w:ilvl w:val="0"/>
          <w:numId w:val="1006"/>
        </w:numPr>
      </w:pPr>
      <w:r>
        <w:rPr>
          <w:b/>
          <w:bCs/>
        </w:rPr>
        <w:t xml:space="preserve">Revision.</w:t>
      </w:r>
      <w:r>
        <w:t xml:space="preserve"> </w:t>
      </w:r>
      <w:r>
        <w:t xml:space="preserve">§3.4.4 now states that the resolution relieves the aporia, if at all, only on the side of truth.</w:t>
      </w:r>
    </w:p>
    <w:p>
      <w:pPr>
        <w:pStyle w:val="FirstParagraph"/>
      </w:pPr>
      <w:r>
        <w:rPr>
          <w:b/>
          <w:bCs/>
        </w:rPr>
        <w:t xml:space="preserve">2.6 The abstractive fallacy is extended beyond Apel’s usage without adequate control.</w:t>
      </w:r>
    </w:p>
    <w:p>
      <w:pPr>
        <w:pStyle w:val="BodyText"/>
      </w:pPr>
      <w:r>
        <w:t xml:space="preserve">The chapter applies Apel’s term in two directions Apel does not: to Kuhlmann in reverse, and to Brandom’s two horns. The first extension is retained because it does real work and is declared. The second has been removed from Chapter Three. It duplicates Chapter Two §2.3.3, and it inflates a technical term into a general-purpose diagnosis.</w:t>
      </w:r>
    </w:p>
    <w:p>
      <w:r>
        <w:pict>
          <v:rect style="width:0;height:1.5pt" o:hralign="center" o:hrstd="t" o:hr="t"/>
        </w:pict>
      </w:r>
    </w:p>
    <w:bookmarkEnd w:id="10"/>
    <w:bookmarkStart w:id="11" w:name="exegetical-corrections"/>
    <w:p>
      <w:pPr>
        <w:pStyle w:val="Heading2"/>
      </w:pPr>
      <w:r>
        <w:t xml:space="preserve">3. Exegetical corrections</w:t>
      </w:r>
    </w:p>
    <w:p>
      <w:pPr>
        <w:pStyle w:val="FirstParagraph"/>
      </w:pPr>
      <w:r>
        <w:rPr>
          <w:b/>
          <w:bCs/>
        </w:rPr>
        <w:t xml:space="preserve">3.1 Aristotle,</w:t>
      </w:r>
      <w:r>
        <w:rPr>
          <w:b/>
          <w:bCs/>
        </w:rPr>
        <w:t xml:space="preserve"> </w:t>
      </w:r>
      <w:r>
        <w:rPr>
          <w:b/>
          <w:bCs/>
          <w:i/>
          <w:iCs/>
        </w:rPr>
        <w:t xml:space="preserve">Metaphysics</w:t>
      </w:r>
      <w:r>
        <w:rPr>
          <w:b/>
          <w:bCs/>
        </w:rPr>
        <w:t xml:space="preserve"> </w:t>
      </w:r>
      <w:r>
        <w:rPr>
          <w:b/>
          <w:bCs/>
        </w:rPr>
        <w:t xml:space="preserve">Γ.4, 1006b5–9.</w:t>
      </w:r>
    </w:p>
    <w:p>
      <w:pPr>
        <w:pStyle w:val="Compact"/>
        <w:numPr>
          <w:ilvl w:val="0"/>
          <w:numId w:val="1007"/>
        </w:numPr>
      </w:pPr>
      <w:r>
        <w:rPr>
          <w:b/>
          <w:bCs/>
        </w:rPr>
        <w:t xml:space="preserve">What the original claimed.</w:t>
      </w:r>
      <w:r>
        <w:t xml:space="preserve"> </w:t>
      </w:r>
      <w:r>
        <w:t xml:space="preserve">It inferred from the order in which the two losses are named that address to another is the</w:t>
      </w:r>
      <w:r>
        <w:t xml:space="preserve"> </w:t>
      </w:r>
      <w:r>
        <w:t xml:space="preserve">“first casualty”</w:t>
      </w:r>
      <w:r>
        <w:t xml:space="preserve">. It concluded that the unity-condition is</w:t>
      </w:r>
      <w:r>
        <w:t xml:space="preserve"> </w:t>
      </w:r>
      <w:r>
        <w:t xml:space="preserve">“dialogical in Aristotle before it is dialogical in Apel”</w:t>
      </w:r>
      <w:r>
        <w:t xml:space="preserve">.</w:t>
      </w:r>
    </w:p>
    <w:p>
      <w:pPr>
        <w:pStyle w:val="Compact"/>
        <w:numPr>
          <w:ilvl w:val="0"/>
          <w:numId w:val="1007"/>
        </w:numPr>
      </w:pPr>
      <w:r>
        <w:rPr>
          <w:b/>
          <w:bCs/>
        </w:rPr>
        <w:t xml:space="preserve">Why this fails.</w:t>
      </w:r>
      <w:r>
        <w:t xml:space="preserve"> </w:t>
      </w:r>
      <w:r>
        <w:t xml:space="preserve">The Greek reads ἀνῄρηται γὰρ τὸ διαλέγεσθαι πρὸς ἀλλήλους, κατὰ δὲ τὴν ἀλήθειαν καὶ πρὸς αὑτόν· οὐθὲν γὰρ ἐνδέχεται νοεῖν μὴ νοοῦντα ἕν. The clause about oneself is an a fortiori intensification,</w:t>
      </w:r>
      <w:r>
        <w:t xml:space="preserve"> </w:t>
      </w:r>
      <w:r>
        <w:t xml:space="preserve">“and in truth with oneself too”</w:t>
      </w:r>
      <w:r>
        <w:t xml:space="preserve">. The explanatory clause grounds both losses in the impossibility of</w:t>
      </w:r>
      <w:r>
        <w:t xml:space="preserve"> </w:t>
      </w:r>
      <w:r>
        <w:rPr>
          <w:i/>
          <w:iCs/>
        </w:rPr>
        <w:t xml:space="preserve">thinking</w:t>
      </w:r>
      <w:r>
        <w:t xml:space="preserve"> </w:t>
      </w:r>
      <w:r>
        <w:t xml:space="preserve">without thinking one thing. If anything, the sentence makes thought prior. A classicist examiner would identify this at once.</w:t>
      </w:r>
    </w:p>
    <w:p>
      <w:pPr>
        <w:pStyle w:val="Compact"/>
        <w:numPr>
          <w:ilvl w:val="0"/>
          <w:numId w:val="1007"/>
        </w:numPr>
      </w:pPr>
      <w:r>
        <w:rPr>
          <w:b/>
          <w:bCs/>
        </w:rPr>
        <w:t xml:space="preserve">Revision.</w:t>
      </w:r>
      <w:r>
        <w:t xml:space="preserve"> </w:t>
      </w:r>
      <w:r>
        <w:t xml:space="preserve">The inference is withdrawn. The dialogical character of the procedure is now drawn from its form: a refutation needs a respondent who supplies its material by signifying to another. It is no longer drawn from word order.</w:t>
      </w:r>
    </w:p>
    <w:p>
      <w:pPr>
        <w:pStyle w:val="FirstParagraph"/>
      </w:pPr>
      <w:r>
        <w:rPr>
          <w:b/>
          <w:bCs/>
        </w:rPr>
        <w:t xml:space="preserve">3.2 The Greek text.</w:t>
      </w:r>
    </w:p>
    <w:p>
      <w:pPr>
        <w:pStyle w:val="Compact"/>
        <w:numPr>
          <w:ilvl w:val="0"/>
          <w:numId w:val="1008"/>
        </w:numPr>
      </w:pPr>
      <w:r>
        <w:rPr>
          <w:b/>
          <w:bCs/>
        </w:rPr>
        <w:t xml:space="preserve">The problem.</w:t>
      </w:r>
      <w:r>
        <w:t xml:space="preserve"> </w:t>
      </w:r>
      <w:r>
        <w:t xml:space="preserve">The original quotes the Greek of Γ.4 from a 2021 English translation (Topos Productions) of Łukasiewicz’s 1910 monograph. That source antedates Ross’s text. The monograph is a secondary source, and the translation is a small-press product.</w:t>
      </w:r>
    </w:p>
    <w:p>
      <w:pPr>
        <w:pStyle w:val="Compact"/>
        <w:numPr>
          <w:ilvl w:val="0"/>
          <w:numId w:val="1008"/>
        </w:numPr>
      </w:pPr>
      <w:r>
        <w:rPr>
          <w:b/>
          <w:bCs/>
        </w:rPr>
        <w:t xml:space="preserve">Why this matters.</w:t>
      </w:r>
      <w:r>
        <w:t xml:space="preserve"> </w:t>
      </w:r>
      <w:r>
        <w:t xml:space="preserve">Quoting Aristotle’s Greek from it signals second-hand engagement with the primary text.</w:t>
      </w:r>
    </w:p>
    <w:p>
      <w:pPr>
        <w:pStyle w:val="Compact"/>
        <w:numPr>
          <w:ilvl w:val="0"/>
          <w:numId w:val="1008"/>
        </w:numPr>
      </w:pPr>
      <w:r>
        <w:rPr>
          <w:b/>
          <w:bCs/>
        </w:rPr>
        <w:t xml:space="preserve">Revision.</w:t>
      </w:r>
      <w:r>
        <w:t xml:space="preserve"> </w:t>
      </w:r>
      <w:r>
        <w:t xml:space="preserve">All Greek is now given from Ross’s edition of 1924.</w:t>
      </w:r>
    </w:p>
    <w:p>
      <w:pPr>
        <w:pStyle w:val="FirstParagraph"/>
      </w:pPr>
      <w:r>
        <w:rPr>
          <w:b/>
          <w:bCs/>
        </w:rPr>
        <w:t xml:space="preserve">3.3 Apel on the elenchos.</w:t>
      </w:r>
    </w:p>
    <w:p>
      <w:pPr>
        <w:pStyle w:val="Compact"/>
        <w:numPr>
          <w:ilvl w:val="0"/>
          <w:numId w:val="1009"/>
        </w:numPr>
      </w:pPr>
      <w:r>
        <w:rPr>
          <w:b/>
          <w:bCs/>
        </w:rPr>
        <w:t xml:space="preserve">The problem.</w:t>
      </w:r>
      <w:r>
        <w:t xml:space="preserve"> </w:t>
      </w:r>
      <w:r>
        <w:t xml:space="preserve">The chapter cites Apel as rooting his method in the Aristotelian elenchos (FTSPV 94). It does not register that in the Mercier Lectures (ML 42) Apel explicitly sets his dialogical elenchos apart from Aristotle’s</w:t>
      </w:r>
      <w:r>
        <w:t xml:space="preserve"> </w:t>
      </w:r>
      <w:r>
        <w:t xml:space="preserve">“indirect proof”</w:t>
      </w:r>
      <w:r>
        <w:t xml:space="preserve">. He takes the indirect proof to presuppose definitions and so to remain exposed to a</w:t>
      </w:r>
      <w:r>
        <w:t xml:space="preserve"> </w:t>
      </w:r>
      <w:r>
        <w:rPr>
          <w:i/>
          <w:iCs/>
        </w:rPr>
        <w:t xml:space="preserve">petitio</w:t>
      </w:r>
      <w:r>
        <w:t xml:space="preserve">.</w:t>
      </w:r>
    </w:p>
    <w:p>
      <w:pPr>
        <w:pStyle w:val="Compact"/>
        <w:numPr>
          <w:ilvl w:val="0"/>
          <w:numId w:val="1009"/>
        </w:numPr>
      </w:pPr>
      <w:r>
        <w:rPr>
          <w:b/>
          <w:bCs/>
        </w:rPr>
        <w:t xml:space="preserve">Revision.</w:t>
      </w:r>
      <w:r>
        <w:t xml:space="preserve"> </w:t>
      </w:r>
      <w:r>
        <w:t xml:space="preserve">The two statements are now set side by side, and the chapter’s claim is restricted to the form of argument on the pragmatic-act reading.</w:t>
      </w:r>
    </w:p>
    <w:p>
      <w:pPr>
        <w:pStyle w:val="FirstParagraph"/>
      </w:pPr>
      <w:r>
        <w:rPr>
          <w:b/>
          <w:bCs/>
        </w:rPr>
        <w:t xml:space="preserve">3.4 Habermas’s register in 2020.</w:t>
      </w:r>
    </w:p>
    <w:p>
      <w:pPr>
        <w:pStyle w:val="Compact"/>
        <w:numPr>
          <w:ilvl w:val="0"/>
          <w:numId w:val="1010"/>
        </w:numPr>
      </w:pPr>
      <w:r>
        <w:rPr>
          <w:b/>
          <w:bCs/>
        </w:rPr>
        <w:t xml:space="preserve">The problem.</w:t>
      </w:r>
      <w:r>
        <w:t xml:space="preserve"> </w:t>
      </w:r>
      <w:r>
        <w:t xml:space="preserve">The chapter attributes a</w:t>
      </w:r>
      <w:r>
        <w:t xml:space="preserve"> </w:t>
      </w:r>
      <w:r>
        <w:t xml:space="preserve">“weakly transcendental”</w:t>
      </w:r>
      <w:r>
        <w:t xml:space="preserve"> </w:t>
      </w:r>
      <w:r>
        <w:t xml:space="preserve">grade to Habermas’s essay of 2020. The phrase does not occur there. Habermas’s own term in that essay is</w:t>
      </w:r>
      <w:r>
        <w:t xml:space="preserve"> </w:t>
      </w:r>
      <w:r>
        <w:t xml:space="preserve">“quasi-transcendental”</w:t>
      </w:r>
      <w:r>
        <w:t xml:space="preserve"> </w:t>
      </w:r>
      <w:r>
        <w:t xml:space="preserve">(PSC 635, 636, 645), and the modality is unavoidability</w:t>
      </w:r>
      <w:r>
        <w:t xml:space="preserve"> </w:t>
      </w:r>
      <w:r>
        <w:t xml:space="preserve">“in the weaker sense”</w:t>
      </w:r>
      <w:r>
        <w:t xml:space="preserve"> </w:t>
      </w:r>
      <w:r>
        <w:t xml:space="preserve">(PSC 646).</w:t>
      </w:r>
    </w:p>
    <w:p>
      <w:pPr>
        <w:pStyle w:val="Compact"/>
        <w:numPr>
          <w:ilvl w:val="0"/>
          <w:numId w:val="1010"/>
        </w:numPr>
      </w:pPr>
      <w:r>
        <w:rPr>
          <w:b/>
          <w:bCs/>
        </w:rPr>
        <w:t xml:space="preserve">Revision.</w:t>
      </w:r>
      <w:r>
        <w:t xml:space="preserve"> </w:t>
      </w:r>
      <w:r>
        <w:t xml:space="preserve">A note now marks</w:t>
      </w:r>
      <w:r>
        <w:t xml:space="preserve"> </w:t>
      </w:r>
      <w:r>
        <w:t xml:space="preserve">“weakly transcendental”</w:t>
      </w:r>
      <w:r>
        <w:t xml:space="preserve"> </w:t>
      </w:r>
      <w:r>
        <w:t xml:space="preserve">as the thesis’s designation for the grade fixed from the texts of 1991 and 2003.</w:t>
      </w:r>
    </w:p>
    <w:p>
      <w:pPr>
        <w:pStyle w:val="FirstParagraph"/>
      </w:pPr>
      <w:r>
        <w:rPr>
          <w:b/>
          <w:bCs/>
        </w:rPr>
        <w:t xml:space="preserve">3.5 Wellmer.</w:t>
      </w:r>
    </w:p>
    <w:p>
      <w:pPr>
        <w:pStyle w:val="Compact"/>
        <w:numPr>
          <w:ilvl w:val="0"/>
          <w:numId w:val="1011"/>
        </w:numPr>
      </w:pPr>
      <w:r>
        <w:rPr>
          <w:b/>
          <w:bCs/>
        </w:rPr>
        <w:t xml:space="preserve">The problem.</w:t>
      </w:r>
      <w:r>
        <w:t xml:space="preserve"> </w:t>
      </w:r>
      <w:r>
        <w:t xml:space="preserve">“Negative justification”</w:t>
      </w:r>
      <w:r>
        <w:t xml:space="preserve"> </w:t>
      </w:r>
      <w:r>
        <w:t xml:space="preserve">is not Wellmer’s phrase.</w:t>
      </w:r>
    </w:p>
    <w:p>
      <w:pPr>
        <w:pStyle w:val="Compact"/>
        <w:numPr>
          <w:ilvl w:val="0"/>
          <w:numId w:val="1011"/>
        </w:numPr>
      </w:pPr>
      <w:r>
        <w:rPr>
          <w:b/>
          <w:bCs/>
        </w:rPr>
        <w:t xml:space="preserve">Revision.</w:t>
      </w:r>
      <w:r>
        <w:t xml:space="preserve"> </w:t>
      </w:r>
      <w:r>
        <w:t xml:space="preserve">His own formulations are now given in the note: the moral</w:t>
      </w:r>
      <w:r>
        <w:t xml:space="preserve"> </w:t>
      </w:r>
      <w:r>
        <w:t xml:space="preserve">“ought”</w:t>
      </w:r>
      <w:r>
        <w:t xml:space="preserve"> </w:t>
      </w:r>
      <w:r>
        <w:t xml:space="preserve">derived</w:t>
      </w:r>
      <w:r>
        <w:t xml:space="preserve"> </w:t>
      </w:r>
      <w:r>
        <w:t xml:space="preserve">“only</w:t>
      </w:r>
      <w:r>
        <w:t xml:space="preserve"> </w:t>
      </w:r>
      <w:r>
        <w:rPr>
          <w:i/>
          <w:iCs/>
        </w:rPr>
        <w:t xml:space="preserve">via negationis</w:t>
      </w:r>
      <w:r>
        <w:t xml:space="preserve">”</w:t>
      </w:r>
      <w:r>
        <w:t xml:space="preserve">, and</w:t>
      </w:r>
      <w:r>
        <w:t xml:space="preserve"> </w:t>
      </w:r>
      <w:r>
        <w:t xml:space="preserve">“the elimination of nonsense”</w:t>
      </w:r>
      <w:r>
        <w:t xml:space="preserve">. The core claim is now quoted: the norms of argument</w:t>
      </w:r>
      <w:r>
        <w:t xml:space="preserve"> </w:t>
      </w:r>
      <w:r>
        <w:t xml:space="preserve">“do not amount to universalistic moral norms or meta-norms for morality”</w:t>
      </w:r>
      <w:r>
        <w:t xml:space="preserve">.</w:t>
      </w:r>
    </w:p>
    <w:p>
      <w:pPr>
        <w:pStyle w:val="FirstParagraph"/>
      </w:pPr>
      <w:r>
        <w:rPr>
          <w:b/>
          <w:bCs/>
        </w:rPr>
        <w:t xml:space="preserve">3.6 Lafont.</w:t>
      </w:r>
    </w:p>
    <w:p>
      <w:pPr>
        <w:pStyle w:val="Compact"/>
        <w:numPr>
          <w:ilvl w:val="0"/>
          <w:numId w:val="1012"/>
        </w:numPr>
      </w:pPr>
      <w:r>
        <w:rPr>
          <w:b/>
          <w:bCs/>
        </w:rPr>
        <w:t xml:space="preserve">The problem.</w:t>
      </w:r>
      <w:r>
        <w:t xml:space="preserve"> </w:t>
      </w:r>
      <w:r>
        <w:t xml:space="preserve">The original presents the pressure on the rightness side</w:t>
      </w:r>
      <w:r>
        <w:t xml:space="preserve"> </w:t>
      </w:r>
      <w:r>
        <w:t xml:space="preserve">“along the line Lafont’s argument opens”</w:t>
      </w:r>
      <w:r>
        <w:t xml:space="preserve"> </w:t>
      </w:r>
      <w:r>
        <w:t xml:space="preserve">without a locus.</w:t>
      </w:r>
    </w:p>
    <w:p>
      <w:pPr>
        <w:pStyle w:val="Compact"/>
        <w:numPr>
          <w:ilvl w:val="0"/>
          <w:numId w:val="1012"/>
        </w:numPr>
      </w:pPr>
      <w:r>
        <w:rPr>
          <w:b/>
          <w:bCs/>
        </w:rPr>
        <w:t xml:space="preserve">Revision.</w:t>
      </w:r>
      <w:r>
        <w:t xml:space="preserve"> </w:t>
      </w:r>
      <w:r>
        <w:t xml:space="preserve">The argument is now anchored in</w:t>
      </w:r>
      <w:r>
        <w:t xml:space="preserve"> </w:t>
      </w:r>
      <w:r>
        <w:rPr>
          <w:i/>
          <w:iCs/>
        </w:rPr>
        <w:t xml:space="preserve">The Linguistic Turn in Hermeneutic Philosophy</w:t>
      </w:r>
      <w:r>
        <w:t xml:space="preserve">, ch. 7, 333–35. Her formulation there is a dilemma between infallibility and a procedure that</w:t>
      </w:r>
      <w:r>
        <w:t xml:space="preserve"> </w:t>
      </w:r>
      <w:r>
        <w:t xml:space="preserve">“allows for error”</w:t>
      </w:r>
      <w:r>
        <w:t xml:space="preserve">. That is sharper than the chapter’s paraphrase, and it is now used.</w:t>
      </w:r>
    </w:p>
    <w:p>
      <w:pPr>
        <w:pStyle w:val="FirstParagraph"/>
      </w:pPr>
      <w:r>
        <w:rPr>
          <w:b/>
          <w:bCs/>
        </w:rPr>
        <w:t xml:space="preserve">3.7 Habermas’s</w:t>
      </w:r>
      <w:r>
        <w:rPr>
          <w:b/>
          <w:bCs/>
        </w:rPr>
        <w:t xml:space="preserve"> </w:t>
      </w:r>
      <w:r>
        <w:rPr>
          <w:b/>
          <w:bCs/>
        </w:rPr>
        <w:t xml:space="preserve">“unease”</w:t>
      </w:r>
      <w:r>
        <w:rPr>
          <w:b/>
          <w:bCs/>
        </w:rPr>
        <w:t xml:space="preserve">.</w:t>
      </w:r>
    </w:p>
    <w:p>
      <w:pPr>
        <w:pStyle w:val="Compact"/>
        <w:numPr>
          <w:ilvl w:val="0"/>
          <w:numId w:val="1013"/>
        </w:numPr>
      </w:pPr>
      <w:r>
        <w:rPr>
          <w:b/>
          <w:bCs/>
        </w:rPr>
        <w:t xml:space="preserve">The problem.</w:t>
      </w:r>
      <w:r>
        <w:t xml:space="preserve"> </w:t>
      </w:r>
      <w:r>
        <w:t xml:space="preserve">The original says Apel was</w:t>
      </w:r>
      <w:r>
        <w:t xml:space="preserve"> </w:t>
      </w:r>
      <w:r>
        <w:t xml:space="preserve">“uneasy”</w:t>
      </w:r>
      <w:r>
        <w:t xml:space="preserve"> </w:t>
      </w:r>
      <w:r>
        <w:t xml:space="preserve">at a detranscendentalisation</w:t>
      </w:r>
      <w:r>
        <w:t xml:space="preserve"> </w:t>
      </w:r>
      <w:r>
        <w:t xml:space="preserve">“left unavowed”</w:t>
      </w:r>
      <w:r>
        <w:t xml:space="preserve">. Neither word occurs in the source.</w:t>
      </w:r>
    </w:p>
    <w:p>
      <w:pPr>
        <w:pStyle w:val="Compact"/>
        <w:numPr>
          <w:ilvl w:val="0"/>
          <w:numId w:val="1013"/>
        </w:numPr>
      </w:pPr>
      <w:r>
        <w:rPr>
          <w:b/>
          <w:bCs/>
        </w:rPr>
        <w:t xml:space="preserve">Revision.</w:t>
      </w:r>
      <w:r>
        <w:t xml:space="preserve"> </w:t>
      </w:r>
      <w:r>
        <w:t xml:space="preserve">Habermas’s words are</w:t>
      </w:r>
      <w:r>
        <w:t xml:space="preserve"> </w:t>
      </w:r>
      <w:r>
        <w:t xml:space="preserve">“wary”</w:t>
      </w:r>
      <w:r>
        <w:t xml:space="preserve"> </w:t>
      </w:r>
      <w:r>
        <w:t xml:space="preserve">and</w:t>
      </w:r>
      <w:r>
        <w:t xml:space="preserve"> </w:t>
      </w:r>
      <w:r>
        <w:t xml:space="preserve">“unacknowledged”</w:t>
      </w:r>
      <w:r>
        <w:t xml:space="preserve"> </w:t>
      </w:r>
      <w:r>
        <w:t xml:space="preserve">(PSC 630), and they are now used.</w:t>
      </w:r>
    </w:p>
    <w:p>
      <w:r>
        <w:pict>
          <v:rect style="width:0;height:1.5pt" o:hralign="center" o:hrstd="t" o:hr="t"/>
        </w:pict>
      </w:r>
    </w:p>
    <w:bookmarkEnd w:id="11"/>
    <w:bookmarkStart w:id="12" w:name="scholarly-integrity-concerns"/>
    <w:p>
      <w:pPr>
        <w:pStyle w:val="Heading2"/>
      </w:pPr>
      <w:r>
        <w:t xml:space="preserve">4. Scholarly integrity concerns</w:t>
      </w:r>
    </w:p>
    <w:p>
      <w:pPr>
        <w:pStyle w:val="FirstParagraph"/>
      </w:pPr>
      <w:r>
        <w:rPr>
          <w:b/>
          <w:bCs/>
        </w:rPr>
        <w:t xml:space="preserve">4.1 Nothing indicates fabricated references.</w:t>
      </w:r>
      <w:r>
        <w:t xml:space="preserve"> </w:t>
      </w:r>
      <w:r>
        <w:t xml:space="preserve">Every work cited that could be located on the candidate’s Drive exists and says substantially what the chapter reports. Most quotations checked are verbatim.</w:t>
      </w:r>
    </w:p>
    <w:p>
      <w:pPr>
        <w:pStyle w:val="BodyText"/>
      </w:pPr>
      <w:r>
        <w:rPr>
          <w:b/>
          <w:bCs/>
        </w:rPr>
        <w:t xml:space="preserve">4.2 Several citations are wrong in ways an examiner who checks will find.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Locus in the original</w:t>
            </w:r>
          </w:p>
        </w:tc>
        <w:tc>
          <w:tcPr/>
          <w:p>
            <w:pPr>
              <w:pStyle w:val="Compact"/>
            </w:pPr>
            <w:r>
              <w:t xml:space="preserve">Problem</w:t>
            </w:r>
          </w:p>
        </w:tc>
        <w:tc>
          <w:tcPr/>
          <w:p>
            <w:pPr>
              <w:pStyle w:val="Compact"/>
            </w:pPr>
            <w:r>
              <w:t xml:space="preserve">Status in the revision</w:t>
            </w:r>
          </w:p>
        </w:tc>
      </w:tr>
      <w:tr>
        <w:tc>
          <w:tcPr/>
          <w:p>
            <w:pPr>
              <w:pStyle w:val="Compact"/>
            </w:pPr>
            <w:r>
              <w:t xml:space="preserve">TTP Preface, p. x</w:t>
            </w:r>
          </w:p>
        </w:tc>
        <w:tc>
          <w:tcPr/>
          <w:p>
            <w:pPr>
              <w:pStyle w:val="Compact"/>
            </w:pPr>
            <w:r>
              <w:t xml:space="preserve">“according to a logic of abstraction”</w:t>
            </w:r>
            <w:r>
              <w:t xml:space="preserve"> </w:t>
            </w:r>
            <w:r>
              <w:t xml:space="preserve">is not in the Preface. It is at FTSPV 44.</w:t>
            </w:r>
          </w:p>
        </w:tc>
        <w:tc>
          <w:tcPr/>
          <w:p>
            <w:pPr>
              <w:pStyle w:val="Compact"/>
            </w:pPr>
            <w:r>
              <w:t xml:space="preserve">Corrected</w:t>
            </w:r>
          </w:p>
        </w:tc>
      </w:tr>
      <w:tr>
        <w:tc>
          <w:tcPr/>
          <w:p>
            <w:pPr>
              <w:pStyle w:val="Compact"/>
            </w:pPr>
            <w:r>
              <w:t xml:space="preserve">FTSPV 42–44</w:t>
            </w:r>
          </w:p>
        </w:tc>
        <w:tc>
          <w:tcPr/>
          <w:p>
            <w:pPr>
              <w:pStyle w:val="Compact"/>
            </w:pPr>
            <w:r>
              <w:t xml:space="preserve">The derivation of the three paradigms is at 43–45. Page 42 is endnotes.</w:t>
            </w:r>
          </w:p>
        </w:tc>
        <w:tc>
          <w:tcPr/>
          <w:p>
            <w:pPr>
              <w:pStyle w:val="Compact"/>
            </w:pPr>
            <w:r>
              <w:t xml:space="preserve">Corrected</w:t>
            </w:r>
          </w:p>
        </w:tc>
      </w:tr>
      <w:tr>
        <w:tc>
          <w:tcPr/>
          <w:p>
            <w:pPr>
              <w:pStyle w:val="Compact"/>
            </w:pPr>
            <w:r>
              <w:t xml:space="preserve">FTSPV 80</w:t>
            </w:r>
          </w:p>
        </w:tc>
        <w:tc>
          <w:tcPr/>
          <w:p>
            <w:pPr>
              <w:pStyle w:val="Compact"/>
            </w:pPr>
            <w:r>
              <w:t xml:space="preserve">This page is endnotes. The sentence that Habermas</w:t>
            </w:r>
            <w:r>
              <w:t xml:space="preserve"> </w:t>
            </w:r>
            <w:r>
              <w:t xml:space="preserve">“seems more concerned to avoid the term ultimate foundation”</w:t>
            </w:r>
            <w:r>
              <w:t xml:space="preserve"> </w:t>
            </w:r>
            <w:r>
              <w:t xml:space="preserve">could not be located.</w:t>
            </w:r>
          </w:p>
        </w:tc>
        <w:tc>
          <w:tcPr/>
          <w:p>
            <w:pPr>
              <w:pStyle w:val="Compact"/>
            </w:pPr>
            <w:r>
              <w:t xml:space="preserve">Paraphrased and flagged; must be re-sourced or deleted</w:t>
            </w:r>
          </w:p>
        </w:tc>
      </w:tr>
      <w:tr>
        <w:tc>
          <w:tcPr/>
          <w:p>
            <w:pPr>
              <w:pStyle w:val="Compact"/>
            </w:pPr>
            <w:r>
              <w:t xml:space="preserve">PSC 644</w:t>
            </w:r>
          </w:p>
        </w:tc>
        <w:tc>
          <w:tcPr/>
          <w:p>
            <w:pPr>
              <w:pStyle w:val="Compact"/>
            </w:pPr>
            <w:r>
              <w:t xml:space="preserve">“the meaning of the moral</w:t>
            </w:r>
            <w:r>
              <w:t xml:space="preserve"> </w:t>
            </w:r>
            <w:r>
              <w:t xml:space="preserve">‘ought’</w:t>
            </w:r>
            <w:r>
              <w:t xml:space="preserve"> </w:t>
            </w:r>
            <w:r>
              <w:t xml:space="preserve">as such”</w:t>
            </w:r>
            <w:r>
              <w:t xml:space="preserve"> </w:t>
            </w:r>
            <w:r>
              <w:t xml:space="preserve">is at PSC 643.</w:t>
            </w:r>
          </w:p>
        </w:tc>
        <w:tc>
          <w:tcPr/>
          <w:p>
            <w:pPr>
              <w:pStyle w:val="Compact"/>
            </w:pPr>
            <w:r>
              <w:t xml:space="preserve">Corrected</w:t>
            </w:r>
          </w:p>
        </w:tc>
      </w:tr>
      <w:tr>
        <w:tc>
          <w:tcPr/>
          <w:p>
            <w:pPr>
              <w:pStyle w:val="Compact"/>
            </w:pPr>
            <w:r>
              <w:t xml:space="preserve">PSC 646</w:t>
            </w:r>
          </w:p>
        </w:tc>
        <w:tc>
          <w:tcPr/>
          <w:p>
            <w:pPr>
              <w:pStyle w:val="Compact"/>
            </w:pPr>
            <w:r>
              <w:t xml:space="preserve">“although in fact he could not avoid it either”</w:t>
            </w:r>
            <w:r>
              <w:t xml:space="preserve"> </w:t>
            </w:r>
            <w:r>
              <w:t xml:space="preserve">is at PSC 630. The source reads</w:t>
            </w:r>
            <w:r>
              <w:t xml:space="preserve"> </w:t>
            </w:r>
            <w:r>
              <w:t xml:space="preserve">“Perhaps it is”</w:t>
            </w:r>
            <w:r>
              <w:t xml:space="preserve">, not</w:t>
            </w:r>
            <w:r>
              <w:t xml:space="preserve"> </w:t>
            </w:r>
            <w:r>
              <w:t xml:space="preserve">“it was”</w:t>
            </w:r>
            <w:r>
              <w:t xml:space="preserve">.</w:t>
            </w:r>
          </w:p>
        </w:tc>
        <w:tc>
          <w:tcPr/>
          <w:p>
            <w:pPr>
              <w:pStyle w:val="Compact"/>
            </w:pPr>
            <w:r>
              <w:t xml:space="preserve">Corrected</w:t>
            </w:r>
          </w:p>
        </w:tc>
      </w:tr>
      <w:tr>
        <w:tc>
          <w:tcPr/>
          <w:p>
            <w:pPr>
              <w:pStyle w:val="Compact"/>
            </w:pPr>
            <w:r>
              <w:t xml:space="preserve">JA 84</w:t>
            </w:r>
          </w:p>
        </w:tc>
        <w:tc>
          <w:tcPr/>
          <w:p>
            <w:pPr>
              <w:pStyle w:val="Compact"/>
            </w:pPr>
            <w:r>
              <w:t xml:space="preserve">The sentence on the weak transcendental proof is paraphrased in Chapter Two as if displayed. The printed sentence is</w:t>
            </w:r>
            <w:r>
              <w:t xml:space="preserve"> </w:t>
            </w:r>
            <w:r>
              <w:t xml:space="preserve">“The weak transcendental proof, if we can indeed carry it out as I assume in agreement with Apel, suffices to ground the universalistic validity claim … of a moral principle conceived in procedural terms.”</w:t>
            </w:r>
          </w:p>
        </w:tc>
        <w:tc>
          <w:tcPr/>
          <w:p>
            <w:pPr>
              <w:pStyle w:val="Compact"/>
            </w:pPr>
            <w:r>
              <w:t xml:space="preserve">Chapter Two to be corrected</w:t>
            </w:r>
          </w:p>
        </w:tc>
      </w:tr>
      <w:tr>
        <w:tc>
          <w:tcPr/>
          <w:p>
            <w:pPr>
              <w:pStyle w:val="Compact"/>
            </w:pPr>
            <w:r>
              <w:t xml:space="preserve">JA 84–86</w:t>
            </w:r>
          </w:p>
        </w:tc>
        <w:tc>
          <w:tcPr/>
          <w:p>
            <w:pPr>
              <w:pStyle w:val="Compact"/>
            </w:pPr>
            <w:r>
              <w:t xml:space="preserve">Cronin renders Apel’s</w:t>
            </w:r>
            <w:r>
              <w:t xml:space="preserve"> </w:t>
            </w:r>
            <w:r>
              <w:rPr>
                <w:i/>
                <w:iCs/>
              </w:rPr>
              <w:t xml:space="preserve">Ergänzungsprinzip</w:t>
            </w:r>
            <w:r>
              <w:t xml:space="preserve"> </w:t>
            </w:r>
            <w:r>
              <w:t xml:space="preserve">as</w:t>
            </w:r>
            <w:r>
              <w:t xml:space="preserve"> </w:t>
            </w:r>
            <w:r>
              <w:t xml:space="preserve">“auxiliary principle”</w:t>
            </w:r>
            <w:r>
              <w:t xml:space="preserve">, not</w:t>
            </w:r>
            <w:r>
              <w:t xml:space="preserve"> </w:t>
            </w:r>
            <w:r>
              <w:t xml:space="preserve">“complementarity principle”</w:t>
            </w:r>
            <w:r>
              <w:t xml:space="preserve">.</w:t>
            </w:r>
          </w:p>
        </w:tc>
        <w:tc>
          <w:tcPr/>
          <w:p>
            <w:pPr>
              <w:pStyle w:val="Compact"/>
            </w:pPr>
            <w:r>
              <w:t xml:space="preserve">Removed from Chapter Three; Chapter Four to be corrected</w:t>
            </w:r>
          </w:p>
        </w:tc>
      </w:tr>
      <w:tr>
        <w:tc>
          <w:tcPr/>
          <w:p>
            <w:pPr>
              <w:pStyle w:val="Compact"/>
            </w:pPr>
            <w:r>
              <w:t xml:space="preserve">MCCA 95, note to Kuhlmann (1981), 57</w:t>
            </w:r>
          </w:p>
        </w:tc>
        <w:tc>
          <w:tcPr/>
          <w:p>
            <w:pPr>
              <w:pStyle w:val="Compact"/>
            </w:pPr>
            <w:r>
              <w:t xml:space="preserve">Kuhlmann’s article of 1981 runs 3–26, so page 57 is impossible.</w:t>
            </w:r>
          </w:p>
        </w:tc>
        <w:tc>
          <w:tcPr/>
          <w:p>
            <w:pPr>
              <w:pStyle w:val="Compact"/>
            </w:pPr>
            <w:r>
              <w:t xml:space="preserve">Flagged; take the reference from MCCA’s own endnote</w:t>
            </w:r>
          </w:p>
        </w:tc>
      </w:tr>
      <w:tr>
        <w:tc>
          <w:tcPr/>
          <w:p>
            <w:pPr>
              <w:pStyle w:val="Compact"/>
            </w:pPr>
            <w:r>
              <w:t xml:space="preserve">TJ 40</w:t>
            </w:r>
          </w:p>
        </w:tc>
        <w:tc>
          <w:tcPr/>
          <w:p>
            <w:pPr>
              <w:pStyle w:val="Compact"/>
            </w:pPr>
            <w:r>
              <w:t xml:space="preserve">“a network of claims deserving recognition”</w:t>
            </w:r>
            <w:r>
              <w:t xml:space="preserve"> </w:t>
            </w:r>
            <w:r>
              <w:t xml:space="preserve">does not occur. The nearest text is TJ 42 and TJ 252.</w:t>
            </w:r>
          </w:p>
        </w:tc>
        <w:tc>
          <w:tcPr/>
          <w:p>
            <w:pPr>
              <w:pStyle w:val="Compact"/>
            </w:pPr>
            <w:r>
              <w:t xml:space="preserve">Removed</w:t>
            </w:r>
          </w:p>
        </w:tc>
      </w:tr>
      <w:tr>
        <w:tc>
          <w:tcPr/>
          <w:p>
            <w:pPr>
              <w:pStyle w:val="Compact"/>
            </w:pPr>
            <w:r>
              <w:t xml:space="preserve">BFN 20</w:t>
            </w:r>
          </w:p>
        </w:tc>
        <w:tc>
          <w:tcPr/>
          <w:p>
            <w:pPr>
              <w:pStyle w:val="Compact"/>
            </w:pPr>
            <w:r>
              <w:t xml:space="preserve">Rehg glosses the first term as</w:t>
            </w:r>
            <w:r>
              <w:t xml:space="preserve"> </w:t>
            </w:r>
            <w:r>
              <w:rPr>
                <w:i/>
                <w:iCs/>
              </w:rPr>
              <w:t xml:space="preserve">Gültigkeit</w:t>
            </w:r>
            <w:r>
              <w:t xml:space="preserve">, not</w:t>
            </w:r>
            <w:r>
              <w:t xml:space="preserve"> </w:t>
            </w:r>
            <w:r>
              <w:rPr>
                <w:i/>
                <w:iCs/>
              </w:rPr>
              <w:t xml:space="preserve">Geltung</w:t>
            </w:r>
            <w:r>
              <w:t xml:space="preserve">.</w:t>
            </w:r>
          </w:p>
        </w:tc>
        <w:tc>
          <w:tcPr/>
          <w:p>
            <w:pPr>
              <w:pStyle w:val="Compact"/>
            </w:pPr>
            <w:r>
              <w:t xml:space="preserve">Corrected</w:t>
            </w:r>
          </w:p>
        </w:tc>
      </w:tr>
      <w:tr>
        <w:tc>
          <w:tcPr/>
          <w:p>
            <w:pPr>
              <w:pStyle w:val="Compact"/>
            </w:pPr>
            <w:r>
              <w:t xml:space="preserve">Apel 1975, 261–63</w:t>
            </w:r>
          </w:p>
        </w:tc>
        <w:tc>
          <w:tcPr/>
          <w:p>
            <w:pPr>
              <w:pStyle w:val="Compact"/>
            </w:pPr>
            <w:r>
              <w:t xml:space="preserve">The</w:t>
            </w:r>
            <w:r>
              <w:t xml:space="preserve"> </w:t>
            </w:r>
            <w:r>
              <w:t xml:space="preserve">“nondeductive way”</w:t>
            </w:r>
            <w:r>
              <w:t xml:space="preserve"> </w:t>
            </w:r>
            <w:r>
              <w:t xml:space="preserve">sentence is at 262.</w:t>
            </w:r>
            <w:r>
              <w:t xml:space="preserve"> </w:t>
            </w:r>
            <w:r>
              <w:t xml:space="preserve">“Retorsion”</w:t>
            </w:r>
            <w:r>
              <w:t xml:space="preserve"> </w:t>
            </w:r>
            <w:r>
              <w:t xml:space="preserve">is not Apel’s word in that article.</w:t>
            </w:r>
          </w:p>
        </w:tc>
        <w:tc>
          <w:tcPr/>
          <w:p>
            <w:pPr>
              <w:pStyle w:val="Compact"/>
            </w:pPr>
            <w:r>
              <w:t xml:space="preserve">Corrected;</w:t>
            </w:r>
            <w:r>
              <w:t xml:space="preserve"> </w:t>
            </w:r>
            <w:r>
              <w:t xml:space="preserve">“retorsion”</w:t>
            </w:r>
            <w:r>
              <w:t xml:space="preserve"> </w:t>
            </w:r>
            <w:r>
              <w:t xml:space="preserve">marked as the chapter’s term</w:t>
            </w:r>
          </w:p>
        </w:tc>
      </w:tr>
      <w:tr>
        <w:tc>
          <w:tcPr/>
          <w:p>
            <w:pPr>
              <w:pStyle w:val="Compact"/>
            </w:pPr>
            <w:r>
              <w:t xml:space="preserve">Finlayson 2013</w:t>
            </w:r>
          </w:p>
        </w:tc>
        <w:tc>
          <w:tcPr/>
          <w:p>
            <w:pPr>
              <w:pStyle w:val="Compact"/>
            </w:pPr>
            <w:r>
              <w:t xml:space="preserve">The</w:t>
            </w:r>
            <w:r>
              <w:t xml:space="preserve"> </w:t>
            </w:r>
            <w:r>
              <w:t xml:space="preserve">“different issues”</w:t>
            </w:r>
            <w:r>
              <w:t xml:space="preserve"> </w:t>
            </w:r>
            <w:r>
              <w:t xml:space="preserve">sentence is at 522. No page was given.</w:t>
            </w:r>
          </w:p>
        </w:tc>
        <w:tc>
          <w:tcPr/>
          <w:p>
            <w:pPr>
              <w:pStyle w:val="Compact"/>
            </w:pPr>
            <w:r>
              <w:t xml:space="preserve">Corrected</w:t>
            </w:r>
          </w:p>
        </w:tc>
      </w:tr>
      <w:tr>
        <w:tc>
          <w:tcPr/>
          <w:p>
            <w:pPr>
              <w:pStyle w:val="Compact"/>
            </w:pPr>
            <w:r>
              <w:t xml:space="preserve">Wellmer,</w:t>
            </w:r>
            <w:r>
              <w:t xml:space="preserve"> </w:t>
            </w:r>
            <w:r>
              <w:t xml:space="preserve">“negative justification”</w:t>
            </w:r>
          </w:p>
        </w:tc>
        <w:tc>
          <w:tcPr/>
          <w:p>
            <w:pPr>
              <w:pStyle w:val="Compact"/>
            </w:pPr>
            <w:r>
              <w:t xml:space="preserve">Not his phrase.</w:t>
            </w:r>
          </w:p>
        </w:tc>
        <w:tc>
          <w:tcPr/>
          <w:p>
            <w:pPr>
              <w:pStyle w:val="Compact"/>
            </w:pPr>
            <w:r>
              <w:t xml:space="preserve">Corrected</w:t>
            </w:r>
          </w:p>
        </w:tc>
      </w:tr>
    </w:tbl>
    <w:p>
      <w:pPr>
        <w:pStyle w:val="BodyText"/>
      </w:pPr>
      <w:r>
        <w:rPr>
          <w:b/>
          <w:bCs/>
        </w:rPr>
        <w:t xml:space="preserve">4.3 These loci could not be verified from the Drive copies.</w:t>
      </w:r>
      <w:r>
        <w:t xml:space="preserve"> </w:t>
      </w:r>
      <w:r>
        <w:t xml:space="preserve">The Drive text extraction stopped early in the large scanned volumes. They must be checked against print copies before submission:</w:t>
      </w:r>
    </w:p>
    <w:p>
      <w:pPr>
        <w:pStyle w:val="Compact"/>
        <w:numPr>
          <w:ilvl w:val="0"/>
          <w:numId w:val="1014"/>
        </w:numPr>
      </w:pPr>
      <w:r>
        <w:t xml:space="preserve">SE2 68–102 and 174–218, including SE2 87, 99 n. 63, 179, 196–200.</w:t>
      </w:r>
    </w:p>
    <w:p>
      <w:pPr>
        <w:pStyle w:val="Compact"/>
        <w:numPr>
          <w:ilvl w:val="0"/>
          <w:numId w:val="1014"/>
        </w:numPr>
      </w:pPr>
      <w:r>
        <w:t xml:space="preserve">SE1 115–17, 156 and 240–41.</w:t>
      </w:r>
    </w:p>
    <w:p>
      <w:pPr>
        <w:pStyle w:val="Compact"/>
        <w:numPr>
          <w:ilvl w:val="0"/>
          <w:numId w:val="1014"/>
        </w:numPr>
      </w:pPr>
      <w:r>
        <w:t xml:space="preserve">TTP 87–88, 90, 105, 123, 138, 144, 190, 276 and 280. The two loci that could be checked (p. x and p. 48) match the Routledge &amp; Kegan Paul edition of 1980. The Marquette edition of 1998 has no text layer on Drive. The front matter must declare which edition is used.</w:t>
      </w:r>
    </w:p>
    <w:p>
      <w:pPr>
        <w:pStyle w:val="Compact"/>
        <w:numPr>
          <w:ilvl w:val="0"/>
          <w:numId w:val="1014"/>
        </w:numPr>
      </w:pPr>
      <w:r>
        <w:t xml:space="preserve">MCCA 80–98. Only MCCA 32 could be checked.</w:t>
      </w:r>
    </w:p>
    <w:p>
      <w:pPr>
        <w:pStyle w:val="Compact"/>
        <w:numPr>
          <w:ilvl w:val="0"/>
          <w:numId w:val="1014"/>
        </w:numPr>
      </w:pPr>
      <w:r>
        <w:t xml:space="preserve">TCA I 119, 287 and 298. The wording of 287 and 298 is confirmed through the reprint in OPC ch. 2; the pages are not.</w:t>
      </w:r>
    </w:p>
    <w:p>
      <w:pPr>
        <w:pStyle w:val="Compact"/>
        <w:numPr>
          <w:ilvl w:val="0"/>
          <w:numId w:val="1014"/>
        </w:numPr>
      </w:pPr>
      <w:r>
        <w:t xml:space="preserve">OPC 197 and 207.</w:t>
      </w:r>
    </w:p>
    <w:p>
      <w:pPr>
        <w:pStyle w:val="Compact"/>
        <w:numPr>
          <w:ilvl w:val="0"/>
          <w:numId w:val="1014"/>
        </w:numPr>
      </w:pPr>
      <w:r>
        <w:t xml:space="preserve">BNR 41, 88 and 97, and</w:t>
      </w:r>
      <w:r>
        <w:t xml:space="preserve"> </w:t>
      </w:r>
      <w:r>
        <w:rPr>
          <w:i/>
          <w:iCs/>
        </w:rPr>
        <w:t xml:space="preserve">Postmetaphysical Thinking II</w:t>
      </w:r>
      <w:r>
        <w:t xml:space="preserve">, ch. 9, n. 22. These were not included in the checks.</w:t>
      </w:r>
    </w:p>
    <w:p>
      <w:pPr>
        <w:pStyle w:val="Compact"/>
        <w:numPr>
          <w:ilvl w:val="0"/>
          <w:numId w:val="1014"/>
        </w:numPr>
      </w:pPr>
      <w:r>
        <w:t xml:space="preserve">FTSPV 238–39.</w:t>
      </w:r>
    </w:p>
    <w:p>
      <w:pPr>
        <w:pStyle w:val="Compact"/>
        <w:numPr>
          <w:ilvl w:val="0"/>
          <w:numId w:val="1014"/>
        </w:numPr>
      </w:pPr>
      <w:r>
        <w:rPr>
          <w:i/>
          <w:iCs/>
        </w:rPr>
        <w:t xml:space="preserve">Auch eine Geschichte der Philosophie</w:t>
      </w:r>
      <w:r>
        <w:t xml:space="preserve"> </w:t>
      </w:r>
      <w:r>
        <w:t xml:space="preserve">II, 754–55 and 788.</w:t>
      </w:r>
    </w:p>
    <w:p>
      <w:pPr>
        <w:pStyle w:val="Compact"/>
        <w:numPr>
          <w:ilvl w:val="0"/>
          <w:numId w:val="1014"/>
        </w:numPr>
      </w:pPr>
      <w:r>
        <w:rPr>
          <w:i/>
          <w:iCs/>
        </w:rPr>
        <w:t xml:space="preserve">Wahrheit und Rechtfertigung</w:t>
      </w:r>
      <w:r>
        <w:t xml:space="preserve"> </w:t>
      </w:r>
      <w:r>
        <w:t xml:space="preserve">26, 51, 315 and 317.</w:t>
      </w:r>
    </w:p>
    <w:p>
      <w:pPr>
        <w:pStyle w:val="Compact"/>
        <w:numPr>
          <w:ilvl w:val="0"/>
          <w:numId w:val="1014"/>
        </w:numPr>
      </w:pPr>
      <w:r>
        <w:rPr>
          <w:i/>
          <w:iCs/>
        </w:rPr>
        <w:t xml:space="preserve">Diskurs und Verantwortung</w:t>
      </w:r>
      <w:r>
        <w:t xml:space="preserve"> </w:t>
      </w:r>
      <w:r>
        <w:t xml:space="preserve">117–18 n. 17, 233, 253 n. 6, 271 and 451.</w:t>
      </w:r>
    </w:p>
    <w:p>
      <w:pPr>
        <w:pStyle w:val="Compact"/>
        <w:numPr>
          <w:ilvl w:val="0"/>
          <w:numId w:val="1014"/>
        </w:numPr>
      </w:pPr>
      <w:r>
        <w:t xml:space="preserve">Apel 2014 (Rapic volume), 97–98.</w:t>
      </w:r>
    </w:p>
    <w:p>
      <w:pPr>
        <w:pStyle w:val="Compact"/>
        <w:numPr>
          <w:ilvl w:val="0"/>
          <w:numId w:val="1014"/>
        </w:numPr>
      </w:pPr>
      <w:r>
        <w:t xml:space="preserve">The Wellmer page numbers. The Drive copy is a reflowed PDF without print pagination.</w:t>
      </w:r>
    </w:p>
    <w:p>
      <w:pPr>
        <w:pStyle w:val="FirstParagraph"/>
      </w:pPr>
      <w:r>
        <w:rPr>
          <w:b/>
          <w:bCs/>
        </w:rPr>
        <w:t xml:space="preserve">4.4 Internal note references are fragile.</w:t>
      </w:r>
      <w:r>
        <w:t xml:space="preserve"> </w:t>
      </w:r>
      <w:r>
        <w:t xml:space="preserve">The original’s notes cross-refer by number (</w:t>
      </w:r>
      <w:r>
        <w:t xml:space="preserve">“see n. 96”</w:t>
      </w:r>
      <w:r>
        <w:t xml:space="preserve">,</w:t>
      </w:r>
      <w:r>
        <w:t xml:space="preserve"> </w:t>
      </w:r>
      <w:r>
        <w:t xml:space="preserve">“as cited at n. 9”</w:t>
      </w:r>
      <w:r>
        <w:t xml:space="preserve">). Checked against the displayed numbering, they resolve correctly. But Word does not update typed note numbers, so every one of them breaks the moment a note is added or removed, and some notes refer to</w:t>
      </w:r>
      <w:r>
        <w:t xml:space="preserve"> </w:t>
      </w:r>
      <w:r>
        <w:t xml:space="preserve">“n. 6 above”</w:t>
      </w:r>
      <w:r>
        <w:t xml:space="preserve"> </w:t>
      </w:r>
      <w:r>
        <w:t xml:space="preserve">for a work cited in full elsewhere. The revision uses no internal note references; each note is self-standing.</w:t>
      </w:r>
    </w:p>
    <w:p>
      <w:pPr>
        <w:pStyle w:val="BodyText"/>
      </w:pPr>
      <w:r>
        <w:rPr>
          <w:b/>
          <w:bCs/>
        </w:rPr>
        <w:t xml:space="preserve">4.5 Some features will raise questions about authorship.</w:t>
      </w:r>
      <w:r>
        <w:t xml:space="preserve"> </w:t>
      </w:r>
      <w:r>
        <w:t xml:space="preserve">Nothing in the chapter proves or disproves machine assistance, and none is alleged here. Three features are nonetheless the kind that prompt the question at viva:</w:t>
      </w:r>
    </w:p>
    <w:p>
      <w:pPr>
        <w:pStyle w:val="Compact"/>
        <w:numPr>
          <w:ilvl w:val="0"/>
          <w:numId w:val="1015"/>
        </w:numPr>
      </w:pPr>
      <w:r>
        <w:rPr>
          <w:b/>
          <w:bCs/>
        </w:rPr>
        <w:t xml:space="preserve">Pervasive disclaimers.</w:t>
      </w:r>
      <w:r>
        <w:t xml:space="preserve"> </w:t>
      </w:r>
      <w:r>
        <w:t xml:space="preserve">About forty notes end with a disclaimer of the form</w:t>
      </w:r>
      <w:r>
        <w:t xml:space="preserve"> </w:t>
      </w:r>
      <w:r>
        <w:t xml:space="preserve">“the inference is drawn in the body and is not X’s”</w:t>
      </w:r>
      <w:r>
        <w:t xml:space="preserve">.</w:t>
      </w:r>
    </w:p>
    <w:p>
      <w:pPr>
        <w:pStyle w:val="Compact"/>
        <w:numPr>
          <w:ilvl w:val="0"/>
          <w:numId w:val="1015"/>
        </w:numPr>
      </w:pPr>
      <w:r>
        <w:rPr>
          <w:b/>
          <w:bCs/>
        </w:rPr>
        <w:t xml:space="preserve">Constant self-reference.</w:t>
      </w:r>
      <w:r>
        <w:t xml:space="preserve"> </w:t>
      </w:r>
      <w:r>
        <w:t xml:space="preserve">Displays are introduced by forms such as</w:t>
      </w:r>
      <w:r>
        <w:t xml:space="preserve"> </w:t>
      </w:r>
      <w:r>
        <w:t xml:space="preserve">“in the sentence Chapter Two §2.1.4 displays”</w:t>
      </w:r>
      <w:r>
        <w:t xml:space="preserve">. There are several hundred such cross-references in the original.</w:t>
      </w:r>
    </w:p>
    <w:p>
      <w:pPr>
        <w:pStyle w:val="Compact"/>
        <w:numPr>
          <w:ilvl w:val="0"/>
          <w:numId w:val="1015"/>
        </w:numPr>
      </w:pPr>
      <w:r>
        <w:rPr>
          <w:b/>
          <w:bCs/>
        </w:rPr>
        <w:t xml:space="preserve">A uniform vocabulary.</w:t>
      </w:r>
      <w:r>
        <w:t xml:space="preserve"> </w:t>
      </w:r>
      <w:r>
        <w:t xml:space="preserve">The same terms recur without variation:</w:t>
      </w:r>
      <w:r>
        <w:t xml:space="preserve"> </w:t>
      </w:r>
      <w:r>
        <w:t xml:space="preserve">“entered”</w:t>
      </w:r>
      <w:r>
        <w:t xml:space="preserve">,</w:t>
      </w:r>
      <w:r>
        <w:t xml:space="preserve"> </w:t>
      </w:r>
      <w:r>
        <w:t xml:space="preserve">“displayed”</w:t>
      </w:r>
      <w:r>
        <w:t xml:space="preserve">,</w:t>
      </w:r>
      <w:r>
        <w:t xml:space="preserve"> </w:t>
      </w:r>
      <w:r>
        <w:t xml:space="preserve">“the office of”</w:t>
      </w:r>
      <w:r>
        <w:t xml:space="preserve">,</w:t>
      </w:r>
      <w:r>
        <w:t xml:space="preserve"> </w:t>
      </w:r>
      <w:r>
        <w:t xml:space="preserve">“the reach”</w:t>
      </w:r>
      <w:r>
        <w:t xml:space="preserve">,</w:t>
      </w:r>
      <w:r>
        <w:t xml:space="preserve"> </w:t>
      </w:r>
      <w:r>
        <w:t xml:space="preserve">“stands where”</w:t>
      </w:r>
      <w:r>
        <w:t xml:space="preserve">.</w:t>
      </w:r>
    </w:p>
    <w:p>
      <w:pPr>
        <w:pStyle w:val="FirstParagraph"/>
      </w:pPr>
      <w:r>
        <w:t xml:space="preserve">Taken together they produce a prose that is uniform, highly self-conscious about attribution, and repetitive at the level of formula. The revision replaces the disclaimers with a single convention statement at the head of the chapter. It cuts the cross-references to those a reader needs and varies the vocabulary. The candidate should be ready to explain the drafting process if asked, and should make sure every quotation used has been read in the edition cited.</w:t>
      </w:r>
    </w:p>
    <w:p>
      <w:pPr>
        <w:pStyle w:val="BodyText"/>
      </w:pPr>
      <w:r>
        <w:rPr>
          <w:b/>
          <w:bCs/>
        </w:rPr>
        <w:t xml:space="preserve">4.6 No conflation of</w:t>
      </w:r>
      <w:r>
        <w:rPr>
          <w:b/>
          <w:bCs/>
        </w:rPr>
        <w:t xml:space="preserve"> </w:t>
      </w:r>
      <w:r>
        <w:rPr>
          <w:b/>
          <w:bCs/>
        </w:rPr>
        <w:t xml:space="preserve">“transcendental”</w:t>
      </w:r>
      <w:r>
        <w:rPr>
          <w:b/>
          <w:bCs/>
        </w:rPr>
        <w:t xml:space="preserve"> </w:t>
      </w:r>
      <w:r>
        <w:rPr>
          <w:b/>
          <w:bCs/>
        </w:rPr>
        <w:t xml:space="preserve">and</w:t>
      </w:r>
      <w:r>
        <w:rPr>
          <w:b/>
          <w:bCs/>
        </w:rPr>
        <w:t xml:space="preserve"> </w:t>
      </w:r>
      <w:r>
        <w:rPr>
          <w:b/>
          <w:bCs/>
        </w:rPr>
        <w:t xml:space="preserve">“transcendent”</w:t>
      </w:r>
      <w:r>
        <w:rPr>
          <w:b/>
          <w:bCs/>
        </w:rPr>
        <w:t xml:space="preserve"> </w:t>
      </w:r>
      <w:r>
        <w:rPr>
          <w:b/>
          <w:bCs/>
        </w:rPr>
        <w:t xml:space="preserve">was found.</w:t>
      </w:r>
      <w:r>
        <w:t xml:space="preserve"> </w:t>
      </w:r>
      <w:r>
        <w:t xml:space="preserve">“Justification-transcendent”</w:t>
      </w:r>
      <w:r>
        <w:t xml:space="preserve"> </w:t>
      </w:r>
      <w:r>
        <w:t xml:space="preserve">and</w:t>
      </w:r>
      <w:r>
        <w:t xml:space="preserve"> </w:t>
      </w:r>
      <w:r>
        <w:t xml:space="preserve">“context-transcending”</w:t>
      </w:r>
      <w:r>
        <w:t xml:space="preserve"> </w:t>
      </w:r>
      <w:r>
        <w:t xml:space="preserve">are used in Habermas’s sense throughout. No anachronisms were found: the 2014 Rapic paper and the 2019 and 2020 Habermas texts are correctly dated.</w:t>
      </w:r>
    </w:p>
    <w:p>
      <w:pPr>
        <w:pStyle w:val="BodyText"/>
      </w:pPr>
      <w:r>
        <w:rPr>
          <w:b/>
          <w:bCs/>
        </w:rPr>
        <w:t xml:space="preserve">4.7 Canonical literature that should be engaged or cited.</w:t>
      </w:r>
      <w:r>
        <w:t xml:space="preserve"> </w:t>
      </w:r>
      <w:r>
        <w:t xml:space="preserve">Specialists in the Apel–Habermas dispute will expect these works:</w:t>
      </w:r>
    </w:p>
    <w:p>
      <w:pPr>
        <w:pStyle w:val="Compact"/>
        <w:numPr>
          <w:ilvl w:val="0"/>
          <w:numId w:val="1016"/>
        </w:numPr>
      </w:pPr>
      <w:r>
        <w:t xml:space="preserve">Vittorio Hösle,</w:t>
      </w:r>
      <w:r>
        <w:t xml:space="preserve"> </w:t>
      </w:r>
      <w:r>
        <w:rPr>
          <w:i/>
          <w:iCs/>
        </w:rPr>
        <w:t xml:space="preserve">Die Krise der Gegenwart und die Verantwortung der Philosophie</w:t>
      </w:r>
      <w:r>
        <w:t xml:space="preserve"> </w:t>
      </w:r>
      <w:r>
        <w:t xml:space="preserve">(1990), on</w:t>
      </w:r>
      <w:r>
        <w:t xml:space="preserve"> </w:t>
      </w:r>
      <w:r>
        <w:rPr>
          <w:i/>
          <w:iCs/>
        </w:rPr>
        <w:t xml:space="preserve">Letztbegründung</w:t>
      </w:r>
      <w:r>
        <w:t xml:space="preserve">.</w:t>
      </w:r>
    </w:p>
    <w:p>
      <w:pPr>
        <w:pStyle w:val="Compact"/>
        <w:numPr>
          <w:ilvl w:val="0"/>
          <w:numId w:val="1016"/>
        </w:numPr>
      </w:pPr>
      <w:r>
        <w:t xml:space="preserve">Christian Illies,</w:t>
      </w:r>
      <w:r>
        <w:t xml:space="preserve"> </w:t>
      </w:r>
      <w:r>
        <w:rPr>
          <w:i/>
          <w:iCs/>
        </w:rPr>
        <w:t xml:space="preserve">The Grounds of Ethical Judgement</w:t>
      </w:r>
      <w:r>
        <w:t xml:space="preserve"> </w:t>
      </w:r>
      <w:r>
        <w:t xml:space="preserve">(2003). Stern’s dilemma is directed at Illies.</w:t>
      </w:r>
    </w:p>
    <w:p>
      <w:pPr>
        <w:pStyle w:val="Compact"/>
        <w:numPr>
          <w:ilvl w:val="0"/>
          <w:numId w:val="1016"/>
        </w:numPr>
      </w:pPr>
      <w:r>
        <w:t xml:space="preserve">Karl-Heinz Ilting’s critique of Apel’s grounding of ethics.</w:t>
      </w:r>
    </w:p>
    <w:p>
      <w:pPr>
        <w:pStyle w:val="Compact"/>
        <w:numPr>
          <w:ilvl w:val="0"/>
          <w:numId w:val="1016"/>
        </w:numPr>
      </w:pPr>
      <w:r>
        <w:t xml:space="preserve">Ernst Tugendhat,</w:t>
      </w:r>
      <w:r>
        <w:t xml:space="preserve"> </w:t>
      </w:r>
      <w:r>
        <w:rPr>
          <w:i/>
          <w:iCs/>
        </w:rPr>
        <w:t xml:space="preserve">Vorlesungen über Ethik</w:t>
      </w:r>
      <w:r>
        <w:t xml:space="preserve"> </w:t>
      </w:r>
      <w:r>
        <w:t xml:space="preserve">(1993), lecture on discourse ethics.</w:t>
      </w:r>
    </w:p>
    <w:p>
      <w:pPr>
        <w:pStyle w:val="Compact"/>
        <w:numPr>
          <w:ilvl w:val="0"/>
          <w:numId w:val="1016"/>
        </w:numPr>
      </w:pPr>
      <w:r>
        <w:t xml:space="preserve">William Rehg,</w:t>
      </w:r>
      <w:r>
        <w:t xml:space="preserve"> </w:t>
      </w:r>
      <w:r>
        <w:rPr>
          <w:i/>
          <w:iCs/>
        </w:rPr>
        <w:t xml:space="preserve">Insight and Solidarity</w:t>
      </w:r>
      <w:r>
        <w:t xml:space="preserve"> </w:t>
      </w:r>
      <w:r>
        <w:t xml:space="preserve">(1994), whom Habermas credits with the derivation.</w:t>
      </w:r>
    </w:p>
    <w:p>
      <w:pPr>
        <w:pStyle w:val="Compact"/>
        <w:numPr>
          <w:ilvl w:val="0"/>
          <w:numId w:val="1016"/>
        </w:numPr>
      </w:pPr>
      <w:r>
        <w:t xml:space="preserve">Seyla Benhabib,</w:t>
      </w:r>
      <w:r>
        <w:t xml:space="preserve"> </w:t>
      </w:r>
      <w:r>
        <w:rPr>
          <w:i/>
          <w:iCs/>
        </w:rPr>
        <w:t xml:space="preserve">Situating the Self</w:t>
      </w:r>
      <w:r>
        <w:t xml:space="preserve"> </w:t>
      </w:r>
      <w:r>
        <w:t xml:space="preserve">(1992).</w:t>
      </w:r>
    </w:p>
    <w:p>
      <w:pPr>
        <w:pStyle w:val="Compact"/>
        <w:numPr>
          <w:ilvl w:val="0"/>
          <w:numId w:val="1016"/>
        </w:numPr>
      </w:pPr>
      <w:r>
        <w:t xml:space="preserve">Two papers held on the Drive but unused: Franklin Gamwell,</w:t>
      </w:r>
      <w:r>
        <w:t xml:space="preserve"> </w:t>
      </w:r>
      <w:r>
        <w:t xml:space="preserve">“Habermas and Apel on communicative ethics”</w:t>
      </w:r>
      <w:r>
        <w:t xml:space="preserve">,</w:t>
      </w:r>
      <w:r>
        <w:t xml:space="preserve"> </w:t>
      </w:r>
      <w:r>
        <w:rPr>
          <w:i/>
          <w:iCs/>
        </w:rPr>
        <w:t xml:space="preserve">Philosophy and Social Criticism</w:t>
      </w:r>
      <w:r>
        <w:t xml:space="preserve">; and Marianna Papastephanou,</w:t>
      </w:r>
      <w:r>
        <w:t xml:space="preserve"> </w:t>
      </w:r>
      <w:r>
        <w:t xml:space="preserve">“Communicative action and philosophical foundations”</w:t>
      </w:r>
      <w:r>
        <w:t xml:space="preserve">,</w:t>
      </w:r>
      <w:r>
        <w:t xml:space="preserve"> </w:t>
      </w:r>
      <w:r>
        <w:rPr>
          <w:i/>
          <w:iCs/>
        </w:rPr>
        <w:t xml:space="preserve">Philosophy and Social Criticism</w:t>
      </w:r>
      <w:r>
        <w:t xml:space="preserve">. Gamwell argues that each thinker’s criticism of the other succeeds. That is the irenic-then-negative reading the chapter rejects at §3.1.4, and it should be answered by name.</w:t>
      </w:r>
    </w:p>
    <w:p>
      <w:pPr>
        <w:pStyle w:val="Compact"/>
        <w:numPr>
          <w:ilvl w:val="0"/>
          <w:numId w:val="1016"/>
        </w:numPr>
      </w:pPr>
      <w:r>
        <w:t xml:space="preserve">Anna Michalska,</w:t>
      </w:r>
      <w:r>
        <w:t xml:space="preserve"> </w:t>
      </w:r>
      <w:r>
        <w:t xml:space="preserve">“Does Philosophy Require De-Transcendentalization?”</w:t>
      </w:r>
      <w:r>
        <w:t xml:space="preserve">,</w:t>
      </w:r>
      <w:r>
        <w:t xml:space="preserve"> </w:t>
      </w:r>
      <w:r>
        <w:rPr>
          <w:i/>
          <w:iCs/>
        </w:rPr>
        <w:t xml:space="preserve">Folia Philosophica</w:t>
      </w:r>
      <w:r>
        <w:t xml:space="preserve"> </w:t>
      </w:r>
      <w:r>
        <w:t xml:space="preserve">34 (2019), also held on the Drive.</w:t>
      </w:r>
    </w:p>
    <w:p>
      <w:pPr>
        <w:pStyle w:val="FirstParagraph"/>
      </w:pPr>
      <w:r>
        <w:rPr>
          <w:b/>
          <w:bCs/>
        </w:rPr>
        <w:t xml:space="preserve">4.8 Cross-references to the other chapters.</w:t>
      </w:r>
      <w:r>
        <w:t xml:space="preserve"> </w:t>
      </w:r>
      <w:r>
        <w:t xml:space="preserve">Chapter One has been renumbered since this chapter was drafted. The revision updates Chapter One references to CHAPTER_ONE_REVISED_41:</w:t>
      </w:r>
    </w:p>
    <w:p>
      <w:pPr>
        <w:pStyle w:val="Compact"/>
        <w:numPr>
          <w:ilvl w:val="0"/>
          <w:numId w:val="1017"/>
        </w:numPr>
      </w:pPr>
      <w:r>
        <w:t xml:space="preserve">§1.1.3 becomes §1.3.1.</w:t>
      </w:r>
    </w:p>
    <w:p>
      <w:pPr>
        <w:pStyle w:val="Compact"/>
        <w:numPr>
          <w:ilvl w:val="0"/>
          <w:numId w:val="1017"/>
        </w:numPr>
      </w:pPr>
      <w:r>
        <w:t xml:space="preserve">§1.3.3 becomes §1.5.3.</w:t>
      </w:r>
    </w:p>
    <w:p>
      <w:pPr>
        <w:pStyle w:val="Compact"/>
        <w:numPr>
          <w:ilvl w:val="0"/>
          <w:numId w:val="1017"/>
        </w:numPr>
      </w:pPr>
      <w:r>
        <w:t xml:space="preserve">§1.3.4 becomes §1.5.5.</w:t>
      </w:r>
    </w:p>
    <w:p>
      <w:pPr>
        <w:pStyle w:val="Compact"/>
        <w:numPr>
          <w:ilvl w:val="0"/>
          <w:numId w:val="1017"/>
        </w:numPr>
      </w:pPr>
      <w:r>
        <w:t xml:space="preserve">§1.3.5 becomes §1.5.6.</w:t>
      </w:r>
    </w:p>
    <w:p>
      <w:pPr>
        <w:pStyle w:val="Compact"/>
        <w:numPr>
          <w:ilvl w:val="0"/>
          <w:numId w:val="1017"/>
        </w:numPr>
      </w:pPr>
      <w:r>
        <w:t xml:space="preserve">§1.4.2 is unchanged.</w:t>
      </w:r>
    </w:p>
    <w:p>
      <w:pPr>
        <w:pStyle w:val="Compact"/>
        <w:numPr>
          <w:ilvl w:val="0"/>
          <w:numId w:val="1017"/>
        </w:numPr>
      </w:pPr>
      <w:r>
        <w:t xml:space="preserve">§1.1.1 becomes §1.2.1 or §1.1.</w:t>
      </w:r>
    </w:p>
    <w:p>
      <w:pPr>
        <w:pStyle w:val="FirstParagraph"/>
      </w:pPr>
      <w:r>
        <w:t xml:space="preserve">References to Chapter Two (§2.1.1, §2.1.2, §2.1.4, §2.2.2, §2.3.2 and §2.3.3) are kept as the candidate wrote them. The Chapter Two they presuppose is not on the Drive. The latest Chapter Two there (31 August) has no §2.2.2. These references must be checked once Chapter Two is final.</w:t>
      </w:r>
    </w:p>
    <w:p>
      <w:r>
        <w:pict>
          <v:rect style="width:0;height:1.5pt" o:hralign="center" o:hrstd="t" o:hr="t"/>
        </w:pict>
      </w:r>
    </w:p>
    <w:bookmarkEnd w:id="12"/>
    <w:bookmarkStart w:id="13" w:name="structural-recommendations"/>
    <w:p>
      <w:pPr>
        <w:pStyle w:val="Heading2"/>
      </w:pPr>
      <w:r>
        <w:t xml:space="preserve">5. Structural recommendations</w:t>
      </w:r>
    </w:p>
    <w:p>
      <w:pPr>
        <w:pStyle w:val="FirstParagraph"/>
      </w:pPr>
      <w:r>
        <w:rPr>
          <w:b/>
          <w:bCs/>
        </w:rPr>
        <w:t xml:space="preserve">5.1 Length.</w:t>
      </w:r>
      <w:r>
        <w:t xml:space="preserve"> </w:t>
      </w:r>
      <w:r>
        <w:t xml:space="preserve">At about 54,000 words the original is a small monograph, not a chapter. The revision reduces it to about 32,000 words by:</w:t>
      </w:r>
    </w:p>
    <w:p>
      <w:pPr>
        <w:pStyle w:val="Compact"/>
        <w:numPr>
          <w:ilvl w:val="0"/>
          <w:numId w:val="1018"/>
        </w:numPr>
      </w:pPr>
      <w:r>
        <w:t xml:space="preserve">deleting §3.1.3,</w:t>
      </w:r>
      <w:r>
        <w:t xml:space="preserve"> </w:t>
      </w:r>
      <w:r>
        <w:t xml:space="preserve">“the twin perils”</w:t>
      </w:r>
      <w:r>
        <w:t xml:space="preserve">, whose substance is absorbed into §3.1.3 and §3.1.5 of the revision;</w:t>
      </w:r>
    </w:p>
    <w:p>
      <w:pPr>
        <w:pStyle w:val="Compact"/>
        <w:numPr>
          <w:ilvl w:val="0"/>
          <w:numId w:val="1018"/>
        </w:numPr>
      </w:pPr>
      <w:r>
        <w:t xml:space="preserve">moving the Rawls paragraph to a note;</w:t>
      </w:r>
    </w:p>
    <w:p>
      <w:pPr>
        <w:pStyle w:val="Compact"/>
        <w:numPr>
          <w:ilvl w:val="0"/>
          <w:numId w:val="1018"/>
        </w:numPr>
      </w:pPr>
      <w:r>
        <w:t xml:space="preserve">deleting the Bakhtin paragraph, a digression that the chapter itself says it does not use;</w:t>
      </w:r>
    </w:p>
    <w:p>
      <w:pPr>
        <w:pStyle w:val="Compact"/>
        <w:numPr>
          <w:ilvl w:val="0"/>
          <w:numId w:val="1018"/>
        </w:numPr>
      </w:pPr>
      <w:r>
        <w:t xml:space="preserve">compressing the excursus on the refutation of the Forms and the Łukasiewicz ranking;</w:t>
      </w:r>
    </w:p>
    <w:p>
      <w:pPr>
        <w:pStyle w:val="Compact"/>
        <w:numPr>
          <w:ilvl w:val="0"/>
          <w:numId w:val="1018"/>
        </w:numPr>
      </w:pPr>
      <w:r>
        <w:t xml:space="preserve">replacing the 1,100-word Brandom paragraph with a reference to Chapter Two §2.3.3, where the same argument is already made;</w:t>
      </w:r>
    </w:p>
    <w:p>
      <w:pPr>
        <w:pStyle w:val="Compact"/>
        <w:numPr>
          <w:ilvl w:val="0"/>
          <w:numId w:val="1018"/>
        </w:numPr>
      </w:pPr>
      <w:r>
        <w:t xml:space="preserve">cutting repeated statements of the three charges, which appeared three times.</w:t>
      </w:r>
    </w:p>
    <w:p>
      <w:pPr>
        <w:pStyle w:val="FirstParagraph"/>
      </w:pPr>
      <w:r>
        <w:rPr>
          <w:b/>
          <w:bCs/>
        </w:rPr>
        <w:t xml:space="preserve">5.2 Order.</w:t>
      </w:r>
      <w:r>
        <w:t xml:space="preserve"> </w:t>
      </w:r>
      <w:r>
        <w:t xml:space="preserve">§3.4 on truth repeats material from Chapter One §1.5.6 and Chapter Two §2.7. It is retained, because the aporia is the thesis’s fulcrum, but compressed. If the thesis is restructured again, the cleaner architecture is as follows:</w:t>
      </w:r>
    </w:p>
    <w:p>
      <w:pPr>
        <w:pStyle w:val="Compact"/>
        <w:numPr>
          <w:ilvl w:val="0"/>
          <w:numId w:val="1019"/>
        </w:numPr>
      </w:pPr>
      <w:r>
        <w:t xml:space="preserve">Chapter Three ends at §3.3.6 with the scope result.</w:t>
      </w:r>
    </w:p>
    <w:p>
      <w:pPr>
        <w:pStyle w:val="Compact"/>
        <w:numPr>
          <w:ilvl w:val="0"/>
          <w:numId w:val="1019"/>
        </w:numPr>
      </w:pPr>
      <w:r>
        <w:t xml:space="preserve">The aporia of truth opens Chapter Four as its first section.</w:t>
      </w:r>
    </w:p>
    <w:p>
      <w:pPr>
        <w:pStyle w:val="FirstParagraph"/>
      </w:pPr>
      <w:r>
        <w:t xml:space="preserve">The aporia would then stand where both routes to it, truth and the discourse principle, can be compared. The revision does not make this move, because it would require rewriting Chapter Four.</w:t>
      </w:r>
    </w:p>
    <w:p>
      <w:pPr>
        <w:pStyle w:val="BodyText"/>
      </w:pPr>
      <w:r>
        <w:rPr>
          <w:b/>
          <w:bCs/>
        </w:rPr>
        <w:t xml:space="preserve">5.3 Section map of the revision.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§3.1.1</w:t>
            </w:r>
          </w:p>
        </w:tc>
        <w:tc>
          <w:tcPr/>
          <w:p>
            <w:pPr>
              <w:pStyle w:val="Compact"/>
            </w:pPr>
            <w:r>
              <w:t xml:space="preserve">The paradigm of language</w:t>
            </w:r>
          </w:p>
        </w:tc>
      </w:tr>
      <w:tr>
        <w:tc>
          <w:tcPr/>
          <w:p>
            <w:pPr>
              <w:pStyle w:val="Compact"/>
            </w:pPr>
            <w:r>
              <w:t xml:space="preserve">§3.1.2</w:t>
            </w:r>
          </w:p>
        </w:tc>
        <w:tc>
          <w:tcPr/>
          <w:p>
            <w:pPr>
              <w:pStyle w:val="Compact"/>
            </w:pPr>
            <w:r>
              <w:t xml:space="preserve">The abstractive fallacy as shared diagnosis</w:t>
            </w:r>
          </w:p>
        </w:tc>
      </w:tr>
      <w:tr>
        <w:tc>
          <w:tcPr/>
          <w:p>
            <w:pPr>
              <w:pStyle w:val="Compact"/>
            </w:pPr>
            <w:r>
              <w:t xml:space="preserve">§3.1.3</w:t>
            </w:r>
          </w:p>
        </w:tc>
        <w:tc>
          <w:tcPr/>
          <w:p>
            <w:pPr>
              <w:pStyle w:val="Compact"/>
            </w:pPr>
            <w:r>
              <w:t xml:space="preserve">Two concepts of grounding, asymmetry of provenance, socio-ontology</w:t>
            </w:r>
          </w:p>
        </w:tc>
      </w:tr>
      <w:tr>
        <w:tc>
          <w:tcPr/>
          <w:p>
            <w:pPr>
              <w:pStyle w:val="Compact"/>
            </w:pPr>
            <w:r>
              <w:t xml:space="preserve">§3.1.4</w:t>
            </w:r>
          </w:p>
        </w:tc>
        <w:tc>
          <w:tcPr/>
          <w:p>
            <w:pPr>
              <w:pStyle w:val="Compact"/>
            </w:pPr>
            <w:r>
              <w:t xml:space="preserve">Why the socio-ontological argument leaves Apel’s question standing</w:t>
            </w:r>
          </w:p>
        </w:tc>
      </w:tr>
      <w:tr>
        <w:tc>
          <w:tcPr/>
          <w:p>
            <w:pPr>
              <w:pStyle w:val="Compact"/>
            </w:pPr>
            <w:r>
              <w:t xml:space="preserve">§3.1.5</w:t>
            </w:r>
          </w:p>
        </w:tc>
        <w:tc>
          <w:tcPr/>
          <w:p>
            <w:pPr>
              <w:pStyle w:val="Compact"/>
            </w:pPr>
            <w:r>
              <w:t xml:space="preserve">State of the question and the three charges</w:t>
            </w:r>
          </w:p>
        </w:tc>
      </w:tr>
      <w:tr>
        <w:tc>
          <w:tcPr/>
          <w:p>
            <w:pPr>
              <w:pStyle w:val="Compact"/>
            </w:pPr>
            <w:r>
              <w:t xml:space="preserve">§3.2.1–§3.2.4</w:t>
            </w:r>
          </w:p>
        </w:tc>
        <w:tc>
          <w:tcPr/>
          <w:p>
            <w:pPr>
              <w:pStyle w:val="Compact"/>
            </w:pPr>
            <w:r>
              <w:t xml:space="preserve">Categorial premise; three routes; the reflexive face (structure unchanged)</w:t>
            </w:r>
          </w:p>
        </w:tc>
      </w:tr>
      <w:tr>
        <w:tc>
          <w:tcPr/>
          <w:p>
            <w:pPr>
              <w:pStyle w:val="Compact"/>
            </w:pPr>
            <w:r>
              <w:t xml:space="preserve">§3.3.1–§3.3.6</w:t>
            </w:r>
          </w:p>
        </w:tc>
        <w:tc>
          <w:tcPr/>
          <w:p>
            <w:pPr>
              <w:pStyle w:val="Compact"/>
            </w:pPr>
            <w:r>
              <w:t xml:space="preserve">Elenchos; retorsion; three levels; semiotic a priori; Finlayson; scope (structure unchanged, §3.3.3 rewritten)</w:t>
            </w:r>
          </w:p>
        </w:tc>
      </w:tr>
      <w:tr>
        <w:tc>
          <w:tcPr/>
          <w:p>
            <w:pPr>
              <w:pStyle w:val="Compact"/>
            </w:pPr>
            <w:r>
              <w:t xml:space="preserve">§3.4.1–§3.4.4</w:t>
            </w:r>
          </w:p>
        </w:tc>
        <w:tc>
          <w:tcPr/>
          <w:p>
            <w:pPr>
              <w:pStyle w:val="Compact"/>
            </w:pPr>
            <w:r>
              <w:t xml:space="preserve">Avowal; desiderata; aporia; exits and conditional resolution</w:t>
            </w:r>
          </w:p>
        </w:tc>
      </w:tr>
    </w:tbl>
    <w:p>
      <w:r>
        <w:pict>
          <v:rect style="width:0;height:1.5pt" o:hralign="center" o:hrstd="t" o:hr="t"/>
        </w:pict>
      </w:r>
    </w:p>
    <w:bookmarkEnd w:id="13"/>
    <w:bookmarkStart w:id="14" w:name="line-by-line-revision-principal-changes"/>
    <w:p>
      <w:pPr>
        <w:pStyle w:val="Heading2"/>
      </w:pPr>
      <w:r>
        <w:t xml:space="preserve">6. Line-by-line revision: principal changes</w:t>
      </w:r>
    </w:p>
    <w:p>
      <w:pPr>
        <w:pStyle w:val="FirstParagraph"/>
      </w:pPr>
      <w:r>
        <w:t xml:space="preserve">These are the changes an examiner would look for first. Paragraph references are to the original.</w:t>
      </w:r>
    </w:p>
    <w:p>
      <w:pPr>
        <w:pStyle w:val="Compact"/>
        <w:numPr>
          <w:ilvl w:val="0"/>
          <w:numId w:val="1020"/>
        </w:numPr>
      </w:pPr>
      <w:r>
        <w:rPr>
          <w:b/>
          <w:bCs/>
        </w:rPr>
        <w:t xml:space="preserve">Opening, paragraphs 1–2.</w:t>
      </w:r>
      <w:r>
        <w:t xml:space="preserve"> </w:t>
      </w:r>
      <w:r>
        <w:t xml:space="preserve">The original’s opening sentence runs to 150 words and joins six clauses with colons. It is split into seven sentences. The discipline paragraph is shortened, and it no longer promises what later sections deliver.</w:t>
      </w:r>
    </w:p>
    <w:p>
      <w:pPr>
        <w:pStyle w:val="Compact"/>
        <w:numPr>
          <w:ilvl w:val="0"/>
          <w:numId w:val="1020"/>
        </w:numPr>
      </w:pPr>
      <w:r>
        <w:rPr>
          <w:b/>
          <w:bCs/>
        </w:rPr>
        <w:t xml:space="preserve">§3.1.1, the Habermas credit.</w:t>
      </w:r>
      <w:r>
        <w:t xml:space="preserve"> </w:t>
      </w:r>
      <w:r>
        <w:t xml:space="preserve">The original says Habermas</w:t>
      </w:r>
      <w:r>
        <w:t xml:space="preserve"> </w:t>
      </w:r>
      <w:r>
        <w:t xml:space="preserve">“names”</w:t>
      </w:r>
      <w:r>
        <w:t xml:space="preserve"> </w:t>
      </w:r>
      <w:r>
        <w:t xml:space="preserve">the step. The source reads</w:t>
      </w:r>
      <w:r>
        <w:t xml:space="preserve"> </w:t>
      </w:r>
      <w:r>
        <w:t xml:space="preserve">“I regard”</w:t>
      </w:r>
      <w:r>
        <w:t xml:space="preserve">. The quotation now matches PSC 643.</w:t>
      </w:r>
    </w:p>
    <w:p>
      <w:pPr>
        <w:pStyle w:val="Compact"/>
        <w:numPr>
          <w:ilvl w:val="0"/>
          <w:numId w:val="1020"/>
        </w:numPr>
      </w:pPr>
      <w:r>
        <w:rPr>
          <w:b/>
          <w:bCs/>
        </w:rPr>
        <w:t xml:space="preserve">§3.1.2, the German coinage.</w:t>
      </w:r>
      <w:r>
        <w:t xml:space="preserve"> </w:t>
      </w:r>
      <w:r>
        <w:t xml:space="preserve">“</w:t>
      </w:r>
      <w:r>
        <w:rPr>
          <w:i/>
          <w:iCs/>
        </w:rPr>
        <w:t xml:space="preserve">Abstraktionsfehler</w:t>
      </w:r>
      <w:r>
        <w:t xml:space="preserve">”</w:t>
      </w:r>
      <w:r>
        <w:t xml:space="preserve"> </w:t>
      </w:r>
      <w:r>
        <w:t xml:space="preserve">is replaced by Apel’s own English,</w:t>
      </w:r>
      <w:r>
        <w:t xml:space="preserve"> </w:t>
      </w:r>
      <w:r>
        <w:t xml:space="preserve">“abstractive fallacy”</w:t>
      </w:r>
      <w:r>
        <w:t xml:space="preserve">. The German form is not attested in the loci cited, and a back-formed German term invites the question of where it comes from.</w:t>
      </w:r>
    </w:p>
    <w:p>
      <w:pPr>
        <w:pStyle w:val="Compact"/>
        <w:numPr>
          <w:ilvl w:val="0"/>
          <w:numId w:val="1020"/>
        </w:numPr>
      </w:pPr>
      <w:r>
        <w:rPr>
          <w:b/>
          <w:bCs/>
        </w:rPr>
        <w:t xml:space="preserve">§3.1.3, the charge of naturalism (was §3.1.3,</w:t>
      </w:r>
      <w:r>
        <w:rPr>
          <w:b/>
          <w:bCs/>
        </w:rPr>
        <w:t xml:space="preserve"> </w:t>
      </w:r>
      <w:r>
        <w:rPr>
          <w:b/>
          <w:bCs/>
        </w:rPr>
        <w:t xml:space="preserve">“twin perils”</w:t>
      </w:r>
      <w:r>
        <w:rPr>
          <w:b/>
          <w:bCs/>
        </w:rPr>
        <w:t xml:space="preserve">).</w:t>
      </w:r>
      <w:r>
        <w:t xml:space="preserve"> </w:t>
      </w:r>
      <w:r>
        <w:t xml:space="preserve">The claim that Habermas’s refusal is</w:t>
      </w:r>
      <w:r>
        <w:t xml:space="preserve"> </w:t>
      </w:r>
      <w:r>
        <w:t xml:space="preserve">“anti-naturalist”</w:t>
      </w:r>
      <w:r>
        <w:t xml:space="preserve"> </w:t>
      </w:r>
      <w:r>
        <w:t xml:space="preserve">is kept. It is now grounded in PSC 643–44 and no longer made to depend on the adverb</w:t>
      </w:r>
      <w:r>
        <w:t xml:space="preserve"> </w:t>
      </w:r>
      <w:r>
        <w:t xml:space="preserve">“purely”</w:t>
      </w:r>
      <w:r>
        <w:t xml:space="preserve">.</w:t>
      </w:r>
    </w:p>
    <w:p>
      <w:pPr>
        <w:pStyle w:val="Compact"/>
        <w:numPr>
          <w:ilvl w:val="0"/>
          <w:numId w:val="1020"/>
        </w:numPr>
      </w:pPr>
      <w:r>
        <w:rPr>
          <w:b/>
          <w:bCs/>
        </w:rPr>
        <w:t xml:space="preserve">§3.1.4, step (5).</w:t>
      </w:r>
      <w:r>
        <w:t xml:space="preserve"> </w:t>
      </w:r>
      <w:r>
        <w:t xml:space="preserve">The step is rewritten under the new distinction between standing and force (section 2.3 above).</w:t>
      </w:r>
    </w:p>
    <w:p>
      <w:pPr>
        <w:pStyle w:val="Compact"/>
        <w:numPr>
          <w:ilvl w:val="0"/>
          <w:numId w:val="1020"/>
        </w:numPr>
      </w:pPr>
      <w:r>
        <w:rPr>
          <w:b/>
          <w:bCs/>
        </w:rPr>
        <w:t xml:space="preserve">§3.1.5, Kettner.</w:t>
      </w:r>
      <w:r>
        <w:t xml:space="preserve"> </w:t>
      </w:r>
      <w:r>
        <w:t xml:space="preserve">The engagement is kept and shortened. Gronke’s distinction is kept.</w:t>
      </w:r>
    </w:p>
    <w:p>
      <w:pPr>
        <w:pStyle w:val="Compact"/>
        <w:numPr>
          <w:ilvl w:val="0"/>
          <w:numId w:val="1020"/>
        </w:numPr>
      </w:pPr>
      <w:r>
        <w:rPr>
          <w:b/>
          <w:bCs/>
        </w:rPr>
        <w:t xml:space="preserve">§3.2.1.</w:t>
      </w:r>
      <w:r>
        <w:t xml:space="preserve"> </w:t>
      </w:r>
      <w:r>
        <w:t xml:space="preserve">The paragraph restating the premise</w:t>
      </w:r>
      <w:r>
        <w:t xml:space="preserve"> </w:t>
      </w:r>
      <w:r>
        <w:t xml:space="preserve">“in the form Chapter Four will use”</w:t>
      </w:r>
      <w:r>
        <w:t xml:space="preserve"> </w:t>
      </w:r>
      <w:r>
        <w:t xml:space="preserve">is compressed. Its claim that the categorial line is</w:t>
      </w:r>
      <w:r>
        <w:t xml:space="preserve"> </w:t>
      </w:r>
      <w:r>
        <w:t xml:space="preserve">“confirmed”</w:t>
      </w:r>
      <w:r>
        <w:t xml:space="preserve"> </w:t>
      </w:r>
      <w:r>
        <w:t xml:space="preserve">by Habermas’s predicates at MCCA 32 is kept, since MCCA 32 was verified.</w:t>
      </w:r>
    </w:p>
    <w:p>
      <w:pPr>
        <w:pStyle w:val="Compact"/>
        <w:numPr>
          <w:ilvl w:val="0"/>
          <w:numId w:val="1020"/>
        </w:numPr>
      </w:pPr>
      <w:r>
        <w:rPr>
          <w:b/>
          <w:bCs/>
        </w:rPr>
        <w:t xml:space="preserve">§3.2.2.</w:t>
      </w:r>
      <w:r>
        <w:t xml:space="preserve"> </w:t>
      </w:r>
      <w:r>
        <w:t xml:space="preserve">The Derrida amendment is compressed from three paragraphs to one.</w:t>
      </w:r>
    </w:p>
    <w:p>
      <w:pPr>
        <w:pStyle w:val="Compact"/>
        <w:numPr>
          <w:ilvl w:val="0"/>
          <w:numId w:val="1020"/>
        </w:numPr>
      </w:pPr>
      <w:r>
        <w:rPr>
          <w:b/>
          <w:bCs/>
        </w:rPr>
        <w:t xml:space="preserve">§3.2.4, the register of 2020.</w:t>
      </w:r>
      <w:r>
        <w:t xml:space="preserve"> </w:t>
      </w:r>
      <w:r>
        <w:t xml:space="preserve">The note on</w:t>
      </w:r>
      <w:r>
        <w:t xml:space="preserve"> </w:t>
      </w:r>
      <w:r>
        <w:t xml:space="preserve">“weakly transcendental”</w:t>
      </w:r>
      <w:r>
        <w:t xml:space="preserve"> </w:t>
      </w:r>
      <w:r>
        <w:t xml:space="preserve">versus</w:t>
      </w:r>
      <w:r>
        <w:t xml:space="preserve"> </w:t>
      </w:r>
      <w:r>
        <w:t xml:space="preserve">“quasi-transcendental”</w:t>
      </w:r>
      <w:r>
        <w:t xml:space="preserve"> </w:t>
      </w:r>
      <w:r>
        <w:t xml:space="preserve">is added.</w:t>
      </w:r>
    </w:p>
    <w:p>
      <w:pPr>
        <w:pStyle w:val="Compact"/>
        <w:numPr>
          <w:ilvl w:val="0"/>
          <w:numId w:val="1020"/>
        </w:numPr>
      </w:pPr>
      <w:r>
        <w:rPr>
          <w:b/>
          <w:bCs/>
        </w:rPr>
        <w:t xml:space="preserve">§3.3.1, Γ.4.</w:t>
      </w:r>
      <w:r>
        <w:t xml:space="preserve"> </w:t>
      </w:r>
      <w:r>
        <w:t xml:space="preserve">The word-order inference is withdrawn (section 3.1 above). Apel’s distinction between the dialogical elenchos and the indirect proof is added.</w:t>
      </w:r>
    </w:p>
    <w:p>
      <w:pPr>
        <w:pStyle w:val="Compact"/>
        <w:numPr>
          <w:ilvl w:val="0"/>
          <w:numId w:val="1020"/>
        </w:numPr>
      </w:pPr>
      <w:r>
        <w:rPr>
          <w:b/>
          <w:bCs/>
        </w:rPr>
        <w:t xml:space="preserve">§3.3.2.</w:t>
      </w:r>
      <w:r>
        <w:t xml:space="preserve"> </w:t>
      </w:r>
      <w:r>
        <w:t xml:space="preserve">The paragraph on the conditional character of the result is added. The Stern quotation is corrected against the source.</w:t>
      </w:r>
    </w:p>
    <w:p>
      <w:pPr>
        <w:pStyle w:val="Compact"/>
        <w:numPr>
          <w:ilvl w:val="0"/>
          <w:numId w:val="1020"/>
        </w:numPr>
      </w:pPr>
      <w:r>
        <w:rPr>
          <w:b/>
          <w:bCs/>
        </w:rPr>
        <w:t xml:space="preserve">§3.3.3.</w:t>
      </w:r>
      <w:r>
        <w:t xml:space="preserve"> </w:t>
      </w:r>
      <w:r>
        <w:t xml:space="preserve">The concept is reintroduced and the collapse objection is answered (section 2.2 above). The Kuhlmann dilemma is kept almost verbatim, because it is the chapter’s best passage.</w:t>
      </w:r>
    </w:p>
    <w:p>
      <w:pPr>
        <w:pStyle w:val="Compact"/>
        <w:numPr>
          <w:ilvl w:val="0"/>
          <w:numId w:val="1020"/>
        </w:numPr>
      </w:pPr>
      <w:r>
        <w:rPr>
          <w:b/>
          <w:bCs/>
        </w:rPr>
        <w:t xml:space="preserve">§3.3.4.</w:t>
      </w:r>
      <w:r>
        <w:t xml:space="preserve"> </w:t>
      </w:r>
      <w:r>
        <w:t xml:space="preserve">The Monist quotation is corrected to</w:t>
      </w:r>
      <w:r>
        <w:t xml:space="preserve"> </w:t>
      </w:r>
      <w:r>
        <w:t xml:space="preserve">“sign interpreters … criterium, we can conceive of”</w:t>
      </w:r>
      <w:r>
        <w:t xml:space="preserve"> </w:t>
      </w:r>
      <w:r>
        <w:t xml:space="preserve">at page 401.</w:t>
      </w:r>
    </w:p>
    <w:p>
      <w:pPr>
        <w:pStyle w:val="Compact"/>
        <w:numPr>
          <w:ilvl w:val="0"/>
          <w:numId w:val="1020"/>
        </w:numPr>
      </w:pPr>
      <w:r>
        <w:rPr>
          <w:b/>
          <w:bCs/>
        </w:rPr>
        <w:t xml:space="preserve">§3.3.6.</w:t>
      </w:r>
      <w:r>
        <w:t xml:space="preserve"> </w:t>
      </w:r>
      <w:r>
        <w:t xml:space="preserve">The co-responsibility classification is moved after the test. It now reads as a consequence of the test and not as an aside.</w:t>
      </w:r>
    </w:p>
    <w:p>
      <w:pPr>
        <w:pStyle w:val="Compact"/>
        <w:numPr>
          <w:ilvl w:val="0"/>
          <w:numId w:val="1020"/>
        </w:numPr>
      </w:pPr>
      <w:r>
        <w:rPr>
          <w:b/>
          <w:bCs/>
        </w:rPr>
        <w:t xml:space="preserve">§3.4.3.</w:t>
      </w:r>
      <w:r>
        <w:t xml:space="preserve"> </w:t>
      </w:r>
      <w:r>
        <w:t xml:space="preserve">The unnamed</w:t>
      </w:r>
      <w:r>
        <w:t xml:space="preserve"> </w:t>
      </w:r>
      <w:r>
        <w:t xml:space="preserve">“order that has enacted grave wrong”</w:t>
      </w:r>
      <w:r>
        <w:t xml:space="preserve"> </w:t>
      </w:r>
      <w:r>
        <w:t xml:space="preserve">is removed. As written it gestures at a historical case without naming or arguing it. An examiner will ask which case is meant and why it is not named. The paragraph added nothing that Lafont’s dilemma does not already supply.</w:t>
      </w:r>
    </w:p>
    <w:p>
      <w:pPr>
        <w:pStyle w:val="Compact"/>
        <w:numPr>
          <w:ilvl w:val="0"/>
          <w:numId w:val="1020"/>
        </w:numPr>
      </w:pPr>
      <w:r>
        <w:rPr>
          <w:b/>
          <w:bCs/>
        </w:rPr>
        <w:t xml:space="preserve">§3.4.4.</w:t>
      </w:r>
      <w:r>
        <w:t xml:space="preserve"> </w:t>
      </w:r>
      <w:r>
        <w:t xml:space="preserve">The limit on rightness is added (section 2.5 above).</w:t>
      </w:r>
    </w:p>
    <w:p>
      <w:pPr>
        <w:pStyle w:val="FirstParagraph"/>
      </w:pPr>
      <w:r>
        <w:t xml:space="preserve">The fully rewritten chapter is in CHAPTER_THREE_REVISED_33 (.md and .docx) in the same folder.</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2026-09-29T09:59:00Z</dcterms:created>
  <dcterms:modified xsi:type="dcterms:W3CDTF">2026-09-29T09:59:00Z</dcterms:modified>
</cp:coreProperties>
</file>

<file path=docProps/custom.xml><?xml version="1.0" encoding="utf-8"?>
<Properties xmlns="http://schemas.openxmlformats.org/officeDocument/2006/custom-properties" xmlns:vt="http://schemas.openxmlformats.org/officeDocument/2006/docPropsVTypes"/>
</file>