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3E503" w14:textId="77777777" w:rsidR="0095720F" w:rsidRDefault="00000000">
      <w:pPr>
        <w:pStyle w:val="Heading1"/>
      </w:pPr>
      <w:bookmarkStart w:id="0" w:name="chapter-two"/>
      <w:r>
        <w:t>CHAPTER TWO</w:t>
      </w:r>
    </w:p>
    <w:p w14:paraId="26557D55" w14:textId="77777777" w:rsidR="0095720F" w:rsidRDefault="00000000">
      <w:pPr>
        <w:pStyle w:val="Heading2"/>
      </w:pPr>
      <w:bookmarkStart w:id="1" w:name="Xa1c07611a0eecf80e56bd0783f69d6ee8e9d147"/>
      <w:r>
        <w:t>Reconstructive Science and Post-Metaphysical Thinking: The Three Commitments, Their Tensions, and the Aporia of Truth</w:t>
      </w:r>
    </w:p>
    <w:p w14:paraId="38B5E62B" w14:textId="77777777" w:rsidR="0095720F" w:rsidRDefault="00000000">
      <w:pPr>
        <w:pStyle w:val="FirstParagraph"/>
      </w:pPr>
      <w:r>
        <w:t xml:space="preserve">Chapter One ended with a finding of location and declined to enter a verdict: formal pragmatics requires a passage its own resources cannot supply, from what speakers enact, as reconstruction renders it, to the bindingness of what they certify, and the passage is required at three places which are one joint (Chapter One §1.3.5). This chapter turns from the location to the method, and asks what the method is, what it commits the programme to, and what the commitments cost when the programme is turned upon its own conditions. Its claim has four parts. Discourse theory is conducted, by Habermas’s own characterisation, as a reconstructive science, and a reconstructive science, whose tests are recognition and counterexample, is silent on the modality of what it reconstructs; the silence is the cost of three commitments which define post-metaphysical thinking as Habermas practises it — reconstructivism, immanence and fallibilism — each separately defensible and jointly held (§2.1). The three stand in a conjunction and not in a circle of mutual entailment, and their conjunction generates three tensions internal to the programme, one for each commitment: between the enacted competence and its corrigible reconstruction, between the situated standpoint of the reconstruction and the reach it claims for its results, and between the hypothetical grade of every articulation and the bindingness the programme undertakes to justify (§2.2). None of the three is resolved by weakening a commitment, since a programme which weakened one would no longer be the programme; each is sustained, at a cost which can be stated, by philosophical self-reflexivity, the turning of argument upon its own conditions, and the three resources drawn from his text for that sustaining — the fact of reason, the confutative method and the genealogy of learning processes — are examined with their costs, the categorial premise on which the instrument rests being amended under Derrida’s argument from iterability rather than defended unchanged (§2.3). What remains once the tensions have been sustained and the circularities charged against the programme have been sorted is not a further deficit but an aporia, the orientation of the practice to a truth it cannot discharge from its own resources; it is the limit of post-metaphysical thinking visible from within it, none of the resources examined here addresses it, and that is why Chapter Three turns to the dispute between Apel and Habermas over the irrefutability of the presuppositions on which the validity of discourse is made to rest (§2.3.4, §2.4). </w:t>
      </w:r>
      <w:r>
        <w:lastRenderedPageBreak/>
        <w:t>Two instruments carry the argument: performative self-contradiction, in the bounded sense §2.2.2 gives it, and the operative–propositional asymmetry, which Chapter One invokes under that name and §2.2.2 states as a premise upon a ground drawn there, the criterion under which it individuates being argued at Chapter Three §3.2.1. The deficit the commitments generate is reached in its two intervals at §2.2.3 and adjudicated elsewhere: the first interval belongs to the dispute over irrefutability, which Chapter Three conducts, and the second to the architecture of bindingness, which Chapter Four examines.</w:t>
      </w:r>
    </w:p>
    <w:p w14:paraId="354BD39E" w14:textId="77777777" w:rsidR="0095720F" w:rsidRDefault="00000000">
      <w:pPr>
        <w:pStyle w:val="Heading2"/>
      </w:pPr>
      <w:bookmarkStart w:id="2" w:name="Xc14fe6eb3e3f0d8881c96f24bc57e2a6bf0ffe0"/>
      <w:bookmarkEnd w:id="1"/>
      <w:r>
        <w:t>§2.1 · Post-Metaphysical Thinking, Reconstructive Science, and the Three Commitments</w:t>
      </w:r>
    </w:p>
    <w:p w14:paraId="39021FA1" w14:textId="77777777" w:rsidR="0095720F" w:rsidRDefault="00000000">
      <w:pPr>
        <w:pStyle w:val="FirstParagraph"/>
      </w:pPr>
      <w:r>
        <w:t xml:space="preserve">What Habermas calls post-metaphysical thinking is presented by him as a situation before it is a doctrine, and the situation is dated. In the essay which opens </w:t>
      </w:r>
      <w:r>
        <w:rPr>
          <w:i/>
          <w:iCs/>
        </w:rPr>
        <w:t>Postmetaphysical Thinking</w:t>
      </w:r>
      <w:r>
        <w:t xml:space="preserve"> the break with the tradition is characterised by four themes, ‘postmetaphysical thinking, the linguistic turn, situating reason, and reversing the primacy of theory over practice — or the overcoming of logocentrism’: the decline of the tradition’s strong concept of theory, the passage from the philosophy of consciousness to that of language, the situating of reason in its historical embodiments, and the reversal of the classical relation of theory and practice, offered not as a system but as the motive forces of twentieth-century philosophising across the boundaries between schools.</w:t>
      </w:r>
      <w:r>
        <w:rPr>
          <w:rStyle w:val="FootnoteReference"/>
        </w:rPr>
        <w:footnoteReference w:id="1"/>
      </w:r>
      <w:r>
        <w:t xml:space="preserve"> The fourth theme carries a word which is used in another sense later in this chapter. The logocentrism Habermas would overcome is a fixation of reason upon one of its dimensions, the fact-stating discourse ‘that specializes in only one dimension of speech, the truth of assertoric sentences’, and its release is a change of position and not a further theory, philosophy looking back upon the lifeworld and finding there ‘a reason that is already operating in everyday communicative practice’;</w:t>
      </w:r>
      <w:r>
        <w:rPr>
          <w:rStyle w:val="FootnoteReference"/>
        </w:rPr>
        <w:footnoteReference w:id="2"/>
      </w:r>
      <w:r>
        <w:t xml:space="preserve"> Derrida’s </w:t>
      </w:r>
      <w:r>
        <w:lastRenderedPageBreak/>
        <w:t>word is the same and his sense is not, since for him logocentrism names the privilege of presence and of the voice, which no turn from theory to practice sets aside, and the argument from iterability on which that sense rests is engaged at §2.3.2 on its own terms.</w:t>
      </w:r>
      <w:r>
        <w:rPr>
          <w:rStyle w:val="FootnoteReference"/>
        </w:rPr>
        <w:footnoteReference w:id="3"/>
      </w:r>
      <w:r>
        <w:t xml:space="preserve"> The metaphysics the situation follows is stated by Habermas in three aspects, ‘identity thinking, the doctrine of Ideas, and the strong concept of theory’, of which the philosophy of consciousness is the modern refraction, terminating in a theory which wants ‘to satisfy the demand for justifying all premises from within itself’; four developments, procedural rationality, historical consciousness, the criticism of reification and the mutual dependence of theory and practice, are said to have problematised it from without, and they are the four themes of the opening essay in another order, which licenses reading the two essays as one account.</w:t>
      </w:r>
      <w:r>
        <w:rPr>
          <w:rStyle w:val="FootnoteReference"/>
        </w:rPr>
        <w:footnoteReference w:id="4"/>
      </w:r>
      <w:r>
        <w:t xml:space="preserve"> The exposition of the three aspects, with the four developments, stands in the Glossary.</w:t>
      </w:r>
      <w:r>
        <w:rPr>
          <w:rStyle w:val="FootnoteReference"/>
        </w:rPr>
        <w:footnoteReference w:id="5"/>
      </w:r>
    </w:p>
    <w:p w14:paraId="2184250D" w14:textId="77777777" w:rsidR="0095720F" w:rsidRDefault="00000000">
      <w:pPr>
        <w:pStyle w:val="BodyText"/>
      </w:pPr>
      <w:r>
        <w:lastRenderedPageBreak/>
        <w:t>What the break renounces is stated by Habermas in three respects, and the three are the measure of everything the chapter will call post-metaphysical. Philosophy after Kant operates ‘under conditions of rationality that it has not chosen’: it can reclaim no access to essential insights privileged over science, morality or art and ‘now disposes only over knowledge that is fallible’; it must forgo the doctrinal form and ‘must remain theoretical’; and it can no longer rank the totalities of lifeworlds but ‘is limited to grasping universal structures of lifeworlds in general’. ‘These are three respects in which there can no longer be, after Kant, a metaphysics in the sense of “conclusive” and “integrating” thought.’</w:t>
      </w:r>
      <w:r>
        <w:rPr>
          <w:rStyle w:val="FootnoteReference"/>
        </w:rPr>
        <w:footnoteReference w:id="6"/>
      </w:r>
      <w:r>
        <w:t xml:space="preserve"> The renunciation is not a proscription of the questions, and the preposition carries the point, since </w:t>
      </w:r>
      <w:r>
        <w:rPr>
          <w:i/>
          <w:iCs/>
        </w:rPr>
        <w:t>nach</w:t>
      </w:r>
      <w:r>
        <w:t xml:space="preserve"> says both </w:t>
      </w:r>
      <w:r>
        <w:rPr>
          <w:i/>
          <w:iCs/>
        </w:rPr>
        <w:t>after</w:t>
      </w:r>
      <w:r>
        <w:t xml:space="preserve"> and </w:t>
      </w:r>
      <w:r>
        <w:rPr>
          <w:i/>
          <w:iCs/>
        </w:rPr>
        <w:t>according to</w:t>
      </w:r>
      <w:r>
        <w:t>: the thinking is conducted after metaphysics and by the measure metaphysics failed to meet;</w:t>
      </w:r>
      <w:r>
        <w:rPr>
          <w:rStyle w:val="FootnoteReference"/>
        </w:rPr>
        <w:footnoteReference w:id="7"/>
      </w:r>
      <w:r>
        <w:t xml:space="preserve"> nor is it the anti-metaphysical reflex Habermas separates from it, a philosophy which has taken its place among the sciences retaining a relation to the whole, the lifeworld being present to it as a totality ‘unproblematized, nonobjectified, and pretheoretical’.</w:t>
      </w:r>
      <w:r>
        <w:rPr>
          <w:rStyle w:val="FootnoteReference"/>
        </w:rPr>
        <w:footnoteReference w:id="8"/>
      </w:r>
      <w:r>
        <w:t xml:space="preserve"> What is retained of metaphysics is named as a residue and its status fixed: the moment of unconditionality preserved in fallibilist concepts of truth and morality ‘is not an absolute, or it is at most an absolute that has become fluid as a critical procedure’.</w:t>
      </w:r>
      <w:r>
        <w:rPr>
          <w:rStyle w:val="FootnoteReference"/>
        </w:rPr>
        <w:footnoteReference w:id="9"/>
      </w:r>
      <w:r>
        <w:t xml:space="preserve"> The residue is a procedure and not a content, and that it is a procedure is what §2.3.4 will find to be the source of the aporia.</w:t>
      </w:r>
    </w:p>
    <w:p w14:paraId="658E3B16" w14:textId="77777777" w:rsidR="0095720F" w:rsidRDefault="00000000">
      <w:pPr>
        <w:pStyle w:val="BodyText"/>
      </w:pPr>
      <w:r>
        <w:lastRenderedPageBreak/>
        <w:t>The Introduction described the position post-metaphysical thinking vacates in three forms, a principle, a faculty and a standpoint, and the chapter regroups Habermas’s renunciations under three tenets of the philosophy of consciousness whose negatives its three commitments are; the regrouping is entered as a reading, and each of its members is drawn from his text while the enumeration is not. The first tenet is methodological solipsism, the position of a subject which constitutes its self-understanding without recourse to anyone and, in the words of the essay of 1981, ‘confronts objects and becomes reflective only by turning itself into an object’; the Introduction fixed the term as Apel’s, and as a thesis about the theorist’s position and not about other minds, and its displacement by the rule-following argument is examined at C2.</w:t>
      </w:r>
      <w:r>
        <w:rPr>
          <w:rStyle w:val="FootnoteReference"/>
        </w:rPr>
        <w:footnoteReference w:id="10"/>
      </w:r>
      <w:r>
        <w:t xml:space="preserve"> The second is the extramundane standpoint, ‘the extramundane perspective of a God’s-eye view’ which the essay on the unity of reason finds surviving in negative metaphysics as ‘the perspective of the radical outsider’, and whose place is taken, in the volume of 2012, by ‘the impartiality of the practice of argumentation among participants to which there is no alternative’.</w:t>
      </w:r>
      <w:r>
        <w:rPr>
          <w:rStyle w:val="FootnoteReference"/>
        </w:rPr>
        <w:footnoteReference w:id="11"/>
      </w:r>
      <w:r>
        <w:t xml:space="preserve"> The third is foundationalism, the theory which justifies its premises from within itself and secures ‘a cognition before cognition’, a domain between philosophy and the sciences from which it can show the sciences their place.</w:t>
      </w:r>
      <w:r>
        <w:rPr>
          <w:rStyle w:val="FootnoteReference"/>
        </w:rPr>
        <w:footnoteReference w:id="12"/>
      </w:r>
      <w:r>
        <w:t xml:space="preserve"> Each tenet is the negative of one commitment. Reconstructivism is what the linguistic turn becomes </w:t>
      </w:r>
      <w:r>
        <w:lastRenderedPageBreak/>
        <w:t>when its object is a competence exercised between speakers rather than a grammar read off from formations ‘as if from something lying before one’, and it displaces the first tenet because its datum is public; immanence is what the situating of reason becomes when the reason situated is the theorist’s own, so that no standpoint beyond the practices remains from which their conditions might be secured, and it forecloses the second; fallibilism is what the deflation of the strong concept of theory becomes when philosophy holds a place open for the reconstructive sciences instead of assigning them theirs, and it is the refusal of the third.</w:t>
      </w:r>
      <w:r>
        <w:rPr>
          <w:rStyle w:val="FootnoteReference"/>
        </w:rPr>
        <w:footnoteReference w:id="13"/>
      </w:r>
      <w:r>
        <w:t xml:space="preserve"> The correlation is a reading of the method and not Habermas’s ordering; so far as it holds, the three commitments are not additions to post-metaphysical thinking but the form it takes in a method, which is why a deficit derived from their conjunction is a finding about post-metaphysical thinking as Habermas practises it, and not about one theory conducted under it.</w:t>
      </w:r>
    </w:p>
    <w:p w14:paraId="1C7DB341" w14:textId="77777777" w:rsidR="0095720F" w:rsidRDefault="00000000">
      <w:pPr>
        <w:pStyle w:val="BodyText"/>
      </w:pPr>
      <w:r>
        <w:t>The situation so described is a stage in a learning process and not a settled theory, and Habermas describes it as such in every phase. The break is dated to ‘the first generation of Hegel’s disciples’, since when ‘there has been no alternative to postmetaphysical thinking’; the volume of 2012 assigns the genealogy which accompanies the claim a critical rather than a justificatory office, that of fostering ‘reflexive awareness of the contingency of the context of emergence’ of the premises a fallibilist thinking claims for the present, and the thinking so reached ‘operates “without a ground” insofar as it creates the building blocks of its “ground of validity” from its own resources’;</w:t>
      </w:r>
      <w:r>
        <w:rPr>
          <w:rStyle w:val="FootnoteReference"/>
        </w:rPr>
        <w:footnoteReference w:id="14"/>
      </w:r>
      <w:r>
        <w:t xml:space="preserve"> the history of philosophy of 2019 describes the process it traces as one which can be followed from within though it is not steered from within alone.</w:t>
      </w:r>
      <w:r>
        <w:rPr>
          <w:rStyle w:val="FootnoteReference"/>
        </w:rPr>
        <w:footnoteReference w:id="15"/>
      </w:r>
      <w:r>
        <w:t xml:space="preserve"> A learning process has no standpoint outside </w:t>
      </w:r>
      <w:r>
        <w:lastRenderedPageBreak/>
        <w:t>itself from which its result might be certified, and Habermas draws the consequence for his own recommendation: it could not be justified ‘without at the same time arguing for the concept of “communicative reason”’, and ‘Anyone who wants to engage in the business of clarifying philosophy’s proper role must actually do philosophy. This reflexive circle is unavoidable’.</w:t>
      </w:r>
      <w:r>
        <w:rPr>
          <w:rStyle w:val="FootnoteReference"/>
        </w:rPr>
        <w:footnoteReference w:id="16"/>
      </w:r>
      <w:r>
        <w:t xml:space="preserve"> The self-understanding is therefore self-critical in a determinate sense, the account of what philosophy can be being itself a philosophical claim of the kind the account permits, sustainable only by the practice it describes; its interlocutors are fixed by the same circle, Kant and Hegel addressed directly, as the two modes of justification the essay of 1981 follows through their own traditions of self-criticism, and Adorno, Husserl and Heidegger as stations of an incomplete detranscendentalisation, the verdict being the same for all: ‘All these attempts to detranscendentalize reason continue to get entangled in the prior conceptual decisions of transcendental philosophy’.</w:t>
      </w:r>
      <w:r>
        <w:rPr>
          <w:rStyle w:val="FootnoteReference"/>
        </w:rPr>
        <w:footnoteReference w:id="17"/>
      </w:r>
    </w:p>
    <w:p w14:paraId="1D528C8C" w14:textId="77777777" w:rsidR="0095720F" w:rsidRDefault="00000000">
      <w:pPr>
        <w:pStyle w:val="BodyText"/>
      </w:pPr>
      <w:r>
        <w:t>A critique of metaphysics conducted as a claim about what philosophy can be is itself a claim of the kind the vacated court used to certify, and the difficulty is one Habermas states against others before it is put to him: against critical rationalism and negative dialectics, which ‘reject transcendental and dialectical means of cognition while at the same time using them in a paradoxical way’; against the totalising critique of reason from Nietzsche to Derrida, which ‘gets caught in a performative contradiction since subject-centered reason can be convicted of being authoritarian in nature only by having recourse to its own tools’; and against relativism, whose thesis ‘cannot be put forth without a performative self-contradiction’.</w:t>
      </w:r>
      <w:r>
        <w:rPr>
          <w:rStyle w:val="FootnoteReference"/>
        </w:rPr>
        <w:footnoteReference w:id="18"/>
      </w:r>
      <w:r>
        <w:t xml:space="preserve"> The instrument is the one §2.2.2 fixes in a bounded sense, and </w:t>
      </w:r>
      <w:r>
        <w:lastRenderedPageBreak/>
        <w:t>what it convicts in each case is a universal claim advanced by a position which denies itself the right to universal claims. The recoil is evident, and Rawls presses it in its sharpest form: Habermas’s position ‘is a comprehensive doctrine and covers many things far beyond political philosophy’, and it is metaphysical in a stated sense, ‘His logic is metaphysical in the following sense: it presents an account of what there is. And what there is are human beings engaged in communicative action in their lifeworld’, the premise being that metaphysics is ‘at least a general account of what there is’.</w:t>
      </w:r>
      <w:r>
        <w:rPr>
          <w:rStyle w:val="FootnoteReference"/>
        </w:rPr>
        <w:footnoteReference w:id="19"/>
      </w:r>
      <w:r>
        <w:t xml:space="preserve"> Henrich had reached the same point from Kant, quoting against Habermas the sentence of the first preface on the indifferentists who fall back into the metaphysical assertions they affected to despise.</w:t>
      </w:r>
      <w:r>
        <w:rPr>
          <w:rStyle w:val="FootnoteReference"/>
        </w:rPr>
        <w:footnoteReference w:id="20"/>
      </w:r>
      <w:r>
        <w:t xml:space="preserve"> Both charges are sound against one reading of the word, and the reading is not Habermas’s: if a position is metaphysical whenever it holds a view about what there is, then no philosophical position can be otherwise, and the predicate marks nothing. A criterion is therefore wanted which sorts positions by their manner and not by their having a matter.</w:t>
      </w:r>
    </w:p>
    <w:p w14:paraId="02E698BA" w14:textId="77777777" w:rsidR="0095720F" w:rsidRDefault="00000000">
      <w:pPr>
        <w:pStyle w:val="BodyText"/>
      </w:pPr>
      <w:r>
        <w:t>The criterion is the one the vacated court applied to itself. Kant distinguishes the dogmatic procedure of reason, which a science cannot forgo, from dogmatism, which is that procedure pursued by a pure reason that has not first examined what it is able to do, and declares criticism the opponent of the second alone.</w:t>
      </w:r>
      <w:r>
        <w:rPr>
          <w:rStyle w:val="FootnoteReference"/>
        </w:rPr>
        <w:footnoteReference w:id="21"/>
      </w:r>
      <w:r>
        <w:t xml:space="preserve"> Habermas’s is the same criterion transposed from a faculty to a practice, and it is stated twice in his own voice: against analytic materialism, a position is called metaphysical which ‘sticks to what is universal when the real issue is carrying through an abstractly posed program with scientific means’, the fault lying not in the universality of the claim but in its exemption from the enquiry which alone could earn it; against Rawls, in the reply of 2012, the mode </w:t>
      </w:r>
      <w:r>
        <w:lastRenderedPageBreak/>
        <w:t>of thinking is defined by what its statements may and may not do, ‘we no longer think that we are in a position to make unqualified statements about the whole of nature and history, about the totality of being, at least not without referring to our reflexively analysed means of representation’, while ‘a discursively redeemable validity claim’ attaches to every philosophical proposition which remains within that frame, so that ‘Fallibilism and continued controversies on all fronts are the inevitable price to be paid for metaphysical abstinence.’</w:t>
      </w:r>
      <w:r>
        <w:rPr>
          <w:rStyle w:val="FootnoteReference"/>
        </w:rPr>
        <w:footnoteReference w:id="22"/>
      </w:r>
      <w:r>
        <w:t xml:space="preserve"> The criterion has two limbs and both are needed: the reflexive limb, that a claim about the whole is admissible only through an analysis of the means by which the whole is represented, which is Kant’s antecedent critique of capacity conducted upon the medium rather than the faculty; and the procedural limb, that every such claim carries a validity claim redeemable in argument and is thereby exposed to correction, which is the tenet foundationalism denies. On this criterion the second tenet is not renounced by abstaining from a view of the totality but by relocating the place from which the view is had, since ‘No “observer perspective”, however neutral, can provide the appropriate meta-level for testing the premises of postmetaphysical thinking further, but only the horizontal exchange of pro and contra arguments’.</w:t>
      </w:r>
      <w:r>
        <w:rPr>
          <w:rStyle w:val="FootnoteReference"/>
        </w:rPr>
        <w:footnoteReference w:id="23"/>
      </w:r>
      <w:r>
        <w:t xml:space="preserve"> The practice of argumentation thereby inherits two properties of the court it replaces: it is the place at which claims are certified, which is what makes the thinking critical of its own tenets, since its premises are tested where every other claim is tested; and it is said to be a place to which there is no alternative, a claim of a different kind, about the standing of the practice itself, over which Apel and Habermas divide, and which Chapter Three conducts.</w:t>
      </w:r>
    </w:p>
    <w:p w14:paraId="637DBE15" w14:textId="77777777" w:rsidR="0095720F" w:rsidRDefault="00000000">
      <w:pPr>
        <w:pStyle w:val="BodyText"/>
      </w:pPr>
      <w:r>
        <w:t xml:space="preserve">The dispute with Henrich is the test of the criterion, since Henrich meets it. Habermas reads him as the advocate of ‘a metaphysics that might be capable of enduring after Kant’, declines the terminological quarrel over the word, concedes that ‘The reconstructive tasks of philosophy … are not in dispute’, and locates the disagreement in ‘the enlightening role of philosophy in the strict sense, directed toward the whole of life practices’; he concedes the fallibility point in Henrich’s own </w:t>
      </w:r>
      <w:r>
        <w:lastRenderedPageBreak/>
        <w:t>words, replying to the thesis that ‘every theory of the series of natural numbers is in fact fallible’ only that what holds of algebra ‘is all the more valid for ethics’.</w:t>
      </w:r>
      <w:r>
        <w:rPr>
          <w:rStyle w:val="FootnoteReference"/>
        </w:rPr>
        <w:footnoteReference w:id="24"/>
      </w:r>
      <w:r>
        <w:t xml:space="preserve"> Henrich’s theses accept the constraint and turn it: a metaphysics of the elementary is distinguished from a metaphysics of resolving closure, the fallibility of every theory of the number series ‘is no argument against the spontaneous generation of the series itself’, and what he charges is not that Habermas is fallibilist but that he stops short of the reflection fallibilism should have forced, the theory of communicative action regarding ‘the resources of the lifeworld, without further enquiry, as ultimately reliable and valid’.</w:t>
      </w:r>
      <w:r>
        <w:rPr>
          <w:rStyle w:val="FootnoteReference"/>
        </w:rPr>
        <w:footnoteReference w:id="25"/>
      </w:r>
      <w:r>
        <w:t xml:space="preserve"> On the two-limbed criterion Henrich’s metaphysics is not dogmatic, since it claims neither infallibility nor exemption from argument; what excludes it is not the first of Habermas’s three respects but the second and the third, and Dews is right that on Henrich’s definition the enterprise violates none of the constraints Habermas sets, so that the dispute is not one the criterion can decide. What the criterion can do is turn Henrich’s charge into a question with an address: if the lifeworld’s resources are taken as ultimately reliable without further enquiry, the immediacy lies in the categorial premise on which the reconstruction of those resources rests and in the standpoint from which the reconstruction is conducted, the premise being stated at §2.2.2, the standpoint being the commitment C2 examines, and the charge being answered, or not, at §2.3. A second observation Dews records is adopted as a limit on the whole section: a critique of answers which have become implausible is not a demonstration that the domain of questions is obsolete.</w:t>
      </w:r>
      <w:r>
        <w:rPr>
          <w:rStyle w:val="FootnoteReference"/>
        </w:rPr>
        <w:footnoteReference w:id="26"/>
      </w:r>
    </w:p>
    <w:p w14:paraId="69F21368" w14:textId="77777777" w:rsidR="0095720F" w:rsidRDefault="00000000">
      <w:pPr>
        <w:pStyle w:val="BodyText"/>
      </w:pPr>
      <w:r>
        <w:lastRenderedPageBreak/>
        <w:t>One further distinction is required before the method is examined, since the criterion has assigned to post-metaphysical thinking two critical tasks which do not have the same form: to be critical of the sciences with which it cooperates, and to be critical of its own tenets. Habermas separates the two procedures in the introduction to the essays of 1971, where he records that he had ‘not adequately distinguished posterior reconstruction [</w:t>
      </w:r>
      <w:r>
        <w:rPr>
          <w:i/>
          <w:iCs/>
        </w:rPr>
        <w:t>Nachkonstruktion</w:t>
      </w:r>
      <w:r>
        <w:t>] from reflection on oneself’: rational reconstructions deal with anonymous rule systems with which any competent subject can comply, and so ‘do not encompass subjectivity, within the horizon of which alone the experience of reflection is possible’, whereas the knowledge a reconstruction yields ‘has no practical consequences. By learning logic or linguistics I acquire theoretical knowledge, but in general I do not thereby change my previous practice of reasoning or speaking.’</w:t>
      </w:r>
      <w:r>
        <w:rPr>
          <w:rStyle w:val="FootnoteReference"/>
        </w:rPr>
        <w:footnoteReference w:id="27"/>
      </w:r>
      <w:r>
        <w:t xml:space="preserve"> The task of being critical of other disciplines is discharged by reconstruction, the method §2.1.1 expounds, in which the theorist’s own subjectivity is not in play; the task of being critical of its own tenets is not discharged by that method, since the tenets are not anonymous rules a competent speaker follows but commitments of the theorist, and what is turned upon them is the argument turned upon its own conditions which §2.3.1 names philosophical self-reflexivity. The two are the Kantian and the Hegelian forms of critical reflection respectively, and Habermas’s programme, on the reading §2.3 pursues, requires both while its method is only the first; a third form, the elenctic, which convicts a denial by its own performance and derives nothing, is not Habermas’s and is introduced by Chapter Three as the instrument of these chapters. The question this section leaves is whether the second task can be discharged at all by a thinking whose only method is the first, and §2.3 returns that question with its cost.</w:t>
      </w:r>
    </w:p>
    <w:p w14:paraId="06DF5D38" w14:textId="77777777" w:rsidR="0095720F" w:rsidRDefault="00000000">
      <w:pPr>
        <w:pStyle w:val="BodyText"/>
      </w:pPr>
      <w:r>
        <w:t>The place philosophy occupies after the renunciations is named in the essay which opens the discourse-ethics volume: philosophy, ‘while well advised to withdraw from the problematic roles of usher (</w:t>
      </w:r>
      <w:r>
        <w:rPr>
          <w:i/>
          <w:iCs/>
        </w:rPr>
        <w:t>Platzanweiser</w:t>
      </w:r>
      <w:r>
        <w:t>) and judge, can and ought to retain its claim to reason, provided it is content to play the more modest roles of stand-in (</w:t>
      </w:r>
      <w:r>
        <w:rPr>
          <w:i/>
          <w:iCs/>
        </w:rPr>
        <w:t>Platzhalter</w:t>
      </w:r>
      <w:r>
        <w:t xml:space="preserve">) and interpreter’. The place is held for ‘Empirical theories with strong universalistic claims’, whose chance of emerging ‘is greatest in the </w:t>
      </w:r>
      <w:r>
        <w:lastRenderedPageBreak/>
        <w:t>reconstructive sciences’, which ‘explain the presumably universal bases of rational experience and judgment, as well as of action and linguistic communication’; reconstructive science thus enters as the discipline for which philosophy holds a place, the modality of what it explains fixed by the definition’s own adverb.</w:t>
      </w:r>
      <w:r>
        <w:rPr>
          <w:rStyle w:val="FootnoteReference"/>
        </w:rPr>
        <w:footnoteReference w:id="28"/>
      </w:r>
      <w:r>
        <w:t xml:space="preserve"> What the passage records is an exchange of offices: philosophy relinquishes the usher’s warrant, whose assignments are final because the authority which draws them certifies them itself, and takes up the stand-in’s, which holds a position open for theories whose results it neither anticipates nor certifies, and whose own results are put up for discussion as theirs are, so that it is the fallibilism, and no retreat from the claim to reason, which distinguishes the two offices.</w:t>
      </w:r>
      <w:r>
        <w:rPr>
          <w:rStyle w:val="FootnoteReference"/>
        </w:rPr>
        <w:footnoteReference w:id="29"/>
      </w:r>
      <w:r>
        <w:t xml:space="preserve"> After metaphysics philosophy ‘surrenders its extraordinary status’ and the lifeworld to which its gaze reverts ‘evades the grasp of theoretical objectification’;</w:t>
      </w:r>
      <w:r>
        <w:rPr>
          <w:rStyle w:val="FootnoteReference"/>
        </w:rPr>
        <w:footnoteReference w:id="30"/>
      </w:r>
      <w:r>
        <w:t xml:space="preserve"> a discipline whose subject-matter is present to it only as horizon has no vantage upon that horizon, and the constraint this places upon its self-reflection is drawn out at §2.3.1.</w:t>
      </w:r>
    </w:p>
    <w:p w14:paraId="4207D80E" w14:textId="77777777" w:rsidR="0095720F" w:rsidRDefault="00000000">
      <w:pPr>
        <w:pStyle w:val="Heading3"/>
      </w:pPr>
      <w:bookmarkStart w:id="3" w:name="X77eadbfff685e4080b308122c691d2b30a5f83c"/>
      <w:r>
        <w:t>§2.1.1 · Reconstruction against explanation: object, method, the two theses</w:t>
      </w:r>
    </w:p>
    <w:p w14:paraId="41F85918" w14:textId="77777777" w:rsidR="0095720F" w:rsidRDefault="00000000">
      <w:pPr>
        <w:pStyle w:val="FirstParagraph"/>
      </w:pPr>
      <w:r>
        <w:t xml:space="preserve">The method by which that reconstructive science proceeds is best taken against its nearest rival, and Habermas separates the two by their object and not by their technique. Reconstructive procedures, he writes in 1976, are not characteristic of sciences developing nomological hypotheses about domains of observable events but of sciences which ‘systematically reconstruct the intuitive knowledge of competent subjects’; the essay of 1983 fixes the object in the same terms, formal-pragmatic analysis concerning ‘rational reconstructions of the know-how of subjects who are capable of speech and action’. The grade is stated in a deflationary register: the theory of </w:t>
      </w:r>
      <w:r>
        <w:lastRenderedPageBreak/>
        <w:t>argumentation ‘does not have to provide a derivation for such a system in the sense of a transcendental deduction’, since ‘a reliable procedure for testing corresponding reconstructive hypotheses suffices’, and the work of 1981 opens by surrendering the ‘transcendental-philosophical hopes for an aprioristic reconstruction of the equipment of a nonempirical species subject’.</w:t>
      </w:r>
      <w:r>
        <w:rPr>
          <w:rStyle w:val="FootnoteReference"/>
        </w:rPr>
        <w:footnoteReference w:id="31"/>
      </w:r>
      <w:r>
        <w:t xml:space="preserve"> Two claims are in play in the definition of 1983, and neither entails the other: the locative thesis situates the normative conditions of criticisable validity claims in the pragmatic structure of communication; the epistemic thesis makes rational reconstruction the mode in which those conditions become known to philosophy. A method could reconstruct something not located in communication, and a normativity located in communication could in principle be reached otherwise than by reconstruction, by a speculative account of language as the medium of spirit or by a phenomenological intuition of the essence of address, routes whose declining is a decision of the programme and not a consequence of where it locates normativity. The separability shows in the shape objections take: an objector who shows that reconstruction cannot deliver what it promises has not shown that normativity is elsewhere than in the pragmatic structure of communication, but that knowledge of where it lies remains corrigible; an objector who shows that normativity is elsewhere has not impugned reconstruction as a method. Habermas holds both theses.</w:t>
      </w:r>
      <w:r>
        <w:rPr>
          <w:rStyle w:val="FootnoteReference"/>
        </w:rPr>
        <w:footnoteReference w:id="32"/>
      </w:r>
      <w:r>
        <w:t xml:space="preserve"> The attestation is unequal, the locative thesis receiving no separate defence in the volume of 1983; a commitment determining what counts as an instance of the enquiry cannot be derived from an instance of it, and the locative thesis is accordingly attested in the practice of reconstruction rather </w:t>
      </w:r>
      <w:r>
        <w:lastRenderedPageBreak/>
        <w:t>than argued from a result, a method which reconstructs competences exercised between speakers exhibiting the location of validity in what it takes as its data without thereby establishing it.</w:t>
      </w:r>
    </w:p>
    <w:p w14:paraId="6F7EB68C" w14:textId="77777777" w:rsidR="0095720F" w:rsidRDefault="00000000">
      <w:pPr>
        <w:pStyle w:val="BodyText"/>
      </w:pPr>
      <w:r>
        <w:t xml:space="preserve">The know-how which reconstruction takes as its object and the knowledge which reconstruction produces stand at two levels, and the distinction between them governs the reading conducted throughout this chapter. At the first level stands the intuitive rule-knowledge of the competent speaker, a knowing-how, exercised in the production and assessment of utterances, and directed </w:t>
      </w:r>
      <w:r>
        <w:rPr>
          <w:i/>
          <w:iCs/>
        </w:rPr>
        <w:t>intentione recta</w:t>
      </w:r>
      <w:r>
        <w:t xml:space="preserve"> upon the world spoken of, upon the object and not upon the rule by which the speaking proceeds. At the second level stands the theorist’s articulation of those rules, a knowing-that, propositional, corrigible, and directed upon the rules themselves; the interpreter who moves to the second level turns from the surface of what is said towards the rule governing it, so that, in Cooke’s rendering of Habermas’s sentence, ‘she no longer looks through it </w:t>
      </w:r>
      <w:r>
        <w:rPr>
          <w:i/>
          <w:iCs/>
        </w:rPr>
        <w:t>intentione recta</w:t>
      </w:r>
      <w:r>
        <w:t xml:space="preserve"> to the world’.</w:t>
      </w:r>
      <w:r>
        <w:rPr>
          <w:rStyle w:val="FootnoteReference"/>
        </w:rPr>
        <w:footnoteReference w:id="33"/>
      </w:r>
      <w:r>
        <w:t xml:space="preserve"> The relation between the levels is not that of a whole to a summary: what the theorist articulates is no compressed version of what the speaker knows, since the speaker does not know it in a form of which the articulation could be a compression, and what the speaker exercises is no implicit version of what the theorist states, since an implicit proposition is still a proposition and the exercise is not. The relation is one of answerability in one direction only, the articulation answering to the exercise and correctable by it, the exercise answering to nothing the articulation says, since a rendering of a rule is no addition to the competence which follows it. Collapsing the two levels is destructive in either direction: collapse the first into the second, and the speaker’s acknowledgement becomes one more corrigible theory competing with the theorist’s, so that the maieutic confirmation §2.1.2 examines becomes a poll of amateur theorists; collapse the second into the first, and the theorist’s articulation inherits the speaker’s immediacy, in which case the transfer forbidden at §2.2.2 is licensed at the outset. The distinction is the condition under which the argument of this chapter can be conducted at all. A consequence for method follows, and the note states it: where a theorist’s modal commitments are what one wants to know, and where he has stated them in prose, the </w:t>
      </w:r>
      <w:r>
        <w:lastRenderedPageBreak/>
        <w:t>wording is the evidence and there is no other, so that a reading conducted upon the texts is the philosophical work itself and not a preliminary to it.</w:t>
      </w:r>
      <w:r>
        <w:rPr>
          <w:rStyle w:val="FootnoteReference"/>
        </w:rPr>
        <w:footnoteReference w:id="34"/>
      </w:r>
    </w:p>
    <w:p w14:paraId="6B2E07FA" w14:textId="77777777" w:rsidR="0095720F" w:rsidRDefault="00000000">
      <w:pPr>
        <w:pStyle w:val="BodyText"/>
      </w:pPr>
      <w:r>
        <w:t xml:space="preserve">Apel accepts the description of reconstructive science and denies the epistemic settlement attached to it. He divides the reconstructive process in two, an </w:t>
      </w:r>
      <w:r>
        <w:rPr>
          <w:i/>
          <w:iCs/>
        </w:rPr>
        <w:t>a priori</w:t>
      </w:r>
      <w:r>
        <w:t xml:space="preserve"> ascertainment of features of discursive rationality, taken to be ‘normative conditions of the possibility of the empirical-historical reconstruction of human competencies in the social sciences’, and that reconstruction, and he places the self-accountability he postulates among what makes the reconstructive sciences possible and not among what they could establish, an exemption stated in his own words: the self-accountability of discursive rationality ‘does not belong, I consider, to the possible empirical results of the reconstructive sciences but to the conditions of their possibility’.</w:t>
      </w:r>
      <w:r>
        <w:rPr>
          <w:rStyle w:val="FootnoteReference"/>
        </w:rPr>
        <w:footnoteReference w:id="35"/>
      </w:r>
      <w:r>
        <w:t xml:space="preserve"> The division is Apel’s, and whether it can be sustained is asked at §2.2.3 and answered in Chapter Three; it fixes the disagreement, since both parties describe one procedure and divide over whether the reflection which states its conditions falls within it at all.</w:t>
      </w:r>
    </w:p>
    <w:p w14:paraId="5FF4EA0B" w14:textId="77777777" w:rsidR="0095720F" w:rsidRDefault="00000000">
      <w:pPr>
        <w:pStyle w:val="Heading3"/>
      </w:pPr>
      <w:bookmarkStart w:id="4" w:name="X408cb57b26d25b0c5ae2a03ed785b5aa6a73468"/>
      <w:bookmarkEnd w:id="3"/>
      <w:r>
        <w:t>§2.1.2 · Hypothetical status, the two loci of corrigibility, and the silence of reconstruction</w:t>
      </w:r>
    </w:p>
    <w:p w14:paraId="51C39B4F" w14:textId="77777777" w:rsidR="0095720F" w:rsidRDefault="00000000">
      <w:pPr>
        <w:pStyle w:val="FirstParagraph"/>
      </w:pPr>
      <w:r>
        <w:t xml:space="preserve">Habermas states the proviso in enumerating the steps his justification of the universalisation principle requires, the enumeration belonging to Chapter One §1.4.3. The method’s concern is the second step, the identification of pragmatic presuppositions of argumentation which are inescapable and normative in content, which ‘relies upon a maieutic method’ discharging three offices: to make a sceptic ‘aware of presuppositions he knows intuitively’; ‘to cast this pretheoretical knowledge in an </w:t>
      </w:r>
      <w:r>
        <w:lastRenderedPageBreak/>
        <w:t>explicit form that will enable the skeptic to recognize his intuitions in this description’; and ‘to corroborate, through counterexamples, the proponent’s assertion that there are no alternatives to the presuppositions he has made explicit’, labelled (2a), (2b) and (2c).</w:t>
      </w:r>
      <w:r>
        <w:rPr>
          <w:rStyle w:val="FootnoteReference"/>
        </w:rPr>
        <w:footnoteReference w:id="36"/>
      </w:r>
      <w:r>
        <w:t xml:space="preserve"> Of the last two he says that they ‘contain unmistakable hypothetical elements’: the description is ‘a hypothetical reconstruction that can provide only a more or less correct rendering of intuitions’, and ‘it needs maieutic confirmation’, so that it is a proposal about the competence and not a transcript, its correctness qualified in advance as approximate, its warrant lying in elicited assent; and, hinged to the third by ‘Similarly’, the assertion that no alternative to a given presupposition exists, ‘that it is one of the inescapable (i.e., necessary and general) presuppositions, has the status of an assumption’, which, ‘like a lawlike hypothesis’ — </w:t>
      </w:r>
      <w:r>
        <w:rPr>
          <w:i/>
          <w:iCs/>
        </w:rPr>
        <w:t>Gesetzeshypothese</w:t>
      </w:r>
      <w:r>
        <w:t xml:space="preserve"> — ‘must be checked against individual cases’.</w:t>
      </w:r>
      <w:r>
        <w:rPr>
          <w:rStyle w:val="FootnoteReference"/>
        </w:rPr>
        <w:footnoteReference w:id="37"/>
      </w:r>
      <w:r>
        <w:t xml:space="preserve"> The parenthesis is conceded first: Habermas glosses inescapability as comprising necessity and generality, so that what falls under the status of an assumption is a conjunction with necessity as a conjunct. What licenses a narrower result is the test he prescribes. A lawlike hypothesis is checked against individual cases, and the individual cases of a presupposition of argumentation are argumentations; such a check can establish that no argumentation has been found lacking the presupposition, not that none could have lacked it, since a presupposition holding of every arguer as a matter of fact would survive it as intact as one no arguer could lack. The necessity conjunct is thus hypothesised without being testable by the procedure assigned to it, and a cognate admission stands in 1976: ‘Every reconstruction of a basic conceptual system of possible experience has to be regarded as a hypothetical proposal that can be tested against new experiences’.</w:t>
      </w:r>
      <w:r>
        <w:rPr>
          <w:rStyle w:val="FootnoteReference"/>
        </w:rPr>
        <w:footnoteReference w:id="38"/>
      </w:r>
      <w:r>
        <w:t xml:space="preserve"> The proviso of 1983 is stated in a single passage:</w:t>
      </w:r>
    </w:p>
    <w:p w14:paraId="582A1471" w14:textId="77777777" w:rsidR="0095720F" w:rsidRDefault="00000000">
      <w:pPr>
        <w:pStyle w:val="BlockText"/>
      </w:pPr>
      <w:r>
        <w:t xml:space="preserve">‘To be sure, the intuitive knowledge of rules that subjects capable of speech and action must use if they are to be able to participate in argumentation is in a certain sense not </w:t>
      </w:r>
      <w:r>
        <w:lastRenderedPageBreak/>
        <w:t>fallible. But this is not true of our reconstruction of this pretheoretical knowledge and the claim to universality that we connect with it. The certainty with which we put our knowledge of rules into practice does not extend to the truth of proposed reconstructions of presuppositions hypothesized to be general’.</w:t>
      </w:r>
      <w:r>
        <w:rPr>
          <w:rStyle w:val="FootnoteReference"/>
        </w:rPr>
        <w:footnoteReference w:id="39"/>
      </w:r>
    </w:p>
    <w:p w14:paraId="615F1EB9" w14:textId="77777777" w:rsidR="0095720F" w:rsidRDefault="00000000">
      <w:pPr>
        <w:pStyle w:val="FirstParagraph"/>
      </w:pPr>
      <w:r>
        <w:t xml:space="preserve">The concessive marks the non-fallibility as granted, not argued; the hedge withholds the sense in which it holds; and the concession is then withheld from two constructions, ‘our reconstruction of this pretheoretical knowledge’ and ‘the claim to universality that we connect with it’, which answer, on the reading the sentences’ own subject-matter invites, to substeps (2b) and (2c) one apiece. What is added here is the consequence. The German verb of the last sentence is </w:t>
      </w:r>
      <w:r>
        <w:rPr>
          <w:i/>
          <w:iCs/>
        </w:rPr>
        <w:t>sich übertragen</w:t>
      </w:r>
      <w:r>
        <w:t>: the certainty of practice ‘überträgt sich nicht auf die Wahrheit von Rekonstruktionsvorschlägen für hypothetisch allgemeine Präsuppositionen’, does not transfer itself to the truth of reconstruction proposals for presuppositions hypothesised to be general. The passage of a practice’s certainty to the truth of a reconstruction proposal is named a transfer, and denied, by Habermas himself, his reason being that a reconstruction is put up for discussion as a logician’s description is;</w:t>
      </w:r>
      <w:r>
        <w:rPr>
          <w:rStyle w:val="FootnoteReference"/>
        </w:rPr>
        <w:footnoteReference w:id="40"/>
      </w:r>
      <w:r>
        <w:t xml:space="preserve"> the transfer §2.2.2 forbids is of modal standing, and it is closed on each of the two routes reconstruction commands, description and self-application (§2.2.3), the sentence of 1983 being its nearest textual analogue and not its warrant.</w:t>
      </w:r>
    </w:p>
    <w:p w14:paraId="192A79B9" w14:textId="77777777" w:rsidR="0095720F" w:rsidRDefault="00000000">
      <w:pPr>
        <w:pStyle w:val="BodyText"/>
      </w:pPr>
      <w:r>
        <w:t xml:space="preserve">Description and generality-claim are advanced, warranted and tested separately, and separately liable to fail; both are propositional. Substep (2b) stands or falls by a speaker’s recognition of the description offered him, a first-personal acknowledgement; (2c) by the search for a deviant case, a third-personal check upon a generalisation; a reconstruction could render correctly what competent speakers do while the claim that all speakers must do it remained unwarranted, and Habermas enumerates the failure-modes in the same terms, a false choice of examples, the obscuring and </w:t>
      </w:r>
      <w:r>
        <w:lastRenderedPageBreak/>
        <w:t>distorting of correct intuitions, the overgeneralising of individual cases.</w:t>
      </w:r>
      <w:r>
        <w:rPr>
          <w:rStyle w:val="FootnoteReference"/>
        </w:rPr>
        <w:footnoteReference w:id="41"/>
      </w:r>
      <w:r>
        <w:t xml:space="preserve"> Neither test reaches the modality of what is reconstructed. Maieutic recognition attests </w:t>
      </w:r>
      <w:r>
        <w:rPr>
          <w:i/>
          <w:iCs/>
        </w:rPr>
        <w:t>content</w:t>
      </w:r>
      <w:r>
        <w:t xml:space="preserve">: what a speaker acknowledges is which rule he was following, and his acknowledgement runs identically whether the ‘must’ he concedes is a necessity no experience could correct or an unavoidability for beings of a certain constitution. Corroboration by counterexample tests </w:t>
      </w:r>
      <w:r>
        <w:rPr>
          <w:i/>
          <w:iCs/>
        </w:rPr>
        <w:t>extension</w:t>
      </w:r>
      <w:r>
        <w:t>, and the two are not symmetrical even in success, a recognition secured being a positive result and a counterexample not found a refutation not yet obtained. Habermas holds that demonstrating performative contradictions ‘helps to identify the rules necessary for any argumentation game to work’, and that ‘the fact that there are no alternatives to these rules of argumentation is what is being proved; the rules themselves are not being justified’;</w:t>
      </w:r>
      <w:r>
        <w:rPr>
          <w:rStyle w:val="FootnoteReference"/>
        </w:rPr>
        <w:footnoteReference w:id="42"/>
      </w:r>
      <w:r>
        <w:t xml:space="preserve"> what the corroboration-test can deliver falls short of that claim, a contingent universal being as free of counterexamples among actual cases as a necessary one. Nor is the demonstration of performative self-contradiction a third test, since Habermas assigns it to the identification of the rules and not to their corroboration; whatever modal reach it carries is the reach of an exhibition, which convicts a denial and derives nothing, and the licence for it is sought at Chapter Three §3.3.1.</w:t>
      </w:r>
    </w:p>
    <w:p w14:paraId="0D8C71DF" w14:textId="77777777" w:rsidR="0095720F" w:rsidRDefault="00000000">
      <w:pPr>
        <w:pStyle w:val="BodyText"/>
      </w:pPr>
      <w:r>
        <w:t xml:space="preserve">Reconstruction is therefore silent at both tests, and silent by construction: each is directed upon content or extension, and the modality of what is enacted is neither. A counterfactual variation of the practice must be put to a speaker for acknowledgement or surveyed as instances, falling back into one of the two; that the method has no third resource is a claim made here about it, resting upon the demarcation of the data §2.1.3 gives. What would settle the question between a transcendental and a naturalistic reading must arrive from outside reconstruction, as a premise about modal standing the method neither furnishes nor certifies; the requirement is identified here and is not a finding of the programme under examination, and Pedersen registers the difficulty as an unclarity about how the reconstructive hypothesis is to be tested, without naming its source, the </w:t>
      </w:r>
      <w:r>
        <w:lastRenderedPageBreak/>
        <w:t>tests being not indeterminate in application but silent in subject-matter.</w:t>
      </w:r>
      <w:r>
        <w:rPr>
          <w:rStyle w:val="FootnoteReference"/>
        </w:rPr>
        <w:footnoteReference w:id="43"/>
      </w:r>
      <w:r>
        <w:t xml:space="preserve"> Nor does that silence license the inference that the enacted inescapability is itself in doubt; the objection which presses it, and its answer, stand under C3 below.</w:t>
      </w:r>
    </w:p>
    <w:p w14:paraId="5FF92C4F" w14:textId="77777777" w:rsidR="0095720F" w:rsidRDefault="00000000">
      <w:pPr>
        <w:pStyle w:val="Heading3"/>
      </w:pPr>
      <w:bookmarkStart w:id="5" w:name="Xf12eaa704da81dfd7e9f47d0dbdb11e1beaf03c"/>
      <w:bookmarkEnd w:id="4"/>
      <w:r>
        <w:t>§2.1.3 · The demarcation of data and the three exclusions</w:t>
      </w:r>
    </w:p>
    <w:p w14:paraId="7525CAA8" w14:textId="77777777" w:rsidR="0095720F" w:rsidRDefault="00000000">
      <w:pPr>
        <w:pStyle w:val="FirstParagraph"/>
      </w:pPr>
      <w:r>
        <w:t>The silence argument of §2.1.2 rests upon a demarcation of the data. What the reconstruction has to go upon is of two kinds: what competent speakers do, taken as instances, and what they acknowledge, on being asked, to be the rule they were following. The definition of 1983 names a second point of departure, the systematic knowledge handed down by culture, and the demarcation concerns tests and not points of departure: what a culture transmits in its logics and grammars supplies candidate reconstructions, and a candidate is confirmed or defeated by the same two tests as any other. The exhaustiveness claimed is of the tests the method possesses as Habermas describes it; that it is not furnished with a test of another kind is common ground between the programmes, Habermas assigning hypothetical status to every reconstruction and Apel placing the reflection he relies upon among the conditions of the reconstructive sciences and not among their results (§2.1.1). The first of three exclusions is of the sub-personal: what is reconstructed is not the grammatical competence isolated by generative linguistics, which a speaker exercises without being able, even in principle, to acknowledge its rules, and Habermas separates linguistic from communicative competence on this ground.</w:t>
      </w:r>
      <w:r>
        <w:rPr>
          <w:rStyle w:val="FootnoteReference"/>
        </w:rPr>
        <w:footnoteReference w:id="44"/>
      </w:r>
      <w:r>
        <w:t xml:space="preserve"> Apel presses the most exacting objection to that exclusion, from within the Chomskyan material it invokes: the rules of grammar are ‘nevertheless internalized as a component of social norms, i.e. in the sense of a normative consciousness’, every competent native speaker ‘can make explicit his ability to follow rules correctly, to a certain extent’, and Chomsky is </w:t>
      </w:r>
      <w:r>
        <w:lastRenderedPageBreak/>
        <w:t>right to refuse confinement to ‘Ryle’s disjunction between “knowing how” and “knowing that”’.</w:t>
      </w:r>
      <w:r>
        <w:rPr>
          <w:rStyle w:val="FootnoteReference"/>
        </w:rPr>
        <w:footnoteReference w:id="45"/>
      </w:r>
      <w:r>
        <w:t xml:space="preserve"> The exclusion therefore requires an argument, and the argument is one of object before it is one of criterion: what formal pragmatics reconstructs is the competence to reach understanding, and a rule of grammar belongs to that competence only where its following is answerable to a speaker’s acknowledgement, what is demanded at that margin being not that a speaker state a rule but that he acknowledge as his own the rule offered him. Apel’s qualification ‘to a certain extent’ concedes the criterion and marks its threshold; granted in full, it shows some grammatical rules to lie within reach of acknowledgement, which places them under the reconstruction of another competence and supplies no case of a rule of communication followed while no acknowledgement is available.</w:t>
      </w:r>
    </w:p>
    <w:p w14:paraId="45DC87D1" w14:textId="77777777" w:rsidR="0095720F" w:rsidRDefault="00000000">
      <w:pPr>
        <w:pStyle w:val="BodyText"/>
      </w:pPr>
      <w:r>
        <w:t>Naturalist pressure arrives at the second source of data. Speakers acknowledge rules they do not follow and follow rules they cannot acknowledge, and a programme resting on acknowledgement would be one about what speakers believe; Rorty’s case against the universality of the practices Habermas reconstructs runs here, treating such self-descriptions as a particular culture’s contingent vocabulary.</w:t>
      </w:r>
      <w:r>
        <w:rPr>
          <w:rStyle w:val="FootnoteReference"/>
        </w:rPr>
        <w:footnoteReference w:id="46"/>
      </w:r>
      <w:r>
        <w:t xml:space="preserve"> The objection would be decisive if acknowledgement were asked to certify the generality of a rule; it is not, being criterial for the description and silent upon its extension, since what is asked of a speaker is not a description of his practice, which he may get wrong, but an acknowledgement of one put to him. The second exclusion is of the anthropological. The genealogical objection, that a historically particular argumentative culture has been mistaken for a species-universal, misidentifies the level at which invariance is asserted, the structure of positions occupiable by anyone who argues and not the incidence of arguing; a sharper form reaches past that reply, since a speaker can be asked what rule he was following, and his acknowledgement count, only where reason-giving already has authority, so that the evidential base is internal to the argumentative culture whose universality is at issue. Availability of the data only from within a reason-giving culture shows that the investigation is situated, not that its object is: that arithmetical competence can be studied only among calculators shows something about the enquiry and nothing about number, and whether an argumentative practice is like number in that respect is what the genealogist must argue. </w:t>
      </w:r>
      <w:r>
        <w:lastRenderedPageBreak/>
        <w:t>What the genealogist would need, and the objection does not supply, is the further claim that a situated investigation can reach only situated objects, a claim which, advanced in argument, claims for itself the unrestricted reach it denies to situated investigation as such, and whose standing falls under the analysis of denial §2.2.2 gives; the strong forms of the charge are met at §2.1.5. What the exclusion leaves standing is a claim indexed to a practice, and §2.1.4 shows the indexing to be Habermas’s own throughout the dated series. The third exclusion is of the statistical, the one most readily taken for evasion: the complaint that the idealising presuppositions are rarely satisfied measures a claim indexed to a practice against a criterion it never answered to, since the presuppositions are made rather than met, the object is a competence and not a regularity, the data are acknowledgements and instances and not measurements, and the check against cases is a search for a defeater and not an accumulation of support. Each exclusion removes a kind of datum from the evidential base; what the base leaves is a relation between positions, and that it leaves no other is a claim about the base and not about the world. The normativity so bounded is located rather than derived; the modality under which it binds is not yet fixed. Do the presuppositions constrain a speaker as what he must do to be arguing at all, as a condition holding of any rational being in the strict Kantian sense, or as what beings of a certain constitution cannot in fact avoid?</w:t>
      </w:r>
    </w:p>
    <w:p w14:paraId="38532F46" w14:textId="77777777" w:rsidR="0095720F" w:rsidRDefault="00000000">
      <w:pPr>
        <w:pStyle w:val="Heading3"/>
      </w:pPr>
      <w:bookmarkStart w:id="6" w:name="Xa1d315bb159b614b3992f537387dfacc36dd115"/>
      <w:bookmarkEnd w:id="5"/>
      <w:r>
        <w:t>§2.1.4 · Weak transcendentalism: the dated series and the reservation grid</w:t>
      </w:r>
    </w:p>
    <w:p w14:paraId="6A495BCE" w14:textId="77777777" w:rsidR="0095720F" w:rsidRDefault="00000000">
      <w:pPr>
        <w:pStyle w:val="FirstParagraph"/>
      </w:pPr>
      <w:r>
        <w:t>Habermas answers that question with a qualified predicate, and the qualification governs three things at once: the modality, the presuppositions being necessary relatively to a practice and not absolutely; the scope, the sociocultural forms of life so far known offering no functional equivalent for the practice; and the epistemic standing of the theorist’s specification, a fallible reconstruction certified by no result of the enquiry. The first two are stated together in 1991 and again in 2020, the third is drawn from the pages examined at §2.1.2, and taking the qualification to bear upon the modality alone misplaces it, since relativity to a practice is not a diminished grip upon the arguer within that practice.</w:t>
      </w:r>
      <w:r>
        <w:rPr>
          <w:rStyle w:val="FootnoteReference"/>
        </w:rPr>
        <w:footnoteReference w:id="47"/>
      </w:r>
      <w:r>
        <w:t xml:space="preserve"> Dating the occurrences shows the predicate in continuous service. In 1976 Habermas defines the weakened conception, ‘as long as the assertion of its necessity and universality has not been refuted, we term transcendental the conceptual structure recurring in all coherent experiences’, gives two reasons for hesitating to adopt the usage, and finds the expression unsuited </w:t>
      </w:r>
      <w:r>
        <w:lastRenderedPageBreak/>
        <w:t>to characterising universal pragmatics without misunderstanding: what is defined is the predicate, what is declined is the word. In 1981 it returns as a concession about wording, Habermas preferring to ‘make allowance for weak transcendental connotations’, and the same volume surrenders the confidence that a rigorous transcendental-pragmatic programme claiming ultimate grounds can be carried out, offering, in place of a transcendental deduction, a check of the reconstructions against speakers’ intuitions across the broadest sociocultural spectrum;</w:t>
      </w:r>
      <w:r>
        <w:rPr>
          <w:rStyle w:val="FootnoteReference"/>
        </w:rPr>
        <w:footnoteReference w:id="48"/>
      </w:r>
      <w:r>
        <w:t xml:space="preserve"> in 1983 the demonstration of performative contradictions is itself called ‘this weak form of transcendental analysis’, and in 1973, replying to Schulz in the essay on theories of truth, Habermas had ascribed to the rule system of universal pragmatics a quasi-transcendental character in his own voice, in the sentence Chapter One §1.4.1 displays. By 1988 the predicate is attached to a necessity, the structural constraints of a shared language impelling actors ‘in the sense of a weak transcendental necessity’; in 1991 it marks what that necessity does not yield, the communicative agent being subject to a ‘“must” in the sense of weak transcendental necessitation, without encountering the prescriptive “must” of a rule of action’, a formulation which stands again in 1992, where Rehg renders </w:t>
      </w:r>
      <w:r>
        <w:rPr>
          <w:i/>
          <w:iCs/>
        </w:rPr>
        <w:t>Nötigung</w:t>
      </w:r>
      <w:r>
        <w:t xml:space="preserve"> ‘necessity’.</w:t>
      </w:r>
      <w:r>
        <w:rPr>
          <w:rStyle w:val="FootnoteReference"/>
        </w:rPr>
        <w:footnoteReference w:id="49"/>
      </w:r>
      <w:r>
        <w:t xml:space="preserve"> The statement of 1991 of what such arguments achieve is the most explicit: lacking an equivalent for Kant’s transcendental deduction, ‘we are left with weak transcendental arguments in Strawson’s sense’, which ‘can establish only the factual inescapability’ of the presuppositions of a non-replaceable discursive order, and two lines below, ‘Because we do not in fact have a functional equivalent for rational discourses, we are left with no choice: we unavoidably accept the pragmatic presuppositions of this demanding form of communication because there is no alternative.’ Cronin’s ‘factual inescapability’ renders </w:t>
      </w:r>
      <w:r>
        <w:rPr>
          <w:i/>
          <w:iCs/>
        </w:rPr>
        <w:t>faktische Nichtverwerfbarkeit</w:t>
      </w:r>
      <w:r>
        <w:t xml:space="preserve">, non-rejectability, and a presupposition which cannot be rejected is not thereby one which could not have been otherwise; what an argument of Strawson’s kind can establish has been contested since Stroud, whose objection is entered and </w:t>
      </w:r>
      <w:r>
        <w:lastRenderedPageBreak/>
        <w:t>confined under C2.</w:t>
      </w:r>
      <w:r>
        <w:rPr>
          <w:rStyle w:val="FootnoteReference"/>
        </w:rPr>
        <w:footnoteReference w:id="50"/>
      </w:r>
      <w:r>
        <w:t xml:space="preserve"> The vocabulary of 1999 states the restriction twice, the concept of the transcendental itself changing with detranscendentalisation and the ‘epistemisch unhintergehbare Zusammenhang’ of truth and justification being not to be stylised into a conceptually indissoluble one; the essay of 2011 declares all post-metaphysical approaches ‘“freestanding”, even those which employ weak transcendental arguments’; and in 2020 the modality of 1991 is restated as the absence of a substitute, the discursive examination of criticisable validity claims being ‘only “ineluctable” or “unavoidable” in the weaker sense that there is no functional equivalent for this practice’.</w:t>
      </w:r>
      <w:r>
        <w:rPr>
          <w:rStyle w:val="FootnoteReference"/>
        </w:rPr>
        <w:footnoteReference w:id="51"/>
      </w:r>
      <w:r>
        <w:t xml:space="preserve"> A counter-instance stands on the page following the Strawson passage of 1991, where ‘the weak transcendental proof, if we can indeed carry it out as I assume in agreement with Apel, suffices to ground the universalistic validity claim’ of a procedurally conceived moral principle, which might be ‘deduced from the normative content of factually inescapable presuppositions’;</w:t>
      </w:r>
      <w:r>
        <w:rPr>
          <w:rStyle w:val="FootnoteReference"/>
        </w:rPr>
        <w:footnoteReference w:id="52"/>
      </w:r>
      <w:r>
        <w:t xml:space="preserve"> the constancy claimed for the predicate and its restrictions is withheld from that sufficiency claim, whose adjudication against the statement of 2020 stands at §2.2.3.</w:t>
      </w:r>
    </w:p>
    <w:p w14:paraId="1B53E3B3" w14:textId="77777777" w:rsidR="0095720F" w:rsidRDefault="00000000">
      <w:pPr>
        <w:pStyle w:val="BodyText"/>
      </w:pPr>
      <w:r>
        <w:t xml:space="preserve">What the predicate restricts may be counted, and the count is five. Inescapability is borne by a genitive in the sentence of 1983 which introduces the arguments, ‘aimed at demonstrating that the presuppositions of relevant practices are inescapable’, the presuppositions being individuated from the outset as the presuppositions of a practice, whose boundary the clause of 1983 quoted at Chapter One §1.4.3 marks from outside; it is restricted a second time to discourses ‘so general that it is impossible to replace them by functional equivalents’; a third time in the passage which names the </w:t>
      </w:r>
      <w:r>
        <w:rPr>
          <w:i/>
          <w:iCs/>
        </w:rPr>
        <w:t>Faktum der Vernunft</w:t>
      </w:r>
      <w:r>
        <w:t xml:space="preserve">, where the conditions are ‘inescapable </w:t>
      </w:r>
      <w:r>
        <w:rPr>
          <w:i/>
          <w:iCs/>
        </w:rPr>
        <w:t>for us</w:t>
      </w:r>
      <w:r>
        <w:t xml:space="preserve">’; a fourth time temporally, in the </w:t>
      </w:r>
      <w:r>
        <w:lastRenderedPageBreak/>
        <w:t xml:space="preserve">characterisation of weak indispensability arguments as such, where what is claimed of a presupposition is not that it is ‘unrevisable or necessary, but that it is — for the time being — unavoidable’; and a fifth time where the demonstration is most exposed, what the weak transcendental argument establishes being ‘indeed conditional on the constancy of this life-form’. Indexed to a practice, to a practice without substitute, to a form of life, to a time, and to the constancy of that form of life, the predicate is executed without exception across the dated series, the one sentence of 1991 which stands against it being adjudicated at §2.2.3; and a presupposition unavoidable for the time being is not a </w:t>
      </w:r>
      <w:r>
        <w:rPr>
          <w:i/>
          <w:iCs/>
        </w:rPr>
        <w:t>Faktum</w:t>
      </w:r>
      <w:r>
        <w:t xml:space="preserve"> in Kant’s sense, which is indexed to no time. What the conjunction of the commitments generates (§2.2.3) is, in Habermas’s own predicate, what this indexing restricts.</w:t>
      </w:r>
      <w:r>
        <w:rPr>
          <w:rStyle w:val="FootnoteReference"/>
        </w:rPr>
        <w:footnoteReference w:id="53"/>
      </w:r>
    </w:p>
    <w:p w14:paraId="7C531926" w14:textId="77777777" w:rsidR="0095720F" w:rsidRDefault="00000000">
      <w:pPr>
        <w:pStyle w:val="BodyText"/>
      </w:pPr>
      <w:r>
        <w:t xml:space="preserve">Because modal status is to be adjudicated, the modal vocabulary is reserved. </w:t>
      </w:r>
      <w:r>
        <w:rPr>
          <w:i/>
          <w:iCs/>
        </w:rPr>
        <w:t>Unvermeidlich</w:t>
      </w:r>
      <w:r>
        <w:t xml:space="preserve">, unavoidable, is reserved to Habermas’s weaker modality; </w:t>
      </w:r>
      <w:r>
        <w:rPr>
          <w:i/>
          <w:iCs/>
        </w:rPr>
        <w:t>unhintergehbar</w:t>
      </w:r>
      <w:r>
        <w:t xml:space="preserve"> and its cognates to the contested apodictic thesis of Apel and Kuhlmann, and are not used here of Habermas’s position. The reservation is a rule of usage, and what it reserves is the unqualified predicate and not the word, since Habermas writes the word, with the qualifier </w:t>
      </w:r>
      <w:r>
        <w:rPr>
          <w:i/>
          <w:iCs/>
        </w:rPr>
        <w:t>epistemisch</w:t>
      </w:r>
      <w:r>
        <w:t>, in the sentence of 1999 quoted above, and his own formula makes the rule necessary: transcendental analysis, after the pragmatic deflation of the Kantian approach, seeks ‘presumptively universal, but only de facto inescapable, conditions’, every qualifier of which is a restriction. The claim on which the rule rests, that Habermas’s own predicate is everywhere the restricted one, is falsifiable, and the two candidates the note examines, of 1999 and 2019, each carry the first restriction and each yield a reconstruction, so that neither falsifies the rule.</w:t>
      </w:r>
      <w:r>
        <w:rPr>
          <w:rStyle w:val="FootnoteReference"/>
        </w:rPr>
        <w:footnoteReference w:id="54"/>
      </w:r>
      <w:r>
        <w:t xml:space="preserve"> A second pair requires the same discipline, which the reception has not given: ‘quasi-</w:t>
      </w:r>
      <w:r>
        <w:lastRenderedPageBreak/>
        <w:t xml:space="preserve">transcendental’ and ‘weakly transcendental’ are not synonyms. The one occurrence of ‘quasi-transcendental necessity’ in Habermas’s own voice in the discourse-ethics volume renders </w:t>
      </w:r>
      <w:r>
        <w:rPr>
          <w:i/>
          <w:iCs/>
        </w:rPr>
        <w:t>eine gleichsam transzendentale Nötigung</w:t>
      </w:r>
      <w:r>
        <w:t xml:space="preserve">, an as-it-were transcendental necessitation, a hedge in the German having become a term of art in the English; where the word stands unhedged in his own voice it characterises a principle or an approach rather than a modality, Davidson’s principle of charity having ‘a quasi-transcendental status’ and Peirce’s indefinite community supplying ‘the quasi-transcendental enabling conditions for criticism of claims to truth’, and it is absent from </w:t>
      </w:r>
      <w:r>
        <w:rPr>
          <w:i/>
          <w:iCs/>
        </w:rPr>
        <w:t>Between Facts and Norms</w:t>
      </w:r>
      <w:r>
        <w:t>.</w:t>
      </w:r>
      <w:r>
        <w:rPr>
          <w:rStyle w:val="FootnoteReference"/>
        </w:rPr>
        <w:footnoteReference w:id="55"/>
      </w:r>
      <w:r>
        <w:t xml:space="preserve"> Apel uses the word in both directions, approvingly of Peirce and of the preunderstanding of the lifeworld, pejoratively of the </w:t>
      </w:r>
      <w:r>
        <w:rPr>
          <w:i/>
          <w:iCs/>
        </w:rPr>
        <w:t>Tractatus</w:t>
      </w:r>
      <w:r>
        <w:t>;</w:t>
      </w:r>
      <w:r>
        <w:rPr>
          <w:rStyle w:val="FootnoteReference"/>
        </w:rPr>
        <w:footnoteReference w:id="56"/>
      </w:r>
      <w:r>
        <w:t xml:space="preserve"> at none of these occurrences, in either author, does the word grade a modality. </w:t>
      </w:r>
      <w:r>
        <w:rPr>
          <w:i/>
          <w:iCs/>
        </w:rPr>
        <w:t>Weakly transcendental</w:t>
      </w:r>
      <w:r>
        <w:t xml:space="preserve"> is accordingly written wherever the modality is predicated, while </w:t>
      </w:r>
      <w:r>
        <w:rPr>
          <w:i/>
          <w:iCs/>
        </w:rPr>
        <w:t>weak transcendental argument</w:t>
      </w:r>
      <w:r>
        <w:t xml:space="preserve"> is retained as Habermas’s own name for the argument-type of Strawson’s kind, and the one sentence of 2020 in which the prefix bears argumentative weight is read at §2.2.3. What Kuhlmann states, and Apel presses with him in the passage Habermas displays in order to refuse it, is not a higher degree of certainty within the reconstructive mode but a claim that something falls outside it, placed by Apel among the conditions of the reconstructive sciences (§2.1.1), and taken up at Chapter Three §3.2.3.</w:t>
      </w:r>
      <w:r>
        <w:rPr>
          <w:rStyle w:val="FootnoteReference"/>
        </w:rPr>
        <w:footnoteReference w:id="57"/>
      </w:r>
      <w:r>
        <w:t xml:space="preserve"> The </w:t>
      </w:r>
      <w:r>
        <w:lastRenderedPageBreak/>
        <w:t xml:space="preserve">modality so fixed is one term of a deficit not yet derived, designated here in anticipation the </w:t>
      </w:r>
      <w:r>
        <w:rPr>
          <w:i/>
          <w:iCs/>
        </w:rPr>
        <w:t>Begründungsdefizit</w:t>
      </w:r>
      <w:r>
        <w:t>, the justificatory deficit; the word is Habermas’s, used at MkH 86 of the point at which Tugendhat’s chain of argument breaks off, and what is introduced here is its application to the second of the intervals §2.2.3 reaches.</w:t>
      </w:r>
    </w:p>
    <w:p w14:paraId="1AF8BFD1" w14:textId="77777777" w:rsidR="0095720F" w:rsidRDefault="00000000">
      <w:pPr>
        <w:pStyle w:val="Heading3"/>
      </w:pPr>
      <w:bookmarkStart w:id="7" w:name="X71d9dfb711d53926482d3fc4d53f2dbd616bb86"/>
      <w:bookmarkEnd w:id="6"/>
      <w:r>
        <w:t>§2.1.5 · Mode and theory, the three traditions, and the charge of provincialism</w:t>
      </w:r>
    </w:p>
    <w:p w14:paraId="53E375E3" w14:textId="77777777" w:rsidR="0095720F" w:rsidRDefault="00000000">
      <w:pPr>
        <w:pStyle w:val="FirstParagraph"/>
      </w:pPr>
      <w:r>
        <w:t>The procedure of universal pragmatics is characterised by Habermas in 1976 as rational reconstruction, the methodological attitude which distinguishes the reconstructive from the empirical-analytic sciences, and formal-pragmatic analysis is described in 1983 as a rational reconstruction of the know-how of competent subjects (§2.1.1).</w:t>
      </w:r>
      <w:r>
        <w:rPr>
          <w:rStyle w:val="FootnoteReference"/>
        </w:rPr>
        <w:footnoteReference w:id="58"/>
      </w:r>
      <w:r>
        <w:t xml:space="preserve"> The characterisation settles the relation between the theory and the mode of enquiry in which it is conducted, and the relation is not that of a species to its genus but that of a body of results to the procedure by which they are reached: whatever formal pragmatics asserts about the general structures of understanding-oriented utterance is asserted as a hypothesis corroborated by recognition and by the search for a counterexample, and carries the grade those tests confer. The bearing of this upon modality is stated in both directions. From the competence to its description nothing modal passes, since the inescapability with which a speaker enacts a presupposition is a standing of the enactment, while the description is a proposition put up for discussion, and corrigibility is a property of the proposition as such; from the description to the competence nothing passes either, the corrigibility of the account licensing no inference to the corrigibility of what is enacted, the inference from a corrigible access to a corrigible object being the misreading C3 excludes. A crossing in either direction would require a further premise relating the standing of an enactment to the standing of the proposition which states it, and §2.2.2 argues, from the behaviour of denial, that the two belong to different kinds, so that the premise is unavailable to the programme on its own terms. Whether an access of another kind can cross where the tests cannot is Apel’s claim, strict reflection, localised outside reconstructive science on his own avowal and examined at Chapter Three §3.2. Two consequences follow for the </w:t>
      </w:r>
      <w:r>
        <w:lastRenderedPageBreak/>
        <w:t>commitments stated below: C1 and C2 are commitments of the mode, fixing its relation to its object and the standpoint from which it is conducted, and C3 is a commitment about the grade of its results; formal pragmatics holds all three, since it is conducted under them, and establishes none, since no result of an enquiry can establish what determines whether it is a result of that enquiry. The deficit whose two intervals §2.2.3 names is accordingly, in its first interval, a deficit of the mode and not of the theory’s content, a revised account of validity claims, being itself a reconstruction answerable to the same tests, carrying the silence with it; the second interval, from the proposition to the bindingness of a norm, is reached from the theory’s content and not from the mode.</w:t>
      </w:r>
    </w:p>
    <w:p w14:paraId="582E71CF" w14:textId="77777777" w:rsidR="0095720F" w:rsidRDefault="00000000">
      <w:pPr>
        <w:pStyle w:val="BodyText"/>
      </w:pPr>
      <w:r>
        <w:t>The programme is assembled from three traditions, each of whose monological or empiricist premises it subverts: Peirce’s conception of inquiry, through Apel’s appropriation (Chapter Three §3.2.4); Chomsky’s reconstruction of an intuitive rule-consciousness (§2.1.3); and the developmental psychology of Piaget and Kohlberg, which supplies not the foundation of the reconstruction but its indirect corroboration.</w:t>
      </w:r>
      <w:r>
        <w:rPr>
          <w:rStyle w:val="FootnoteReference"/>
        </w:rPr>
        <w:footnoteReference w:id="59"/>
      </w:r>
      <w:r>
        <w:t xml:space="preserve"> The last exposes the programme to a charge of provincialism, which has a weak form, met here, and two strong forms, met elsewhere.</w:t>
      </w:r>
      <w:r>
        <w:rPr>
          <w:rStyle w:val="FootnoteReference"/>
        </w:rPr>
        <w:footnoteReference w:id="60"/>
      </w:r>
      <w:r>
        <w:t xml:space="preserve"> Weakly, the objection is evidential: Piaget’s and Kohlberg’s schemes were built upon Western subjects and culminate in a modern post-conventional morality, so that the corroboration is drawn from the culture whose self-understanding it is enlisted to corroborate; in its most general form the charge is Habermas’s own, entered against his programme, restrictive specifications of rationality being only proposals for definitions or descriptions of empirically widespread discursive behaviour, neither of which confirms ‘the appropriateness of the reflexive self-understanding’ of a way of thinking as a whole.</w:t>
      </w:r>
      <w:r>
        <w:rPr>
          <w:rStyle w:val="FootnoteReference"/>
        </w:rPr>
        <w:footnoteReference w:id="61"/>
      </w:r>
      <w:r>
        <w:t xml:space="preserve"> Against the </w:t>
      </w:r>
      <w:r>
        <w:lastRenderedPageBreak/>
        <w:t xml:space="preserve">weak form the reply is narrow, and it is sufficient only if the criterion it invokes is content-neutral: what is credited to the decentred structures is not a preferred ethos but a formal competence, the differentiation of the three world-relations and the uncoupling of validity-claims from social acceptance, and a criterion is content-neutral if any substantive morality can satisfy it, holding a norm’s validity apart from its acceptance constraining the form of the holding and not the norm held, so that an objector who denies the neutrality must show that identification to be the property of one tradition rather than a position available within any. Pressed to the end, the evidential objection identifies not a fault in the method but the corrigibility the method builds in. The strong forms leave the evidential ground and contest the reconstructive relation itself. The charge against presence, that to explicate a competence is to posit a plenitude awaiting articulation, delivers, pressed to its conclusion, the thesis of this chapter rather than displacing it: that the enactment taken as enacted, the </w:t>
      </w:r>
      <w:r>
        <w:rPr>
          <w:i/>
          <w:iCs/>
        </w:rPr>
        <w:t>Dass</w:t>
      </w:r>
      <w:r>
        <w:t xml:space="preserve">, is reachable only under a corrigible articulation of it, the </w:t>
      </w:r>
      <w:r>
        <w:rPr>
          <w:i/>
          <w:iCs/>
        </w:rPr>
        <w:t>Was</w:t>
      </w:r>
      <w:r>
        <w:t xml:space="preserve">, is the </w:t>
      </w:r>
      <w:r>
        <w:rPr>
          <w:i/>
          <w:iCs/>
        </w:rPr>
        <w:t>Begründungsdefizit</w:t>
      </w:r>
      <w:r>
        <w:t xml:space="preserve"> under its constitutive description, and the further claim the charge would need, that the enactment is nothing apart from its articulation, falls under the analysis of denial at §2.2.2; Derrida’s form of the charge, from citational repeatability, reaches not the parasitism thesis as Chapter One §1.3.1 bounds it but a requirement the elenctic exhibition, in the form Chapter Three §3.2.1 gives it, makes on its own behalf, and it is quoted and costed at §2.3.2.</w:t>
      </w:r>
      <w:r>
        <w:rPr>
          <w:rStyle w:val="FootnoteReference"/>
        </w:rPr>
        <w:footnoteReference w:id="62"/>
      </w:r>
      <w:r>
        <w:t xml:space="preserve"> The charge from genealogy, that the decentred subject who holds validity apart from acceptance is no competence discovered but a subject-form produced, falls to the discipline of §2.1.3, where the passage from provenance to title is blocked; what is conceded is that the corroboration drawn from developmental psychology is indirect and partial, and where power reaches not the genesis of communicative structures but their constitution, the objection must be met upon other ground, and the question is entered among those the Conclusion leaves open.</w:t>
      </w:r>
    </w:p>
    <w:p w14:paraId="08D10511" w14:textId="77777777" w:rsidR="0095720F" w:rsidRDefault="00000000">
      <w:pPr>
        <w:pStyle w:val="Heading3"/>
      </w:pPr>
      <w:bookmarkStart w:id="8" w:name="c1-reconstructivism"/>
      <w:bookmarkEnd w:id="7"/>
      <w:r>
        <w:lastRenderedPageBreak/>
        <w:t>C1 · Reconstructivism</w:t>
      </w:r>
    </w:p>
    <w:p w14:paraId="55BC221C" w14:textId="77777777" w:rsidR="0095720F" w:rsidRDefault="00000000">
      <w:pPr>
        <w:pStyle w:val="FirstParagraph"/>
      </w:pPr>
      <w:r>
        <w:t>C1 holds that philosophy can lay claim to the structures of communicative rationality only by reconstruction: by taking as its data the competences speaking and acting subjects exercise, and rendering explicit the implicit know-how those competences instantiate. What is reconstructed is neither an empirical regularity open to inductive generalisation nor a structure of pure consciousness, but the operative competence exercised whenever a speaker acts with an orientation to reaching understanding, and the reconstruction is accordingly transformative and not descriptive. Habermas states the connection and its ground in one movement: ‘There is then a fundamental connection between understanding communicative actions and constructing rational interpretations’, the connection being fundamental because a two-stage procedure, grasping the course of an interaction first and measuring it against an ideal type afterwards, is unavailable.</w:t>
      </w:r>
      <w:r>
        <w:rPr>
          <w:rStyle w:val="FootnoteReference"/>
        </w:rPr>
        <w:footnoteReference w:id="63"/>
      </w:r>
      <w:r>
        <w:t xml:space="preserve"> The thesis governs the interpretation of communicative action, and it is read here as reaching the reconstruction of a competence by way of the datum: an action is identifiable as communicative only under an interpretation which has already taken a position upon the claims it raises, so that no stage of the reconstruction is carried out upon a datum secured independently of such a position. Because the competence is one the speaker already commands, its reconstruction must be confirmed from within, by the maieutic confirmation §2.1.2 established, and that confirmation is not sovereign, being one of three mutually constraining criteria, alongside convergence with developmental enquiry and explanatory power across the cognate domains; one formulation is entered against a loss the reception has repeatedly incurred, and it is not Habermas’s, that acknowledgement is an identity-condition upon the object of the reconstruction and not a warrant for its content, settling whose competence is described and nothing about whether the description is accurate or general.</w:t>
      </w:r>
      <w:r>
        <w:rPr>
          <w:rStyle w:val="FootnoteReference"/>
        </w:rPr>
        <w:footnoteReference w:id="64"/>
      </w:r>
    </w:p>
    <w:p w14:paraId="2D756A35" w14:textId="77777777" w:rsidR="0095720F" w:rsidRDefault="00000000">
      <w:pPr>
        <w:pStyle w:val="BodyText"/>
      </w:pPr>
      <w:r>
        <w:lastRenderedPageBreak/>
        <w:t>A more serious objection comes from the transcendental-pragmatic side, and its seriousness is owed to its coming from the ally rather than the opponent. Apel’s charge against the reconstructive programme has three limbs: that it declines to distinguish ‘the transcendental-pragmatic reconstruction of the ultimate presuppositions of argumentation’ from ‘an empirical-hypothetical reconstruction of cultural evolution or concrete history’; that the proposal to test the presuppositions empirically, by questioning competent speakers, is incoherent, ‘for in order even to understand what “empirical testing” is supposed to mean, one must at least presuppose the validity of those presuppositions of argumentation’; and that the modesty claimed for stand-in and interpreter conflates methodological with sociopsychological categories.</w:t>
      </w:r>
      <w:r>
        <w:rPr>
          <w:rStyle w:val="FootnoteReference"/>
        </w:rPr>
        <w:footnoteReference w:id="65"/>
      </w:r>
      <w:r>
        <w:t xml:space="preserve"> The replies entered against the three limbs are offered on the programme’s behalf and not drawn from it, and the second is taken first. It is conceded, under a restriction which is the whole of the concession: no empirical finding could confirm or disconfirm the presuppositions </w:t>
      </w:r>
      <w:r>
        <w:rPr>
          <w:i/>
          <w:iCs/>
        </w:rPr>
        <w:t>as enacted</w:t>
      </w:r>
      <w:r>
        <w:t xml:space="preserve">, and the procedure Habermas describes asks none to. What the three criteria certify is the articulation, the hypothetical elements being the two he himself lodges in substeps (2b) and (2c), and no empirical finding bears upon the presuppositions as enacted in either direction, not because corroboration is weak but because an enactment is not the kind of item a finding confirms or refutes; the criteria so construed are no test of the presuppositions but a constraint upon their statement, and the incoherence Apel alleges does not arise. The first limb is answered by the distinction C1 has been drawing throughout, that what is reconstructed fallibly is the </w:t>
      </w:r>
      <w:r>
        <w:rPr>
          <w:i/>
          <w:iCs/>
        </w:rPr>
        <w:t>Was</w:t>
      </w:r>
      <w:r>
        <w:t xml:space="preserve"> and what is exhibited elenctically is the </w:t>
      </w:r>
      <w:r>
        <w:rPr>
          <w:i/>
          <w:iCs/>
        </w:rPr>
        <w:t>Dass</w:t>
      </w:r>
      <w:r>
        <w:t xml:space="preserve">, on the ground §2.2.2 supplies; that answer is available to the reconstruction offered here and not, without more, to the </w:t>
      </w:r>
      <w:r>
        <w:lastRenderedPageBreak/>
        <w:t>letter of the programme, since Habermas nowhere draws the line in Apel’s terms, so that against the letter the charge holds as a demand rather than a refutation. The third limb alleges a conflation of categories which is a fault in an argument and not in an author, and it would succeed if the two offices were distinguished by their manner; they are not, stand-in and usher being separated by finality against provisionality, a term of method which carries no sociology with it, and what Apel has identified is narrower, that the doctrine’s usual statements foreground the posture and leave the methodological content to be supplied, which is C3’s office.</w:t>
      </w:r>
      <w:r>
        <w:rPr>
          <w:rStyle w:val="FootnoteReference"/>
        </w:rPr>
        <w:footnoteReference w:id="66"/>
      </w:r>
    </w:p>
    <w:p w14:paraId="0C784B86" w14:textId="77777777" w:rsidR="0095720F" w:rsidRDefault="00000000">
      <w:pPr>
        <w:pStyle w:val="BodyText"/>
      </w:pPr>
      <w:r>
        <w:t>What hypothetical status amounts to in practice is stated most plainly where the reconstruction is most ambitious. Of the three ways a reconstruction may fail, the one Habermas marks as the most frequent is overgeneralisation, so that the corrigibility he concedes bears most frequently, on his own ranking, upon the scope of the reconstruction;</w:t>
      </w:r>
      <w:r>
        <w:rPr>
          <w:rStyle w:val="FootnoteReference"/>
        </w:rPr>
        <w:footnoteReference w:id="67"/>
      </w:r>
      <w:r>
        <w:t xml:space="preserve"> and of the system of rights he writes that no one can claim access to it in the singular apart from the interpretations history has already made available, the system ‘does not exist in transcendental purity’, and what can instruct a generalising reconstruction of the intuitions guiding the practice of self-legislation is two hundred years of European constitutional law.</w:t>
      </w:r>
      <w:r>
        <w:rPr>
          <w:rStyle w:val="FootnoteReference"/>
        </w:rPr>
        <w:footnoteReference w:id="68"/>
      </w:r>
      <w:r>
        <w:t xml:space="preserve"> Reconstruction works from historically available models, whose provenance is neither concealed nor apologised for; what the admission does not concede is the inference the provincialism charge draws from it, which the distinction C2 states blocks. The position which emerges is not intermediate between </w:t>
      </w:r>
      <w:r>
        <w:rPr>
          <w:i/>
          <w:iCs/>
        </w:rPr>
        <w:t>Letztbegründung</w:t>
      </w:r>
      <w:r>
        <w:t xml:space="preserve"> and global fallibilism but categorially distinct from each:</w:t>
      </w:r>
      <w:r>
        <w:rPr>
          <w:rStyle w:val="FootnoteReference"/>
        </w:rPr>
        <w:footnoteReference w:id="69"/>
      </w:r>
      <w:r>
        <w:t xml:space="preserve"> it grounds otherwise than the first, certifying no propositional catalogue at all and conceding that every articulation of the presuppositions, Apel’s own included, remains a reconstruction answerable to the practice it renders; and it anchors otherwise than the second, since the denial of the conditions, performed in argumentation, is self-defeating in the deed, </w:t>
      </w:r>
      <w:r>
        <w:lastRenderedPageBreak/>
        <w:t xml:space="preserve">whether or not any theory has correctly described what is denied. The cost is this: the position claims to secure the conditions against scepticism, a claim whose title is examined at Chapter Three §3.2, and does not secure the account given of them, and that is the </w:t>
      </w:r>
      <w:r>
        <w:rPr>
          <w:i/>
          <w:iCs/>
        </w:rPr>
        <w:t>Begründungsdefizit</w:t>
      </w:r>
      <w:r>
        <w:t xml:space="preserve"> under its constitutive description, the cost of the position and not an incidental consequence of it.</w:t>
      </w:r>
    </w:p>
    <w:p w14:paraId="7DF6061A" w14:textId="77777777" w:rsidR="0095720F" w:rsidRDefault="00000000">
      <w:pPr>
        <w:pStyle w:val="BodyText"/>
      </w:pPr>
      <w:r>
        <w:t>One difficulty reaches C1 at the level of its own procedure, and Habermas states it himself, in another connection. Discussing the moral point of view he grants that actually entering discourse belongs to the idea of it, since ‘otherwise the solipsistic character of an examination of norms undertaken “in the privacy of individual reflection” would reassert itself’, and he names what must be avoided, the isolated subject who takes upon himself, as ‘custodian of the transcendental’, the examination of norms for everyone else. For practical discourse the remedy is actual engagement; that remedy is unavailable to the reconstruction of the presuppositions of argumentation itself, which is conducted by a theorist alone and issues in a claim about what any arguer whatever must presuppose, and no discourse actually convened could canvass that constituency.</w:t>
      </w:r>
      <w:r>
        <w:rPr>
          <w:rStyle w:val="FootnoteReference"/>
        </w:rPr>
        <w:footnoteReference w:id="70"/>
      </w:r>
      <w:r>
        <w:t xml:space="preserve"> A reply is available to the programme, that formal pragmatics is a fallible reconstructive science which claims no </w:t>
      </w:r>
      <w:r>
        <w:rPr>
          <w:i/>
          <w:iCs/>
        </w:rPr>
        <w:t>a priori</w:t>
      </w:r>
      <w:r>
        <w:t xml:space="preserve"> derivation and submits its results for correction to the speakers whose competence it reconstructs, so that the theorist legislates for no one. The charge lapses for the content and not for the modality, and the distinction is what the residue consists in: what competent speakers can correct is </w:t>
      </w:r>
      <w:r>
        <w:rPr>
          <w:i/>
          <w:iCs/>
        </w:rPr>
        <w:t>what</w:t>
      </w:r>
      <w:r>
        <w:t xml:space="preserve"> the reconstruction says they presuppose, and what no assent from them can supply is warrant for the claim that these presuppositions are unavoidable for </w:t>
      </w:r>
      <w:r>
        <w:rPr>
          <w:i/>
          <w:iCs/>
        </w:rPr>
        <w:t>any</w:t>
      </w:r>
      <w:r>
        <w:t xml:space="preserve"> arguer, since assent, however wide, is assent from a finite set, and the modal claim outruns every such set. This is, in its methodological form, what may be named the projection gap, the distance between the finite set whose assent a reconstruction can gather and the constituency over which its modal claim ranges, the </w:t>
      </w:r>
      <w:r>
        <w:rPr>
          <w:i/>
          <w:iCs/>
        </w:rPr>
        <w:t>Begründungsdefizit</w:t>
      </w:r>
      <w:r>
        <w:t xml:space="preserve"> met at the level of the theory’s own procedure; its practical form is stated at §2.2.3 and pursued in Chapter Four.</w:t>
      </w:r>
    </w:p>
    <w:p w14:paraId="62551D03" w14:textId="77777777" w:rsidR="0095720F" w:rsidRDefault="00000000">
      <w:pPr>
        <w:pStyle w:val="BodyText"/>
      </w:pPr>
      <w:r>
        <w:t xml:space="preserve">Apel’s defence is addressed to this difficulty, and his distinction is taken while his conclusion is refused. He holds his transcendental-pragmatic argument untouched by detranscendentalisation on the ground that, unlike Strawson’s, it concerns not the propositional content of arguments nor the </w:t>
      </w:r>
      <w:r>
        <w:lastRenderedPageBreak/>
        <w:t>categorial schemes of knowledge but the performative part of the argument by which validity claims are raised, adding that even were every transcendental argument about categorial schemes relativised, the speech act of raising that question would lay claim to the presuppositions at issue.</w:t>
      </w:r>
      <w:r>
        <w:rPr>
          <w:rStyle w:val="FootnoteReference"/>
        </w:rPr>
        <w:footnoteReference w:id="71"/>
      </w:r>
      <w:r>
        <w:t xml:space="preserve"> The distinction is correct and is adopted; the inference drawn from it is not. What the performative locus secures is that an arguer cannot, while arguing, repudiate what arguing requires, an operative undeniability fixed at §2.2.2; what it does not secure is the propositional claim that the presuppositions so exhibited are the presuppositions of argument as such, a claim made in a proposition, by a theorist, which stands under whatever fallibility propositions stand under. The asymmetry between an enacted </w:t>
      </w:r>
      <w:r>
        <w:rPr>
          <w:i/>
          <w:iCs/>
        </w:rPr>
        <w:t>Dass</w:t>
      </w:r>
      <w:r>
        <w:t xml:space="preserve"> and its propositional articulation therefore tells here against the philosopher from whom it is taken. Nothing in this shows the reconstruction false; the conclusion is that its warrant cannot be of the kind the reconstruction itself supplies, since a claim about what cannot be repudiated in performance is not established by a description of performances, however competent, but, if at all, by an exhibition which the one addressed carries out. The exhibition so named shares its grammar with Apel’s </w:t>
      </w:r>
      <w:r>
        <w:rPr>
          <w:i/>
          <w:iCs/>
        </w:rPr>
        <w:t>Aufweis</w:t>
      </w:r>
      <w:r>
        <w:t xml:space="preserve"> and parts from it at the yield: what the addressee’s own performance establishes is operative and indexed to the occasion of its enactment, and the elenctic route claims nothing propositional from it in the theorist’s person, where the transcendental-pragmatic route reads a </w:t>
      </w:r>
      <w:r>
        <w:rPr>
          <w:i/>
          <w:iCs/>
        </w:rPr>
        <w:t>Letztbegründung</w:t>
      </w:r>
      <w:r>
        <w:t xml:space="preserve"> off the same exhibition. Nor is that reading rescued, so far as reconstructive science reaches, by taking the propositions of strict reflection for the enactment’s own self-explication rather than a description of it, since an explication put to the tests of recognition and counterexample stands under them whatever its parentage, and neither test discriminates the modality claimed for it (§2.1.2); whether an explication reached by strict reflection is put to those tests at all, or claims an exemption from them, is the question §2.2.3 states and Chapter Three §3.3.3 decides. The elenctic route is the one this argument leaves standing, and Chapter Three takes it up at §3.2 as a route in its own right and not as a repair offered to Habermas.</w:t>
      </w:r>
    </w:p>
    <w:p w14:paraId="7646E8CF" w14:textId="77777777" w:rsidR="0095720F" w:rsidRDefault="00000000">
      <w:pPr>
        <w:pStyle w:val="Heading3"/>
      </w:pPr>
      <w:bookmarkStart w:id="9" w:name="c2-immanence"/>
      <w:bookmarkEnd w:id="8"/>
      <w:r>
        <w:lastRenderedPageBreak/>
        <w:t>C2 · Immanence</w:t>
      </w:r>
    </w:p>
    <w:p w14:paraId="195E3C8C" w14:textId="77777777" w:rsidR="0095720F" w:rsidRDefault="00000000">
      <w:pPr>
        <w:pStyle w:val="FirstParagraph"/>
      </w:pPr>
      <w:r>
        <w:t>C2 generalises into a thesis about the standpoint of philosophical reflection what C1’s features jointly enforced: no such reflection occupies a standpoint beyond history from which the conditions of communicative rationality might be secured more firmly than in the practices where they are operative, an undertaking the programme makes and not a limit imposed upon it from without. Its textual centre is the programme of detranscendentalisation, in which the transcendental subject is replaced by socialised subjects whose cognition is embedded in a lifeworld, and the conditions so recovered are necessary in the weak sense §2.1.4 fixes: what is stripped away is, in a summary which is not Habermas’s wording, the apodicticity, the worldlessness and the finality the Kantian transcendental had claimed,</w:t>
      </w:r>
      <w:r>
        <w:rPr>
          <w:rStyle w:val="FootnoteReference"/>
        </w:rPr>
        <w:footnoteReference w:id="72"/>
      </w:r>
      <w:r>
        <w:t xml:space="preserve"> and what is not stripped away is the necessity itself, since a presupposition which cannot be set aside by anyone engaged in the practice whose presupposition it is remains necessary relatively to that practice. It is this relativised necessity, and no weaker thing, which the elenctic exhibition secures and which §2.1.4 finds indexed, under five restrictions, in the predicate Habermas uses across the dated series.</w:t>
      </w:r>
    </w:p>
    <w:p w14:paraId="4F457730" w14:textId="77777777" w:rsidR="0095720F" w:rsidRDefault="00000000">
      <w:pPr>
        <w:pStyle w:val="BodyText"/>
      </w:pPr>
      <w:r>
        <w:t>The philosophy-of-language ground of the commitment is Wittgenstein’s, and Apel takes a negative result from it first: the impossibility of a private language, which he calls a ‘truly revolutionary insight for all philosophical thinking’ and restates as the thesis that ‘one cannot follow a rule all by oneself, guided perhaps by introspectively accessible standards’, since a solitary rule-follower would possess no criteria for the correct use of language.</w:t>
      </w:r>
      <w:r>
        <w:rPr>
          <w:rStyle w:val="FootnoteReference"/>
        </w:rPr>
        <w:footnoteReference w:id="73"/>
      </w:r>
      <w:r>
        <w:t xml:space="preserve"> What the argument defeats is methodological solipsism, the doctrine that a subject’s self-understanding is constituted independently of communication, the public medium serving only for transmission; Apel dates the doctrine, in the notes to his Wittgenstein chapter, from Descartes’s </w:t>
      </w:r>
      <w:r>
        <w:rPr>
          <w:i/>
          <w:iCs/>
        </w:rPr>
        <w:t>Meditationes</w:t>
      </w:r>
      <w:r>
        <w:t xml:space="preserve"> to Husserl’s </w:t>
      </w:r>
      <w:r>
        <w:rPr>
          <w:i/>
          <w:iCs/>
        </w:rPr>
        <w:t>Cartesian Meditations</w:t>
      </w:r>
      <w:r>
        <w:t xml:space="preserve">, and holds that participation in a language game ‘replaces the methodological solipsism of attaining understanding through empathy’. The refutation is not an argument that private constitution is impossible, and the difference is the whole of its force; it is an observation about what the solipsist offers: ‘the self-understanding which the methodological solipsist seeks to offer … is itself mediated through the </w:t>
      </w:r>
      <w:r>
        <w:lastRenderedPageBreak/>
        <w:t>public rule of a language-game and the “life-form” that is interwoven with the latter’, so that the starting-point is already public, had under a rule the solipsist did not privately institute, what is shared being the public rule and not the experience had under it;</w:t>
      </w:r>
      <w:r>
        <w:rPr>
          <w:rStyle w:val="FootnoteReference"/>
        </w:rPr>
        <w:footnoteReference w:id="74"/>
      </w:r>
      <w:r>
        <w:t xml:space="preserve"> the dating locates the doctrine’s home, on the reading taken here, in the phenomenological tradition rather than in the analytic one, and Chapter One §1.2.1 follows its lifeworld consequences.</w:t>
      </w:r>
    </w:p>
    <w:p w14:paraId="36FA4C59" w14:textId="77777777" w:rsidR="0095720F" w:rsidRDefault="00000000">
      <w:pPr>
        <w:pStyle w:val="BodyText"/>
      </w:pPr>
      <w:r>
        <w:t>Three questions must be put to the displacement before it is called an overcoming, and the answers divide:</w:t>
      </w:r>
      <w:r>
        <w:rPr>
          <w:rStyle w:val="FootnoteReference"/>
        </w:rPr>
        <w:footnoteReference w:id="75"/>
      </w:r>
      <w:r>
        <w:t xml:space="preserve"> whether the plurality installed in place of the solitary subject is constitutive or merely aggregative; whether the theorist can reach that plurality from outside it; and whether the theory’s own procedure repeats the structure the charge condemns. The first is answered by the rule-following argument itself: were the displaced subject replaced by a sum of subjects each of whom might in principle have managed alone, solipsism would merely have been multiplied, whereas following a rule admits of mistake, and the correction of a mistake requires a standard whose application the follower does not himself certify, so that the virtual division of labour between practitioner and critic belongs to the concept of rule-following, the middle step being taken here as a reading the individualist denies; the second person is thus constitutive and not cumulative. The second is answered by the participation requirement, and the answer is where immanence shows itself a commitment of method. If meanings are accessible only from within a practice, the theorist of meaning cannot occupy the observer’s position without losing his object: an interpreter who would understand an utterance is, on Habermas’s account, a </w:t>
      </w:r>
      <w:r>
        <w:rPr>
          <w:i/>
          <w:iCs/>
        </w:rPr>
        <w:t>virtual participant</w:t>
      </w:r>
      <w:r>
        <w:t>, drawn at least potentially into negotiation over the meaning and validity of what he interprets, and because he must assess the reasons he reconstructs, the standards by which he assesses them are the general structures of communication he shares with those he interprets, structures which ‘provide the critical means to penetrate a given context, to burst it open from within and to transcend it’, so that a capacity for critique is recovered from the immersion which was thought to preclude it.</w:t>
      </w:r>
      <w:r>
        <w:rPr>
          <w:rStyle w:val="FootnoteReference"/>
        </w:rPr>
        <w:footnoteReference w:id="76"/>
      </w:r>
      <w:r>
        <w:t xml:space="preserve"> Apel’s own </w:t>
      </w:r>
      <w:r>
        <w:lastRenderedPageBreak/>
        <w:t>formulation converges: the standpoint from which a third person is spoken about is a partial and not a complete objectivisation, and radical interpretation on the Quinean and Davidsonian model is to be refused, for proceeding as though a subject not yet a member of any communication community could begin framing hypotheses about others.</w:t>
      </w:r>
      <w:r>
        <w:rPr>
          <w:rStyle w:val="FootnoteReference"/>
        </w:rPr>
        <w:footnoteReference w:id="77"/>
      </w:r>
    </w:p>
    <w:p w14:paraId="3B4FB8FD" w14:textId="77777777" w:rsidR="0095720F" w:rsidRDefault="00000000">
      <w:pPr>
        <w:pStyle w:val="BodyText"/>
      </w:pPr>
      <w:r>
        <w:t xml:space="preserve">The third is answered at the close of this section, by the self-application the incoherence charge forces; before it, Apel’s step beyond Wittgenstein must be taken up, since it is where the displacement is first called an overcoming. From the impossibility of a position outside the language game Apel infers the standing of that game as transcendental: ‘One cannot decide to affirm or negate the norms of the transcendental language-game from a position outside the language-game’, and ‘The negation of this constitutes the basic error of methodological solipsism’; where the </w:t>
      </w:r>
      <w:r>
        <w:rPr>
          <w:i/>
          <w:iCs/>
        </w:rPr>
        <w:t>Investigations</w:t>
      </w:r>
      <w:r>
        <w:t xml:space="preserve"> disperses the public into a plurality of incommensurable language games, Apel asks in which game the thesis of that plurality is advanced, and answers, ‘I will call this institution the transcendental language game’.</w:t>
      </w:r>
      <w:r>
        <w:rPr>
          <w:rStyle w:val="FootnoteReference"/>
        </w:rPr>
        <w:footnoteReference w:id="78"/>
      </w:r>
      <w:r>
        <w:t xml:space="preserve"> The inference conflates two claims, and only one of them is carried by the argument from which they are drawn. The claim that there is no position outside the language game from which its norms might be affirmed or denied is established by the rule-following considerations so far as they reach, what they exclude being a standpoint answerable to no practice whatever and not a standpoint taken within some other practice; the claim that the game whose norms cannot be denied from outside is therefore </w:t>
      </w:r>
      <w:r>
        <w:rPr>
          <w:i/>
          <w:iCs/>
        </w:rPr>
        <w:t>transcendental</w:t>
      </w:r>
      <w:r>
        <w:t xml:space="preserve">, its rules stating conditions of possibility rather than the constitutive features of one historically achieved practice, is a further claim, which the argument from the impossibility of a private language does not reach. A practice may be inescapable and still be a practice; what excludes the alternative is not shown by the impossibility of getting behind the practice in order to look. The distinction between an inescapability of that kind and a transcendental necessity is what the whole modal dispute of §2.2.3 </w:t>
      </w:r>
      <w:r>
        <w:lastRenderedPageBreak/>
        <w:t>and of Chapter Three turns upon, and it is drawn here, in the philosophy of language, before any question of ethics arises. Habermas refuses the further step, and the refusal is what detranscendentalisation names: he takes the Peircean half as it stands and orders the plurality of games by the double structure of the speech act, expounded at Chapter One §1.1.1, rather than by a game of higher order, declining not the unavailability of an exterior, which he affirms as strongly as Apel does, but the inference from that unavailability to a transcendental standing for what is exhibited within it.</w:t>
      </w:r>
      <w:r>
        <w:rPr>
          <w:rStyle w:val="FootnoteReference"/>
        </w:rPr>
        <w:footnoteReference w:id="79"/>
      </w:r>
      <w:r>
        <w:t xml:space="preserve"> A further inheritance, Heidegger’s, is contested rather than assimilated; the contest is recorded in the note.</w:t>
      </w:r>
      <w:r>
        <w:rPr>
          <w:rStyle w:val="FootnoteReference"/>
        </w:rPr>
        <w:footnoteReference w:id="80"/>
      </w:r>
    </w:p>
    <w:p w14:paraId="7C78A6C3" w14:textId="77777777" w:rsidR="0095720F" w:rsidRDefault="00000000">
      <w:pPr>
        <w:pStyle w:val="BodyText"/>
      </w:pPr>
      <w:r>
        <w:t xml:space="preserve">What detranscendentalisation </w:t>
      </w:r>
      <w:r>
        <w:rPr>
          <w:i/>
          <w:iCs/>
        </w:rPr>
        <w:t>does</w:t>
      </w:r>
      <w:r>
        <w:t>, as against what it gives up, Habermas states in two sentences: ‘With validity claims that transcend all merely local standards of evaluation, the tension between transcendental presuppositions and empirical facts now moves into the facticity of the lifeworld itself. The theory of communicative action detranscendentalizes Kant’s realm of the Intelligible by revealing the idealizing force of anticipation in the unavoidable pragmatic presuppositions of speech acts, that is, at the heart of everyday communicative practices themselves’.</w:t>
      </w:r>
      <w:r>
        <w:rPr>
          <w:rStyle w:val="FootnoteReference"/>
        </w:rPr>
        <w:footnoteReference w:id="81"/>
      </w:r>
      <w:r>
        <w:t xml:space="preserve"> The tension between the </w:t>
      </w:r>
      <w:r>
        <w:lastRenderedPageBreak/>
        <w:t>transcendental and the empirical is not dissolved by detranscendentalisation and is not shown to have been illusory; it is relocated, and the site to which it is relocated is the practice whose reconstruction the programme is. Immanence is accordingly a thesis about where a tension is borne and not a thesis that there is none to bear, and the bearer is the lifeworld, a domain the programme reaches only through fallible reconstruction, so that C2’s relocation delivers the tension to C1 and C3 to hold; what Habermas describes as a movement inward is taken here for the deficit’s provenance, and the reading is not his.</w:t>
      </w:r>
    </w:p>
    <w:p w14:paraId="3BA27369" w14:textId="77777777" w:rsidR="0095720F" w:rsidRDefault="00000000">
      <w:pPr>
        <w:pStyle w:val="BodyText"/>
      </w:pPr>
      <w:r>
        <w:t xml:space="preserve">The dilemma of long standing attends any argument of the ambitious form, and it is Stroud’s: a transcendental argument can establish at most that a subject must </w:t>
      </w:r>
      <w:r>
        <w:rPr>
          <w:i/>
          <w:iCs/>
        </w:rPr>
        <w:t>believe</w:t>
      </w:r>
      <w:r>
        <w:t xml:space="preserve">, or must </w:t>
      </w:r>
      <w:r>
        <w:rPr>
          <w:i/>
          <w:iCs/>
        </w:rPr>
        <w:t>presuppose</w:t>
      </w:r>
      <w:r>
        <w:t xml:space="preserve">, that such-and-such is the case if experience or discourse of a certain kind is to be possible, never that such-and-such </w:t>
      </w:r>
      <w:r>
        <w:rPr>
          <w:i/>
          <w:iCs/>
        </w:rPr>
        <w:t>is</w:t>
      </w:r>
      <w:r>
        <w:t xml:space="preserve"> the case, and the premise which would license the passage from what must be believed to what obtains is verificationist or idealist, conceding in the licensing what the argument was to have won.</w:t>
      </w:r>
      <w:r>
        <w:rPr>
          <w:rStyle w:val="FootnoteReference"/>
        </w:rPr>
        <w:footnoteReference w:id="82"/>
      </w:r>
      <w:r>
        <w:t xml:space="preserve"> The reply is one Habermas does not make, and it confines the objection rather than contesting it. Stroud’s objection has purchase wherever a transcendental argument is construed as a probative inference of the shape just given, and none against the operative claim, which is no inference of that shape: the exhibition that the denial of a presupposition of argumentation is performatively self-defeating establishes no conclusion of the form </w:t>
      </w:r>
      <w:r>
        <w:rPr>
          <w:i/>
          <w:iCs/>
        </w:rPr>
        <w:t>Q</w:t>
      </w:r>
      <w:r>
        <w:t xml:space="preserve"> at all, and where no such conclusion is drawn there is no interval between what must be believed and what obtains, and so nothing for the objection to divide. What the exhibition brings about is that a certain speech act is not executed by the one who attempts it, the result being his, in the order of the deed, while the theorist’s report of it stands under whatever fallibility reports stand under. The confinement accepts the second of the two alternatives such an argument faces: either the passage is made, upon a premise which concedes at the outset what the argument was to have won, or no such passage is attempted and nothing is established about what obtains; an exhibition which convicts a denier of enacting what he denies draws no conclusion about what obtains, and the title </w:t>
      </w:r>
      <w:r>
        <w:rPr>
          <w:i/>
          <w:iCs/>
        </w:rPr>
        <w:t>transcendental</w:t>
      </w:r>
      <w:r>
        <w:t xml:space="preserve"> is not claimed for it in these chapters, where the word is reserved to Habermas’s predicate and its five </w:t>
      </w:r>
      <w:r>
        <w:lastRenderedPageBreak/>
        <w:t>restrictions. Against the critical rationalist, for whom a justification which stops has chosen its stopping-point, the arbitrary break-off of Albert’s trilemma, the burden rule of §2.2.2 is no break-off chosen but a distribution the arguer has already made in arguing; that the exhibition of it is itself corrigible is the categorial premise applied to itself, and why the corrigibility opens no regress is argued at Chapter Three §3.3.3.</w:t>
      </w:r>
      <w:r>
        <w:rPr>
          <w:rStyle w:val="FootnoteReference"/>
        </w:rPr>
        <w:footnoteReference w:id="83"/>
      </w:r>
      <w:r>
        <w:t xml:space="preserve"> The confinement carries a consequence the position must not suppress, and it is where the aporia §2.3.4 states is first located. Stroud’s gap, defeated at the conditions of argumentation, stands </w:t>
      </w:r>
      <w:r>
        <w:rPr>
          <w:i/>
          <w:iCs/>
        </w:rPr>
        <w:t>undefeated</w:t>
      </w:r>
      <w:r>
        <w:t xml:space="preserve"> wherever the programme is tempted to convert the operative inescapability of a presupposition into a propositional truth about the world, and it stands with full force at the orientation towards truth: the presuppositions of argumentation are conditions the deed enacts, reachable by a demonstration conducted at the level of the deed, whereas the orientation to truth points beyond the practice to a world obtaining independently of it, and no demonstration confined to the deed can reach what by hypothesis transcends it. The exception is accordingly a corollary of the reply and no exception to it, since the confinement held because the conclusion drawn was about a deed and not about a world; followed to the point at which its own ground is absent, Stroud’s objection locates the aporia exhibited at §2.3.4, of which the disanalogy drawn here is the anticipation and not the proof.</w:t>
      </w:r>
    </w:p>
    <w:p w14:paraId="623264A0" w14:textId="77777777" w:rsidR="0095720F" w:rsidRDefault="00000000">
      <w:pPr>
        <w:pStyle w:val="BodyText"/>
      </w:pPr>
      <w:r>
        <w:t xml:space="preserve">Immanence in this sense is neither that of historicism, which relativises validity to particular cultural formations, nor that of Rortyan contextualism. It is a commitment of method and no thesis in the sociology of validity, and one distinction sorts it from both misreadings: the genesis of a reconstruction and the reach of what it reconstructs are separately assessable. The conditions are universal in their operative reach, their reconstruction is immanent in its genesis, and that these two are compatible is the substance of the commitment; what would defeat it is not the demonstration that the reconstruction has a history, which is conceded at the outset, but the demonstration that the reach of what it reconstructs is bounded by that history, a further claim the misreadings assume rather than argue. The contextualist objection, that the distinction begs the question by helping itself to the standpoint-independence immanence had renounced, fails because declining an inference, </w:t>
      </w:r>
      <w:r>
        <w:lastRenderedPageBreak/>
        <w:t xml:space="preserve">from the provenance of the models to the boundedness of what they instruct, requires no vantage outside the practice in which the inference is offered; what the genealogist would need is the additional premise §2.1.3 identifies and finds unsupplied, that an investigation conducted from a standpoint reaches nothing but standpoint-bound objects. The refusal invites a charge of incoherence: the reconstructing philosopher’s self-description is itself a move within communicative practice, so that the theory either generates a regress of reconstructions without end or falls under its own verdict. The reply is that the self-implication is the self-application of a single commitment, and an application of that shape does not defeat what it applies; the charge depends upon a failure to distinguish a series of reconstructions, each a fallible assertion about the level below it, which does regress, from the series of enactments in which those assertions are made, which does not, and why a regress of that shape is not vicious is argued at Chapter Three §3.3.3. Apel names the requirement the </w:t>
      </w:r>
      <w:r>
        <w:rPr>
          <w:i/>
          <w:iCs/>
        </w:rPr>
        <w:t>Selbsteinholungsprinzip</w:t>
      </w:r>
      <w:r>
        <w:t>, the self-recuperative principle: a critical-hermeneutic reconstruction of history must be able to account for its own presuppositions of rationality as a possible and factual result of the history it reconstructs, and the principle ‘follows from the principle of performative self-contradiction, given the further premise that the reconstructive sciences are themselves a fact of history to be accounted for’;</w:t>
      </w:r>
      <w:r>
        <w:rPr>
          <w:rStyle w:val="FootnoteReference"/>
        </w:rPr>
        <w:footnoteReference w:id="84"/>
      </w:r>
      <w:r>
        <w:t xml:space="preserve"> he states it of the reconstructive sciences in his own voice, which must reconstruct progress and regress in human history ‘in such a way that the possibility of their own enterprise becomes intelligible as a result of history’.</w:t>
      </w:r>
      <w:r>
        <w:rPr>
          <w:rStyle w:val="FootnoteReference"/>
        </w:rPr>
        <w:footnoteReference w:id="85"/>
      </w:r>
      <w:r>
        <w:t xml:space="preserve"> The principle states a constraint the reconstructive programme also accepts, on the reading taken here, while the modal conclusion Apel draws from it is declined, and the division is the one tracked throughout these chapters.</w:t>
      </w:r>
    </w:p>
    <w:p w14:paraId="424B3407" w14:textId="77777777" w:rsidR="0095720F" w:rsidRDefault="00000000">
      <w:pPr>
        <w:pStyle w:val="Heading3"/>
      </w:pPr>
      <w:bookmarkStart w:id="10" w:name="c3-fallibilism"/>
      <w:bookmarkEnd w:id="9"/>
      <w:r>
        <w:t>C3 · Fallibilism</w:t>
      </w:r>
    </w:p>
    <w:p w14:paraId="5A17CB94" w14:textId="77777777" w:rsidR="0095720F" w:rsidRDefault="00000000">
      <w:pPr>
        <w:pStyle w:val="FirstParagraph"/>
      </w:pPr>
      <w:r>
        <w:t xml:space="preserve">C3 holds that the propositional yield of any reconstructive enterprise, formal pragmatics not excepted, remains in principle revisable. Its sharpest textual registration is the point at which Habermas confronts Apel’s demand: the presuppositions cannot be denied from within </w:t>
      </w:r>
      <w:r>
        <w:lastRenderedPageBreak/>
        <w:t>argumentation, since any attempt to deny them enacts them, yet the demonstration of this inescapability is not the justification of the presuppositions, what is proved being, in the sentence §2.1.2 displays, that the rules of argumentation have no alternatives, while the rules themselves are not thereby justified.</w:t>
      </w:r>
      <w:r>
        <w:rPr>
          <w:rStyle w:val="FootnoteReference"/>
        </w:rPr>
        <w:footnoteReference w:id="86"/>
      </w:r>
      <w:r>
        <w:t xml:space="preserve"> The discrimination the chapter needs is carried in the sentence’s grammar, and the German is the safer ground: what is there said to be proved is </w:t>
      </w:r>
      <w:r>
        <w:rPr>
          <w:i/>
          <w:iCs/>
        </w:rPr>
        <w:t>die Alternativenlosigkeit dieser Regeln für die Argumentationspraxis</w:t>
      </w:r>
      <w:r>
        <w:t xml:space="preserve"> — a state of the rules, and so the sort of item a proposition states, and one already indexed to the practice of argumentation; what is said not to be justified is no state of the rules but the rules themselves, as followed, and rules as followed are not items a proposition states, on the ground §2.2.2 supplies. The two governing verbs are thus given objects of different categories within a single sentence, and upon that assignment the withholding is intelligible rather than merely stipulated, since justification is a relation in which a norm stands to grounds, and the demonstration that a norm has no available alternative furnishes no ground for the norm but reports upon its standing; the reading of the grammar is offered as a reading, and nothing in the argument requires that Habermas drew the distinction under those terms, only that the sentence he wrote observes it.</w:t>
      </w:r>
    </w:p>
    <w:p w14:paraId="5DE9E134" w14:textId="77777777" w:rsidR="0095720F" w:rsidRDefault="00000000">
      <w:pPr>
        <w:pStyle w:val="BodyText"/>
      </w:pPr>
      <w:r>
        <w:t xml:space="preserve">C3 is thus not the thesis that the conditions of rationality are uncertain, the misreading the language of hypothetical status invites, but the thesis that the philosopher’s articulation of those conditions is corrigible, even where the conditions themselves lie operatively beyond denial. Three items are run together in that misreading, and separating them fixes what the commitment concedes and what it does not: the standing of the conditions, which C3 leaves untouched; the knowledge, had on each occasion of denial, that a condition is being enacted, which the elenctic exhibition secures for that occasion without the mediation of any particular formulation, since the denier defeats himself whether or not a theorist has described what he denies; and the correctness of any given statement of their content, where alone fallibility is conceded. A programme conceding the first would have no elenctic result to defend; one conceding the second could not say what its exhibition exhibits; one declining the third would be </w:t>
      </w:r>
      <w:r>
        <w:rPr>
          <w:i/>
          <w:iCs/>
        </w:rPr>
        <w:t>Letztbegründung</w:t>
      </w:r>
      <w:r>
        <w:t xml:space="preserve"> under another name. C3 concedes the third and stops.</w:t>
      </w:r>
    </w:p>
    <w:p w14:paraId="70716C11" w14:textId="77777777" w:rsidR="0095720F" w:rsidRDefault="00000000">
      <w:pPr>
        <w:pStyle w:val="BodyText"/>
      </w:pPr>
      <w:r>
        <w:lastRenderedPageBreak/>
        <w:t xml:space="preserve">An objection runs upon that concession, and it is entered against the instrument used in these chapters rather than against Habermas’s programme: if the theorist’s reconstruction of the presuppositions is fallible, then the elenctic force of exhibiting a performative self-contradiction is fallible too, and the sceptic is not caught, the presupposition being open to misidentification, to description in terms the sceptic may reasonably reject, or to mistake for a parochial feature of one argumentative culture. The reply turns upon what the sceptic’s denial undoes, and it is not one Habermas gives. What it undoes is not a proposition of the theorist’s but his own performance: he denies, in argument, a presupposition without which his denial would not be an argument, and the undoing occurs </w:t>
      </w:r>
      <w:r>
        <w:rPr>
          <w:i/>
          <w:iCs/>
        </w:rPr>
        <w:t>in actu</w:t>
      </w:r>
      <w:r>
        <w:t xml:space="preserve">, in the performance and for its performer, whether or not any theorist is present to describe it and whether or not the description, if offered, is correct. A better description would not make the undoing more secure, there being no degrees in a performance not performed, nor would a worse one make it less secure; the theorist’s failures are failures to identify which presupposition is at work, and not failures which restore a vacated position to the sceptic. What the sceptic would have to show is not that the theorist’s description is inaccurate, but that there is a way of arguing which does not undertake what the description was attempting to state, which is the possibility substep (2c) exists to test, and it concerns the extension of the presupposition and not the standing of the compulsion where the presupposition holds; a sceptic who produced such a case would have narrowed the claim, not shown that arguing without the presuppositions of argument is something one might do badly rather than something one does not do. Operative irrefutability does not, therefore, depend upon descriptive infallibility: the term is used of an enactment in the sense that no performed denial of it succeeds, and not in the sense in which a proposition resists refutation, refutation being, upon the criterion §2.2.2 states, an operation upon claims. The concession this requires is nevertheless real, and it falls upon the argument of these chapters and not upon Habermas: what the argument establishes is negative, that descriptive fallibility does not defeat operative irrefutability, and it does not establish that operative irrefutability holds, nor what its title would be if it did, nor whether the exhibition supposed to display it succeeds in displaying anything. Those three questions are handed to Chapter Three §3.2, where the elenctic </w:t>
      </w:r>
      <w:r>
        <w:rPr>
          <w:i/>
          <w:iCs/>
        </w:rPr>
        <w:t>Aufweis</w:t>
      </w:r>
      <w:r>
        <w:t xml:space="preserve"> is developed and the debt entered here is discharged or is not; and the deficit named at §2.2.3 does not depend upon the discharge, since its second interval would stand even if the </w:t>
      </w:r>
      <w:r>
        <w:rPr>
          <w:i/>
          <w:iCs/>
        </w:rPr>
        <w:t>Aufweis</w:t>
      </w:r>
      <w:r>
        <w:t xml:space="preserve"> failed entirely.</w:t>
      </w:r>
      <w:r>
        <w:rPr>
          <w:rStyle w:val="FootnoteReference"/>
        </w:rPr>
        <w:footnoteReference w:id="87"/>
      </w:r>
    </w:p>
    <w:p w14:paraId="4A4BC2C2" w14:textId="77777777" w:rsidR="0095720F" w:rsidRDefault="00000000">
      <w:pPr>
        <w:pStyle w:val="BodyText"/>
      </w:pPr>
      <w:r>
        <w:lastRenderedPageBreak/>
        <w:t xml:space="preserve">The coherence of the programme has been contested from two opposed directions, and one distinction answers both. The circularity charge holds that a reconstruction of the presuppositions of argumentation is itself an argument, and so presupposes what it sets out to exhibit; the concession is the reply, since the reconstruction </w:t>
      </w:r>
      <w:r>
        <w:rPr>
          <w:i/>
          <w:iCs/>
        </w:rPr>
        <w:t>enacts</w:t>
      </w:r>
      <w:r>
        <w:t xml:space="preserve"> the presuppositions it articulates, and enactment is not entailment. The second charge runs in the contrary direction, holding the programme to be empiricism in transcendental dress, and is met by the demarcation of data entered at §2.1.3; whether a restriction of that shape is principled or expedient is the question C3 must answer, and the answer is sharper than it appears, because the demand for a restriction is Apel’s and the </w:t>
      </w:r>
      <w:r>
        <w:rPr>
          <w:i/>
          <w:iCs/>
        </w:rPr>
        <w:t>form</w:t>
      </w:r>
      <w:r>
        <w:t xml:space="preserve"> of the restriction is Apel’s too. The self-application of the fallibilism principle, he argues, leads to a paradox on the pattern of the liar: ‘If the “Fallibilism” principle is itself fallible, it is to just that extent not fallible and vice versa’; what the argument concludes is not that fallibilism is false but that the principle of fallibilism, and with it the principle of criticism it underwrites, are meaningful and valid only under a restriction entered at the outset, so that at least some evidence is withheld from possible criticism, namely the evidence upon which the principles are themselves grounded.</w:t>
      </w:r>
      <w:r>
        <w:rPr>
          <w:rStyle w:val="FootnoteReference"/>
        </w:rPr>
        <w:footnoteReference w:id="88"/>
      </w:r>
      <w:r>
        <w:t xml:space="preserve"> A restriction is therefore required by both, so that the charge of </w:t>
      </w:r>
      <w:r>
        <w:rPr>
          <w:i/>
          <w:iCs/>
        </w:rPr>
        <w:t>ad hoc</w:t>
      </w:r>
      <w:r>
        <w:t xml:space="preserve"> exemption cannot be levelled on the ground that a restriction is drawn at all, but only against the principle upon which each restriction is drawn. Apel withholds a class of </w:t>
      </w:r>
      <w:r>
        <w:rPr>
          <w:i/>
          <w:iCs/>
        </w:rPr>
        <w:t>evidence</w:t>
      </w:r>
      <w:r>
        <w:t xml:space="preserve">, propositional material exempted from the assumption of possible falsity, and thereby keeps the excluded item inside the category to which fallibility could intelligibly attach, which is why he must then explain how a proposition comes to be immune; C3, upon the reconstruction offered here, withholds no evidence at all, what falls outside being the enactment, which on the categorial ground §2.2.2 states is not evidence and not a proposition, and so not the kind of item an exemption could be granted to or withheld from. The difference is categorial and not one of extent, and §2.2.3 shows it to be what separates the two positions upon the yield of the </w:t>
      </w:r>
      <w:r>
        <w:rPr>
          <w:i/>
          <w:iCs/>
        </w:rPr>
        <w:t>Aufweis</w:t>
      </w:r>
      <w:r>
        <w:t xml:space="preserve">. The commitment is examined at length in the essay where Apel submits critical rationalism to metacritique, under a disclaimer which governs how the dispute </w:t>
      </w:r>
      <w:r>
        <w:lastRenderedPageBreak/>
        <w:t>must be read, his purpose being not the questioning of the principle of critical examination but the asserted inner connection between criticism and unrestricted fallibilism;</w:t>
      </w:r>
      <w:r>
        <w:rPr>
          <w:rStyle w:val="FootnoteReference"/>
        </w:rPr>
        <w:footnoteReference w:id="89"/>
      </w:r>
      <w:r>
        <w:t xml:space="preserve"> applied to itself, the thesis of unrestricted fallibility divides, either exempt from its own scope, whereupon the fallibilism is not unrestricted, or falling under itself, whereupon the fallibilist has granted that it may be false, and what the division permits is a discrimination Apel’s own statement leaves implicit, that the exemption the first horn requires is no exemption from criticism but an exemption from the assumption of possible falsity, which a defender of critical examination may withhold without withdrawing the first thesis.</w:t>
      </w:r>
    </w:p>
    <w:p w14:paraId="577B6C9C" w14:textId="77777777" w:rsidR="0095720F" w:rsidRDefault="00000000">
      <w:pPr>
        <w:pStyle w:val="BodyText"/>
      </w:pPr>
      <w:r>
        <w:t>The three commitments so stated individuate the programme. Each is defensible upon grounds which do not appeal to the other two, separately defensible whether or not Habermas himself holds them as distinct theses, a qualification §2.2 will show to matter; separate defensibility is not logical independence, since that reconstructivism entails immanence (§2.2.1) leaves immanence with a ground of its own, the unavailability of an external court, which appeals to no reconstructive premise. What follows depends upon the independence: were any of the three sustained only by the support of its neighbours, a deficit derived from their conjunction would be an artefact of that mutual support and no consequence of the commitments. Each is affirmed by Habermas in his own voice at the loci collated above; whether any of the three could be surrendered with the enterprise remaining post-metaphysical is not settled by those loci, and no answer to it is claimed. C3 in particular marks the programme off not from incoherence but from Apel, which is why the next section’s question is not whether fallibilism is true but whether it is entailed.</w:t>
      </w:r>
    </w:p>
    <w:p w14:paraId="3502783C" w14:textId="77777777" w:rsidR="0095720F" w:rsidRDefault="00000000">
      <w:pPr>
        <w:pStyle w:val="Heading2"/>
      </w:pPr>
      <w:bookmarkStart w:id="11" w:name="X395ee720bec9e07a3381e94d4a05d884936824e"/>
      <w:bookmarkEnd w:id="2"/>
      <w:bookmarkEnd w:id="10"/>
      <w:r>
        <w:t>§2.2 · Conjunction, Not Circle: The Categorial Premise, and the Three Tensions</w:t>
      </w:r>
    </w:p>
    <w:p w14:paraId="3ACB6E4A" w14:textId="77777777" w:rsidR="0095720F" w:rsidRDefault="00000000">
      <w:pPr>
        <w:pStyle w:val="FirstParagraph"/>
      </w:pPr>
      <w:r>
        <w:t xml:space="preserve">The section establishes what the commitments generate before anything is derived from them. It shows first that the three form a conjunction and not a circle of mutual entailment, the space the entailment-reading denies being occupied by Apel (§2.2.1); it then grounds, in the behaviour of denial, the distinction of kind on which the argument of §2.3 rests, between what a speaker enacts and the proposition which describes it, and states it as a premise with its consequences and its </w:t>
      </w:r>
      <w:r>
        <w:lastRenderedPageBreak/>
        <w:t>conditions of defeat (§2.2.2); it names, lastly, the three tensions the conjunction generates, one for each commitment, reaches each in its interval, and hands its adjudication to the chapter which owns it (§2.2.3).</w:t>
      </w:r>
    </w:p>
    <w:p w14:paraId="2952D437" w14:textId="77777777" w:rsidR="0095720F" w:rsidRDefault="00000000">
      <w:pPr>
        <w:pStyle w:val="Heading3"/>
      </w:pPr>
      <w:bookmarkStart w:id="12" w:name="conjunction-not-entailment-circle"/>
      <w:r>
        <w:t>§2.2.1 · Conjunction, not entailment-circle</w:t>
      </w:r>
    </w:p>
    <w:p w14:paraId="69A418D2" w14:textId="77777777" w:rsidR="0095720F" w:rsidRDefault="00000000">
      <w:pPr>
        <w:pStyle w:val="FirstParagraph"/>
      </w:pPr>
      <w:r>
        <w:t>The deficit rests upon the joint operation of the three commitments and not upon any one taken in isolation. A reading which the vocabulary of three mutually supporting commitments invites, constructed here and attributed to no critic, would hold them to stand in a closed circle of mutual entailment — reconstructivism entailing immanence, immanence entailing fallibilism, fallibilism entailing reconstructivism — and would locate in the circle the source of the deficit, presented thereby as a quasi-logical necessity. The entailments hold asymmetrically, and the circle does not close. That reconstructivism carries fallibilism with it is conceded at the outset, since Habermas assigns hypothetical status to every rational reconstruction in the clause §2.2.3 quotes; the concession is not the circle, which requires the passage from immanence to fallibilism, and that passage is what fails. Reconstructivism entails immanence, and the entailment is conceptual, grounded in the requirement, Habermas’s own under C2, that the interpreter take up a participant’s perspective: if philosophy proceeds as reconstructive science it cannot conduct that reconstruction from a standpoint transcending the practices whose structure it renders explicit, since the dimension it reconstructs is the dimension of validity, and validity is accessible only from within the performative attitude. The claim is one of access and not of warrant. Were the object a competence whose deliverances could be exhaustively specified in non-normative terms, an observational route might be open; the object of formal-pragmatic reconstruction is the capacity to raise criticisable validity-claims and to discriminate the reasons which would redeem them, and that capacity cannot be reconstructed without reconstructing the validity-dimension which is its point, so that the entailment is conditional upon the normativity of the reconstructed object.</w:t>
      </w:r>
    </w:p>
    <w:p w14:paraId="57591E22" w14:textId="77777777" w:rsidR="0095720F" w:rsidRDefault="00000000">
      <w:pPr>
        <w:pStyle w:val="BodyText"/>
      </w:pPr>
      <w:r>
        <w:t xml:space="preserve">The second relation does not hold, and demonstrating this is not the examination of an inference Habermas states as such. One passage is a candidate: in 1983 he holds that Apel ‘bases the transcendental-pragmatic claim to ultimate justification, if I understand him correctly, on the equation of propositional truth with the experience of certitude’, an equation possible, he continues, only on the premises of a philosophy of consciousness, which is an argument from the pragmatic turn to the standing of what is claimed within it, and the diagnosis is adjudicated at §2.2.3. In the loci examined here the inference from immanence to fallibilism is nowhere stated as premise and </w:t>
      </w:r>
      <w:r>
        <w:lastRenderedPageBreak/>
        <w:t xml:space="preserve">conclusion; at the point where </w:t>
      </w:r>
      <w:r>
        <w:rPr>
          <w:i/>
          <w:iCs/>
        </w:rPr>
        <w:t>Theory of Communicative Action</w:t>
      </w:r>
      <w:r>
        <w:t xml:space="preserve"> opens the two stand within two pages of each other, connected by no inference, an expression meeting the precondition of rationality when it embodies knowledge which is fallible and for that reason open to objective assessment, and it being constitutive of an utterance’s rationality that the speaker raises a criticisable validity claim.</w:t>
      </w:r>
      <w:r>
        <w:rPr>
          <w:rStyle w:val="FootnoteReference"/>
        </w:rPr>
        <w:footnoteReference w:id="90"/>
      </w:r>
      <w:r>
        <w:t xml:space="preserve"> Fallibility is not derived from criticisability; the two are given together. To hold that no standpoint outside discursive practice is available, and to hold that every claim raised within it remains open to revision, are accordingly not two theses Habermas connects but one thesis about what it is for anything to count as a validity claim. What that one thesis does not contain is C3 as §2.1 stated it, which concerns not the claims raised within the practice but the reconstruction of what the raising presupposes; whether that yield inherits the fallibility of what is raised is the question the following paragraphs put, and it is because the presuppositions are not themselves validity claims in Habermas’s sense that the question is open. The account of why C2 and C3 must still be examined for independence is architectural rather than logical: a deficit derived from the conjunction is a consequence of the commitments only if none is sustained by the others, and what must be shown is that immanence does not by itself settle the modal status of everything a practice contains. Habermas’s ground for immanence is the unavailability of an external court before which a claim’s fitness might be certified independently of its being raised, contested and redeemed within the practice; that ground forecloses a standpoint </w:t>
      </w:r>
      <w:r>
        <w:rPr>
          <w:i/>
          <w:iCs/>
        </w:rPr>
        <w:t>external</w:t>
      </w:r>
      <w:r>
        <w:t xml:space="preserve"> to practice, and leaves untouched a possibility lying between such a standpoint and the bare claim that nothing internal could be apodictic, an internal and reflexive apodictic grounding, executed from within argumentation through the elenctic exhibition of what any denial of a condition performatively enacts. To rule it out requires the stronger premise that no apodictic grounding of any kind is available, internal or external, and that premise exceeds the ground Habermas states.</w:t>
      </w:r>
    </w:p>
    <w:p w14:paraId="10E5E322" w14:textId="77777777" w:rsidR="0095720F" w:rsidRDefault="00000000">
      <w:pPr>
        <w:pStyle w:val="BodyText"/>
      </w:pPr>
      <w:r>
        <w:t xml:space="preserve">Apel occupies that space. He affirms immanence in Habermas’s own sense, so far as that sense is the unavailability of an exterior, and states it more insistently, holding that no position outside the transcendental language-game is available from which its norms could be affirmed or negated (C2); that he presses immanence at least as insistently as Habermas is recorded by Habermas himself, who </w:t>
      </w:r>
      <w:r>
        <w:lastRenderedPageBreak/>
        <w:t>credits Apel with having found in argumentation as such a reference point as basic to the analysis of unavoidable rules as the ‘I think’ is to the philosophy of reflection, in the sentence Chapter Three §3.2.3 displays.</w:t>
      </w:r>
      <w:r>
        <w:rPr>
          <w:rStyle w:val="FootnoteReference"/>
        </w:rPr>
        <w:footnoteReference w:id="91"/>
      </w:r>
      <w:r>
        <w:t xml:space="preserve"> Where the two part is over what falls within it. Habermas’s criticisable validity claim is something a speaker </w:t>
      </w:r>
      <w:r>
        <w:rPr>
          <w:i/>
          <w:iCs/>
        </w:rPr>
        <w:t>raises</w:t>
      </w:r>
      <w:r>
        <w:t xml:space="preserve">, a determinate proposition put forward for a hearer’s acceptance or rejection, revisable because that is what putting something forward for acceptance or rejection means; what Apel’s transcendental-pragmatic </w:t>
      </w:r>
      <w:r>
        <w:rPr>
          <w:i/>
          <w:iCs/>
        </w:rPr>
        <w:t>Aufweis</w:t>
      </w:r>
      <w:r>
        <w:t xml:space="preserve"> discloses is not a claim of that kind but the condition of there being any claim-raising at all, the reciprocal structure a speaker and hearer must already occupy for anything to be put forward as acceptable-or-rejectable, which on his account is not itself raised for acceptance or rejection but exhibited in the raising, whatever is raised. Apel’s position is accordingly not a denial of Habermas’s thesis that validity claims are constitutively fallible; it is the claim that not everything operative within discursive practice is a validity claim in that sense, and that the reciprocal structure presupposed by claim-raising as such does not inherit the fallibility Habermas’s own definition attaches to what is raised. Whether that further claim is sound is what the categorial premise §2.2.2 states exists to test, and nothing here anticipates the result: what the counterexample requires is narrower than truth, since an entailment is defeated by a position which affirms its antecedent and denies its consequent without contradiction, and Apel’s architecture shows the position to be consistent, unless the diagnosis of 1983 recorded above succeeds, which §2.2.3 declines on Apel’s own testimony. The counterexample reaches C3 itself, and not the presuppositions alone, because Apel withholds fallibility also from the explication which states them, so far as it adequately explicates the performative evidence, a proviso which makes the certainty of the explication conditional upon an adequacy the explication does not itself certify; a position which withholds fallibility conditionally withholds it still.</w:t>
      </w:r>
    </w:p>
    <w:p w14:paraId="5E474E97" w14:textId="77777777" w:rsidR="0095720F" w:rsidRDefault="00000000">
      <w:pPr>
        <w:pStyle w:val="BodyText"/>
      </w:pPr>
      <w:r>
        <w:t xml:space="preserve">The counterexample is strengthened, and the disagreement narrowed, by the architecture Apel gives his own ethics, whose terms are taken as he states them and not as the anglophone reception has settled them. In </w:t>
      </w:r>
      <w:r>
        <w:rPr>
          <w:i/>
          <w:iCs/>
        </w:rPr>
        <w:t>Teil A</w:t>
      </w:r>
      <w:r>
        <w:t xml:space="preserve"> the principle of ethics is to be anchored, in accordance with the intention of a transcendental-pragmatic ultimate grounding, in the ideal communication community which any </w:t>
      </w:r>
      <w:r>
        <w:lastRenderedPageBreak/>
        <w:t xml:space="preserve">arguer indisputably presupposes and counterfactually anticipates; in </w:t>
      </w:r>
      <w:r>
        <w:rPr>
          <w:i/>
          <w:iCs/>
        </w:rPr>
        <w:t>Teil B</w:t>
      </w:r>
      <w:r>
        <w:t xml:space="preserve"> the task is to take express account of the counterfactual character of that necessary anticipation, as a problem for an ethics of responsibility related to history.</w:t>
      </w:r>
      <w:r>
        <w:rPr>
          <w:rStyle w:val="FootnoteReference"/>
        </w:rPr>
        <w:footnoteReference w:id="92"/>
      </w:r>
      <w:r>
        <w:t xml:space="preserve"> Two precisions tell against the received summary: </w:t>
      </w:r>
      <w:r>
        <w:rPr>
          <w:i/>
          <w:iCs/>
        </w:rPr>
        <w:t>Teil B</w:t>
      </w:r>
      <w:r>
        <w:t xml:space="preserve"> is itself a part of the </w:t>
      </w:r>
      <w:r>
        <w:rPr>
          <w:i/>
          <w:iCs/>
        </w:rPr>
        <w:t>grounding</w:t>
      </w:r>
      <w:r>
        <w:t xml:space="preserve">, a </w:t>
      </w:r>
      <w:r>
        <w:rPr>
          <w:i/>
          <w:iCs/>
        </w:rPr>
        <w:t>Begründungsteil</w:t>
      </w:r>
      <w:r>
        <w:t xml:space="preserve">, and not the counterpart to grounding, and Apel distinguishes its problem, the history-related application of the ethics of communication, from the familiar problem of applying moral norms. Apel therefore occupies the space the inference denies, and occupies it where the inference denies it, affirming immanence, withholding fallibility from what claim-raising presupposes, and locating the residue of contingency in a second part of the grounding, so that the disagreement stands exhibited as one about </w:t>
      </w:r>
      <w:r>
        <w:rPr>
          <w:i/>
          <w:iCs/>
        </w:rPr>
        <w:t>where a restriction falls</w:t>
      </w:r>
      <w:r>
        <w:t xml:space="preserve"> rather than about whether there is one. He withholds his strongest predicate at one point, in the case of experimental action and by contrast with the existence of language, in the sentence the note displays;</w:t>
      </w:r>
      <w:r>
        <w:rPr>
          <w:rStyle w:val="FootnoteReference"/>
        </w:rPr>
        <w:footnoteReference w:id="93"/>
      </w:r>
      <w:r>
        <w:t xml:space="preserve"> the passage does not show the restriction to be warranted, but records that the party who withholds fallibility from the presuppositions of argument himself marks where his own certainties end, and marks it within his own position and not along a scale joining it to Habermas’s.</w:t>
      </w:r>
    </w:p>
    <w:p w14:paraId="709EDC61" w14:textId="77777777" w:rsidR="0095720F" w:rsidRDefault="00000000">
      <w:pPr>
        <w:pStyle w:val="BodyText"/>
      </w:pPr>
      <w:r>
        <w:t xml:space="preserve">Why, then, should Habermas hold fallibilism at all, if immanence does not entail it? Because reconstructions are, on his own account at MCCA 32, theoretical knowledge, and stand under the tests such knowledge stands under: the commitment is substantive, a considered position answerable to reasons, and not a deduction from immanence. A reading of a connective corroborates this without being a premise the argument requires: the three characteristics of reconstructions Habermas notes, a critical function, a constructive role and the standing of a theoretical knowledge which competes with knowledge of other kinds, are what has ‘occasionally led philosophers to </w:t>
      </w:r>
      <w:r>
        <w:lastRenderedPageBreak/>
        <w:t>burden certain reconstructions with claims to ultimate justification’, and he concludes, ‘</w:t>
      </w:r>
      <w:r>
        <w:rPr>
          <w:i/>
          <w:iCs/>
        </w:rPr>
        <w:t>For this reason</w:t>
      </w:r>
      <w:r>
        <w:t xml:space="preserve"> it is important to see’ that all rational reconstructions have hypothetical status only.</w:t>
      </w:r>
      <w:r>
        <w:rPr>
          <w:rStyle w:val="FootnoteReference"/>
        </w:rPr>
        <w:footnoteReference w:id="94"/>
      </w:r>
      <w:r>
        <w:t xml:space="preserve"> What the connective supplies is a danger against which the hypothetical status must be insisted upon, and no premise from which it follows. The objection that would defeat C3, that fallibilism, if unrestricted, must apply to itself and so to the presuppositions in which it is advanced, has been met at C3, and the form in which the reception presses it against Kuhlmann is adjudicated at Chapter Three §3.3.3;</w:t>
      </w:r>
      <w:r>
        <w:rPr>
          <w:rStyle w:val="FootnoteReference"/>
        </w:rPr>
        <w:footnoteReference w:id="95"/>
      </w:r>
      <w:r>
        <w:t xml:space="preserve"> what C3 showed is that the restriction the objection demands is the one the operative–propositional asymmetry already supplies, and that it is principled rather than </w:t>
      </w:r>
      <w:r>
        <w:rPr>
          <w:i/>
          <w:iCs/>
        </w:rPr>
        <w:t>ad hoc</w:t>
      </w:r>
      <w:r>
        <w:t xml:space="preserve">, fallibilism being restricted to the propositional </w:t>
      </w:r>
      <w:r>
        <w:rPr>
          <w:i/>
          <w:iCs/>
        </w:rPr>
        <w:t>Was</w:t>
      </w:r>
      <w:r>
        <w:t xml:space="preserve"> and withheld from the operative </w:t>
      </w:r>
      <w:r>
        <w:rPr>
          <w:i/>
          <w:iCs/>
        </w:rPr>
        <w:t>Dass</w:t>
      </w:r>
      <w:r>
        <w:t xml:space="preserve"> because the </w:t>
      </w:r>
      <w:r>
        <w:rPr>
          <w:i/>
          <w:iCs/>
        </w:rPr>
        <w:t>Dass</w:t>
      </w:r>
      <w:r>
        <w:t xml:space="preserve"> is an enactment and not a proposition, whereas Apel’s own restriction withholds an item of the propositional kind from the assumption of possible falsity, and so falls on the other side of the categorial line C3 draws.</w:t>
      </w:r>
    </w:p>
    <w:p w14:paraId="19797A2A" w14:textId="77777777" w:rsidR="0095720F" w:rsidRDefault="00000000">
      <w:pPr>
        <w:pStyle w:val="BodyText"/>
      </w:pPr>
      <w:r>
        <w:t xml:space="preserve">This is why the entailment-reading could seem plausible: C3 stands to C1 and C2 in a relation close enough to be mistaken for entailment while being of another kind. Jointly, C1 and C2 leave open a question they cannot themselves decide, the yield-question: granted that reconstruction proceeds immanently and reflexively, what modal status, if any, does it confer upon the presuppositions it exhibits? Two answers are available to parties who share the elenctic result, each coherent and each immanent, Habermas’s that the reflexive </w:t>
      </w:r>
      <w:r>
        <w:rPr>
          <w:i/>
          <w:iCs/>
        </w:rPr>
        <w:t>Aufweis</w:t>
      </w:r>
      <w:r>
        <w:t xml:space="preserve"> yields no more than fallible reconstruction, Apel’s that some evidence must be withheld from the assumption of possible falsity; C3 is the Habermas-side resolution, and Heath fixes the same division at the level of the grounding strategy.</w:t>
      </w:r>
      <w:r>
        <w:rPr>
          <w:rStyle w:val="FootnoteReference"/>
        </w:rPr>
        <w:footnoteReference w:id="96"/>
      </w:r>
      <w:r>
        <w:t xml:space="preserve"> To frame </w:t>
      </w:r>
      <w:r>
        <w:lastRenderedPageBreak/>
        <w:t xml:space="preserve">the yield-question is to record that the two parties disagree over the modal status of the </w:t>
      </w:r>
      <w:r>
        <w:rPr>
          <w:i/>
          <w:iCs/>
        </w:rPr>
        <w:t>Aufweis</w:t>
      </w:r>
      <w:r>
        <w:t xml:space="preserve">, and not to assert the matter objectively undetermined; the objection that the framing begs the question mistakes dialectical for ontological openness. A third answer is available and is not taken: that the reflexive </w:t>
      </w:r>
      <w:r>
        <w:rPr>
          <w:i/>
          <w:iCs/>
        </w:rPr>
        <w:t>Aufweis</w:t>
      </w:r>
      <w:r>
        <w:t xml:space="preserve"> yields nothing modal at all, performative self-contradiction being a rhetorical embarrassment and no impossibility. This is not a variant of Habermas’s answer but the denial of what both parties share, since it withholds from the operative register the inescapability which is the one thing they do not dispute; it is refused at §2.2.2, where the compulsion is shown to be no sanction refusable at a cost, and the constructive labour of Chapter Three §3.2 is accordingly a condition of the diagnosis and not an addition to it.</w:t>
      </w:r>
    </w:p>
    <w:p w14:paraId="64505993" w14:textId="77777777" w:rsidR="0095720F" w:rsidRDefault="00000000">
      <w:pPr>
        <w:pStyle w:val="Heading3"/>
      </w:pPr>
      <w:bookmarkStart w:id="13" w:name="X27a69e4b078ca7121fe2595e5339c69d8e96218"/>
      <w:bookmarkEnd w:id="12"/>
      <w:r>
        <w:t>§2.2.2 · The categorial premise stated, and the two consequences drawn</w:t>
      </w:r>
    </w:p>
    <w:p w14:paraId="79893EB4" w14:textId="77777777" w:rsidR="0095720F" w:rsidRDefault="00000000">
      <w:pPr>
        <w:pStyle w:val="FirstParagraph"/>
      </w:pPr>
      <w:r>
        <w:t xml:space="preserve">What a speaker enacts in arguing and what a theorist says of it belong to different kinds. The first is a performance: that the speaker has undertaken what arguing requires, individuated by what a denial of it, performed, would undo. The second is a proposition: the statement of what he has undertaken, individuated by what would falsify it. The two are the operative and the propositional registers, and the German designations introduced at §2.1.5 — the </w:t>
      </w:r>
      <w:r>
        <w:rPr>
          <w:i/>
          <w:iCs/>
        </w:rPr>
        <w:t>Dass</w:t>
      </w:r>
      <w:r>
        <w:t xml:space="preserve"> for the enactment taken as enacted, the </w:t>
      </w:r>
      <w:r>
        <w:rPr>
          <w:i/>
          <w:iCs/>
        </w:rPr>
        <w:t>Was</w:t>
      </w:r>
      <w:r>
        <w:t xml:space="preserve"> for its articulation — name them throughout. Chapter One §1.1.1 named the distinction, the operative–propositional asymmetry, and §1.3.5 invoked it in locating the joint at which the passage from enactment to bindingness is required; §2.1.5 added that nothing modal passes between the registers, in either direction, without a further premise which reconstruction does not possess. Stated as a premise — that an enactment and its description belong to different kinds — the asymmetry is referred to below as the </w:t>
      </w:r>
      <w:r>
        <w:rPr>
          <w:i/>
          <w:iCs/>
        </w:rPr>
        <w:t>categorial premise</w:t>
      </w:r>
      <w:r>
        <w:t>.</w:t>
      </w:r>
      <w:r>
        <w:rPr>
          <w:rStyle w:val="FootnoteReference"/>
        </w:rPr>
        <w:footnoteReference w:id="97"/>
      </w:r>
    </w:p>
    <w:p w14:paraId="21378B95" w14:textId="77777777" w:rsidR="0095720F" w:rsidRDefault="00000000">
      <w:pPr>
        <w:pStyle w:val="BodyText"/>
      </w:pPr>
      <w:r>
        <w:lastRenderedPageBreak/>
        <w:t>Its ground lies in a difference of behaviour under denial, and three such behaviours have to be kept apart. A proposition meets its denial in the assertion of a negation, which is a further proposition and is assessed by the standards governing the first; the operation stays inside the propositional order and leaves that order as it was. A performative compulsion meets a second behaviour, miscarriage: no denial of the first shape reaches it, there being no negation available to assert, and one who sets out to argue while setting a presupposition of argument aside has not argued badly but has not argued. Bindingness meets a third behaviour, the withholding of compliance, which is neither the assertion of a negation nor a performance that miscarries but the refusal of a force which a norm exerts upon an agent; the validity claim raised for the norm is a proposition still, contested by negation as any other is, so that one and the same norm may be refused validity in discourse and refused obedience in action. Upon that difference the two registers are held apart as kinds and not as grades, and the holding apart owes nothing to any estimate of how reliably a reflection might reach the first. The premise is entered here with its ground and under a debt, and the debt is named: the criterion under which the three behaviours individuate at all, and the two objections the premise attracts, stand at Chapter Three §3.2.1 and §3.2.2, where the instrument is wanted for the work it was made for.</w:t>
      </w:r>
    </w:p>
    <w:p w14:paraId="6AF2A745" w14:textId="77777777" w:rsidR="0095720F" w:rsidRDefault="00000000">
      <w:pPr>
        <w:pStyle w:val="BodyText"/>
      </w:pPr>
      <w:r>
        <w:t xml:space="preserve">Two consequences of it are drawn in this chapter. The first is the burden rule. Where a denial cannot be carried through without its denier enacting what he denies, nothing is thereby proved; what is settled is where the burden of proof lies in the exchange in which the denial miscarried, and the distribution so settled is one the arguer made in arguing rather than a stopping-point anyone chose. Its yield is operative and indexed to the occasion, and a report of the distribution is corrigible as reports are. The second bears upon refutation. Refutation operates upon claims, and an enactment is not a claim; what the exhibition of a performative self-contradiction shows is that a speech act has gone unexecuted by the one who attempted it, and not that a proposition is false. Performative self-contradiction is used in these chapters in that bounded sense, of a denial which enacts in the performing what it denies in the content, and in no wider one. With it falls the reduction §2.2.1 leaves to be refused at this point, which would make the compulsion so exhibited a sanction laid upon would-be participants and refusable at a cost: a sanction is refused by the third behaviour, the withholding of compliance, and the denier of a presupposition of argument withholds nothing and pays nothing, having failed to argue rather than argued against a penalty. What the exhibition secures, it secures for the occasion of the denial, in the deed and for its </w:t>
      </w:r>
      <w:r>
        <w:lastRenderedPageBreak/>
        <w:t xml:space="preserve">performer; that the condition enacted holds of argument as such is a claim of another kind, about the type and not the token, and the passage from the one to the other is the first of the two intervals §2.2.3 reaches. What the premise claims for the enactment is distinctness from the proposition and not exemption from correction, and it is declared falsifiable under two conditions, either of which anyone may test: that negating the description of an enactment should undo the enactment, or that there should be an item at once performed and truth-apt which does not resolve into an utterance and a sentence uttered. The conditions are defended, together with the two objections the premise attracts, the inferentialist’s and the meaning-critical objection drawn from the position Apel and Kuhlmann hold, at Chapter Three §3.2.2; one further thing is done to the premise in this chapter, since §2.3.2 turns it upon its own individuation of the </w:t>
      </w:r>
      <w:r>
        <w:rPr>
          <w:i/>
          <w:iCs/>
        </w:rPr>
        <w:t>Dass</w:t>
      </w:r>
      <w:r>
        <w:t xml:space="preserve"> under Derrida’s argument from iterability, and the individuation is amended there.</w:t>
      </w:r>
    </w:p>
    <w:p w14:paraId="7A080197" w14:textId="77777777" w:rsidR="0095720F" w:rsidRDefault="00000000">
      <w:pPr>
        <w:pStyle w:val="Heading3"/>
      </w:pPr>
      <w:bookmarkStart w:id="14" w:name="the-three-tensions-and-what-is-handed-on"/>
      <w:bookmarkEnd w:id="13"/>
      <w:r>
        <w:t>§2.2.3 · The three tensions, and what is handed on</w:t>
      </w:r>
    </w:p>
    <w:p w14:paraId="203203E8" w14:textId="77777777" w:rsidR="0095720F" w:rsidRDefault="00000000">
      <w:pPr>
        <w:pStyle w:val="FirstParagraph"/>
      </w:pPr>
      <w:r>
        <w:t>Held together, the three commitments generate three tensions, one for each, and each is internal: it arises from what the programme holds on purpose, and not from anything an opponent supplies. The first is the tension of the relation, and it belongs to reconstructivism. The object of the reconstruction is a competence exercised, and the exercise of a presupposition of argument is, on the testimony of both programmes, not to be set aside by anyone who argues; the yield of the reconstruction is a description which is put forward for discussion as a logician’s is, and which has, in the clause of 1983 Habermas himself supplies, ‘only hypothetical status’.</w:t>
      </w:r>
      <w:r>
        <w:rPr>
          <w:rStyle w:val="FootnoteReference"/>
        </w:rPr>
        <w:footnoteReference w:id="98"/>
      </w:r>
      <w:r>
        <w:t xml:space="preserve"> The programme is thus committed to an irrefutability it can specify only fallibly: the inescapability is enacted, the account of it is revisable, and the two tests §2.1.2 examined reach the content and the extension of the account and not the standing of what it describes. Nor can the standing be carried across by either route the method commands: the route of description is closed by the passage §2.1.2 displays, which withholds from the reconstruction the certainty of the practice it reconstructs, together with the premise of §2.2.2; the route of self-application, on which a science that reconstructs its own competence would thereby close the interval between the performance and its reconstruction, is closed by fallibilism applied reflexively, the reconstruction of the presuppositions being itself an argument and claiming no exemption. The tension is not a contradiction, since the premise assigns </w:t>
      </w:r>
      <w:r>
        <w:lastRenderedPageBreak/>
        <w:t>the two standings to different kinds; it is the yield-question §2.2.1 named. Apel’s answer is that a reflection of another kind carries what the tests cannot: at the reflexive face of the performative, where the arguer thematises what his own arguing enacts, the difference between enacting and describing lapses, and the explication so reached is certain so far as it is adequate. Habermas’s diagnosis of that answer in 1983, that the certainty rests upon equating propositional truth with the experience of certitude, is declined on Apel’s own testimony that his procedure renews the problematic of self-reflection ‘in a non-psychological way’;</w:t>
      </w:r>
      <w:r>
        <w:rPr>
          <w:rStyle w:val="FootnoteReference"/>
        </w:rPr>
        <w:footnoteReference w:id="99"/>
      </w:r>
      <w:r>
        <w:t xml:space="preserve"> what remains in dispute between the programmes is not the paradigm but the yield. Whether an access of that kind exists, and whether the passage from the enacted token to the necessary type can be made by it, is the first interval of the deficit, and it is handed to Chapter Three, the chapter of the irrefutability dispute, with the localisation just given.</w:t>
      </w:r>
    </w:p>
    <w:p w14:paraId="39CC8D1C" w14:textId="77777777" w:rsidR="0095720F" w:rsidRDefault="00000000">
      <w:pPr>
        <w:pStyle w:val="BodyText"/>
      </w:pPr>
      <w:r>
        <w:t xml:space="preserve">The second is the tension of the standpoint, and it belongs to immanence. The reconstruction is conducted from within the practice whose conditions it renders, by a theorist who is a virtual participant and has no exterior (C2), and it claims for what it renders a reach which no evidence gathered from within the practice can certify: the assent of the speakers who correct a description is assent from a finite set, and the claim that the presuppositions are unavoidable for any arguer outruns every such set. This is the projection gap C1 named, and it has a practical as well as a methodological form, since the community actually arguing is always finite and the universality claimed for a norm justified in its discourse is not. The tension shows at two places examined below: where the reconstruction is asked to account for its own possibility as a result of what it reconstructs, the requirement Apel names the </w:t>
      </w:r>
      <w:r>
        <w:rPr>
          <w:i/>
          <w:iCs/>
        </w:rPr>
        <w:t>Selbsteinholungsprinzip</w:t>
      </w:r>
      <w:r>
        <w:t xml:space="preserve"> and Habermas meets with the genealogy of learning processes (§2.3.1); and where the exhibition on which the confutative method rests makes a requirement on its own behalf, that a denial be recognisable as the denial of what the denying enacts, which Derrida’s argument from iterability tests (§2.3.2). Neither the provincialism charge of §2.1.5 nor the genealogical charge of §2.1.3 resolves the tension against the programme, </w:t>
      </w:r>
      <w:r>
        <w:lastRenderedPageBreak/>
        <w:t>since each shows the investigation to be situated and neither shows its object to be; what survives them is a claim indexed to a practice, whose indexing §2.1.4 counted.</w:t>
      </w:r>
    </w:p>
    <w:p w14:paraId="774E3CFE" w14:textId="77777777" w:rsidR="0095720F" w:rsidRDefault="00000000">
      <w:pPr>
        <w:pStyle w:val="BodyText"/>
      </w:pPr>
      <w:r>
        <w:t xml:space="preserve">The third is the tension of the grade, and it belongs to fallibilism. Every articulation of the presuppositions is revisable, and the programme nevertheless undertakes to justify a principle of universalisation whose validity is to bind, and to derive it from the content of presuppositions so articulated (Chapter One §1.4.3). What the reconstruction can confer upon a norm is the grade its tests confer, a hypothesis corroborated by recognition and by the absence of a counterexample; what the programme’s deontological undertaking requires is a </w:t>
      </w:r>
      <w:r>
        <w:rPr>
          <w:i/>
          <w:iCs/>
        </w:rPr>
        <w:t>Sollgeltung</w:t>
      </w:r>
      <w:r>
        <w:t>, the mode of validity attaching to norms, which no corroboration confers. The interval is reached on two routes. On the categorial route it is the premise of §2.2.2 applied once more: the standing of what a speaker enacts does not pass to the norm whose validity the reconstructed presuppositions are said to secure, since a norm’s bindingness is a third kind of item, refused by the withholding of compliance, and neither an enactment nor a proposition. On the route of the illocutionary bond, which uses none of the three commitments, it follows from the warranty-structure as Chapter One §1.3.2 analyses it, a rightness claim warranting that reasons for a norm’s validity can be produced and thereby deferring to a validity it does not institute, the cost of which to a procedure Chapter One §1.4.2 draws out. Habermas states both halves of the result in 2020, in two sentences which stand together: ‘Therefore, the mode of the normative validity of moral statements cannot be derived from the idealized content of any presupposition of discourse but only from the obligatory meaning and the socially integrating force of social norms that demand recognition and actual respect from acting subjects’; and ‘The quasi-transcendental necessitation of unavoidable presuppositions of argumentation alone cannot generate morally binding force. This force belongs instead to the norms that are introduced into moral–practical discourses because they have become problematic.’</w:t>
      </w:r>
      <w:r>
        <w:rPr>
          <w:rStyle w:val="FootnoteReference"/>
        </w:rPr>
        <w:footnoteReference w:id="100"/>
      </w:r>
      <w:r>
        <w:t xml:space="preserve"> The sentence of 1991 displayed at §2.1.4, on which the weak transcendental proof is said to suffice to ground the universalistic validity claim of a procedurally conceived moral principle, is not withdrawn by these: it concerns the universality of the principle, and what the statement of 2020 withholds is the derivation of the ought’s bindingness from the presuppositions, so that the two fall on either side of the interval; the reading is offered as a reading. The deficit so reached, with the objections to </w:t>
      </w:r>
      <w:r>
        <w:lastRenderedPageBreak/>
        <w:t xml:space="preserve">it and with the architecture </w:t>
      </w:r>
      <w:r>
        <w:rPr>
          <w:i/>
          <w:iCs/>
        </w:rPr>
        <w:t>Faktizität und Geltung</w:t>
      </w:r>
      <w:r>
        <w:t xml:space="preserve"> builds upon the discourse principle as the programme’s own answer to where bindingness is constituted if not in the presuppositions of argument, is handed to Chapter Four.</w:t>
      </w:r>
    </w:p>
    <w:p w14:paraId="0F86C39A" w14:textId="77777777" w:rsidR="0095720F" w:rsidRDefault="00000000">
      <w:pPr>
        <w:pStyle w:val="BodyText"/>
      </w:pPr>
      <w:r>
        <w:t xml:space="preserve">The assignment of the tensions to the commitments is not a mnemonic, and its criterion is this: each tension is resolved, while the programme’s claim stands, only by weakening the commitment to which it is assigned. The tension of the relation is resolved by admitting an access of another kind, strict reflection, which surrenders the exclusiveness reconstructivism asserts and is Apel’s course; the tension of the standpoint by admitting a standpoint beyond the practice from which the reach of its conditions might be certified, which surrenders immanence; the tension of the grade by exempting the ground of the principle from revision, which surrenders fallibilism and is again Apel’s course, in the </w:t>
      </w:r>
      <w:r>
        <w:rPr>
          <w:i/>
          <w:iCs/>
        </w:rPr>
        <w:t>Letztbegründung</w:t>
      </w:r>
      <w:r>
        <w:t xml:space="preserve"> of the principle of ethics. Each tension draws upon more than its own commitment, but what dissolves it is the loss of one commitment only, and that is the commitment which owns it; the cost of each tension is accordingly the cost of a commitment, which is what §2.3 requires when it asks what sustaining the programme costs. A programme holding the three on purpose can take none of the three courses without ceasing to be the programme; a fourth course, the withdrawal of the deontological undertaking itself, resolves nothing but changes the programme, and is examined in Chapter Four. What remains to the programme is to sustain the tensions from within, meeting each objection by a bounded concession whose boundary is then declared, and that discipline is what §2.3 names philosophical self-reflexivity and examines in the three resources Habermas brings to it. Whether the discipline reaches the aporia of truth, or leaves it standing as a limit, is the question with which the chapter ends.</w:t>
      </w:r>
    </w:p>
    <w:p w14:paraId="400AB101" w14:textId="77777777" w:rsidR="0095720F" w:rsidRDefault="00000000">
      <w:pPr>
        <w:pStyle w:val="Heading2"/>
      </w:pPr>
      <w:bookmarkStart w:id="15" w:name="X13495b593f0acfe3c63059177e764c929a74181"/>
      <w:bookmarkEnd w:id="11"/>
      <w:bookmarkEnd w:id="14"/>
      <w:r>
        <w:t>§2.3 · Habermas’s Response, the Cost of the Categorial Premise, and the Aporia as Limit</w:t>
      </w:r>
    </w:p>
    <w:p w14:paraId="753546D5" w14:textId="77777777" w:rsidR="0095720F" w:rsidRDefault="00000000">
      <w:pPr>
        <w:pStyle w:val="Heading3"/>
      </w:pPr>
      <w:bookmarkStart w:id="16" w:name="X19f279310f20924cd127d417625661ac2d12365"/>
      <w:r>
        <w:t>§2.3.1 · Self-reflexivity, and the three resources with their costs</w:t>
      </w:r>
    </w:p>
    <w:p w14:paraId="17EB408F" w14:textId="77777777" w:rsidR="0095720F" w:rsidRDefault="00000000">
      <w:pPr>
        <w:pStyle w:val="FirstParagraph"/>
      </w:pPr>
      <w:r>
        <w:t xml:space="preserve">The tensions the three commitments generate from within are not to be overcome: a resolution reached by weakening any commitment would defend the programme by abandoning it. If the commitments are to be retained, the tensions must be sustained, and the discipline of sustaining them — each objection met not by refutation but by a bounded concession whose boundary then determines the tension’s shape — is the office this section assigns to philosophical self-reflexivity, argument turned back upon the conditions of its own possibility. Two properties of different orders meet in that phrase: the self-referentiality of argumentation, a property of the object, since every </w:t>
      </w:r>
      <w:r>
        <w:lastRenderedPageBreak/>
        <w:t>argument instantiates the conditions under which arguments are made, and the self-reflexivity of philosophy, the consequence at the level of the discipline, since an enquiry whose object is the conditions of argument, and whose instrument is argument, has no exterior from which to specify what it studies. The warrant is Habermas’s own diagnosis of what the tradition had to surrender, which §2.1 expounds, and the consequence drawn from it here, not by him, is that the reversal of the gaze cannot be executed from outside: a discipline which has renounced the objectivating stance towards its own conditions cannot reoccupy that stance to describe its renunciation without withdrawing the renunciation, and a philosophy to which the lifeworld is present only as horizon has no vantage upon the horizon, only its position within it. The discipline’s turn upon its own conditions must therefore itself be conducted from the participant’s perspective, and this is a constraint upon the argument conducted here and not merely a thesis it reports: a self-reflexivity which borrowed an observer’s standpoint would reoccupy, in its method, the position its own premise forecloses.</w:t>
      </w:r>
    </w:p>
    <w:p w14:paraId="37186612" w14:textId="77777777" w:rsidR="0095720F" w:rsidRDefault="00000000">
      <w:pPr>
        <w:pStyle w:val="BodyText"/>
      </w:pPr>
      <w:r>
        <w:rPr>
          <w:i/>
          <w:iCs/>
        </w:rPr>
        <w:t>The fact of reason.</w:t>
      </w:r>
      <w:r>
        <w:t xml:space="preserve"> The first resource is the </w:t>
      </w:r>
      <w:r>
        <w:rPr>
          <w:i/>
          <w:iCs/>
        </w:rPr>
        <w:t>Faktum der Vernunft</w:t>
      </w:r>
      <w:r>
        <w:t>, the Kantian term Habermas borrows analogically for a compulsion given and not derived; it stands in his text concessively and by analogy, and the use made of it here, sustaining irrefutability at the operative register, is the chapter’s. The commitment §2.2.3 records is this: whoever argues that no presupposition of argumentation is beyond denial defeats his own performance in the arguing, and the defeat occurs in the deed, whatever any theory has said of what he denies (C3), the licence for the result falling to Chapter Three. At MCCA 95 the demonstration is first delimited, in the sentence §2.1.2 displays; only then is the concession entered, concessively: ‘True, the participants must have accepted them as a “fact of reason” in setting out to argue.’ The denial follows adversatively: ‘But this kind of argument cannot accomplish a transcendental deduction in the Kantian sense.’</w:t>
      </w:r>
      <w:r>
        <w:rPr>
          <w:rStyle w:val="FootnoteReference"/>
        </w:rPr>
        <w:footnoteReference w:id="101"/>
      </w:r>
      <w:r>
        <w:t xml:space="preserve"> The three moves are printed in that sequence, and the sequence carries the reading: the concession stands between the delimitation and the denial and identifies what the delimited demonstration has secured, the rules themselves, which the participants are said to have </w:t>
      </w:r>
      <w:r>
        <w:rPr>
          <w:i/>
          <w:iCs/>
        </w:rPr>
        <w:t>accepted</w:t>
      </w:r>
      <w:r>
        <w:t xml:space="preserve"> as a fact of reason, acceptance being a predicate of an act and not of a proposition. The sentence distributes its predicates across the categorial boundary §2.2.2 states without remarking on the alignment. The restriction is stated again thirty-five pages </w:t>
      </w:r>
      <w:r>
        <w:lastRenderedPageBreak/>
        <w:t>later: the presuppositions ‘always already underlie the communicative practice of everyday life and that cannot be picked or chosen like makes of cars or value postulates’, and the fact of reason itself ‘cannot be deductively grounded, but it can be clarified’ by conceiving argumentative speech as a special and privileged case of action oriented to reaching understanding.</w:t>
      </w:r>
      <w:r>
        <w:rPr>
          <w:rStyle w:val="FootnoteReference"/>
        </w:rPr>
        <w:footnoteReference w:id="102"/>
      </w:r>
      <w:r>
        <w:t xml:space="preserve"> What the resource secures is accordingly indexed to performance from the outset. Its office against the sceptic is one thing; its office against an argument about the conditions of a sign’s recognisability is another, and §2.3.2 states the difference and its cost.</w:t>
      </w:r>
    </w:p>
    <w:p w14:paraId="3E109C40" w14:textId="77777777" w:rsidR="0095720F" w:rsidRDefault="00000000">
      <w:pPr>
        <w:pStyle w:val="BodyText"/>
      </w:pPr>
      <w:r>
        <w:rPr>
          <w:i/>
          <w:iCs/>
        </w:rPr>
        <w:t>The confutative method.</w:t>
      </w:r>
      <w:r>
        <w:t xml:space="preserve"> The second resource is the confutative method itself, post-metaphysical philosophy’s characteristic </w:t>
      </w:r>
      <w:r>
        <w:rPr>
          <w:i/>
          <w:iCs/>
        </w:rPr>
        <w:t>via negativa</w:t>
      </w:r>
      <w:r>
        <w:t>, establishing results by exhibiting the self-defeat of denials rather than by deriving them from self-evident premises. It meets Apel where §2.2.1 leaves him standing. Apel does not dispute that the presuppositions bind; what he disputes is the status of the binding, and he affirms the binding itself, on the charge Kettner reports in his name and on that warrant alone, more consistently than Habermas’s architecture allows. What his objection reaches, on the reconstruction offered here from Kettner’s exposition, is the reach the programme claims for the method’s results. The confutative exhibition operates within discourse: its verdicts fall upon performances of denial, and a performance of denial is available only where someone argues. The priority of communicative over strategic action, the ranking upon which the parasitism apparatus inherited at Chapter One §1.3.1 depends, is a thesis about language at large, and the openly strategic actor, using language without even a pretence of an orientation to reaching understanding, performs no denial within discourse upon which the exhibition could operate. The denier of the priority is another matter, since whoever denies it in argument argues; what his defeat secures, upon the categorial premise §2.2.2 states, is the operative result and not the proposition he denies. This, on Kettner’s exposition of Apel’s charge, is the point beyond which universal pragmatics on its own cannot reach: the derivative status of the strategic can be demonstrated, if at all, only from within argumentative discourse, by the strictly reflexive transcendental argument Habermas’s method declines.</w:t>
      </w:r>
      <w:r>
        <w:rPr>
          <w:rStyle w:val="FootnoteReference"/>
        </w:rPr>
        <w:footnoteReference w:id="103"/>
      </w:r>
      <w:r>
        <w:t xml:space="preserve"> The refusal carries a cost. The priority thesis stands, on Apel’s own terms, undischarged </w:t>
      </w:r>
      <w:r>
        <w:lastRenderedPageBreak/>
        <w:t xml:space="preserve">by confutation alone, a debt this chapter enters rather than conceals, and one which recurs wherever the </w:t>
      </w:r>
      <w:r>
        <w:rPr>
          <w:i/>
          <w:iCs/>
        </w:rPr>
        <w:t>Selbsteinholungsprinzip</w:t>
      </w:r>
      <w:r>
        <w:t xml:space="preserve"> requires a reconstruction to render its own possibility intelligible as an outcome of what it reconstructs.</w:t>
      </w:r>
      <w:r>
        <w:rPr>
          <w:rStyle w:val="FootnoteReference"/>
        </w:rPr>
        <w:footnoteReference w:id="104"/>
      </w:r>
    </w:p>
    <w:p w14:paraId="1E4729AE" w14:textId="77777777" w:rsidR="0095720F" w:rsidRDefault="00000000">
      <w:pPr>
        <w:pStyle w:val="BodyText"/>
      </w:pPr>
      <w:r>
        <w:t>Apel does not situate the boundary of that compulsion where Habermas situates it, and the difference concerns the placing of the floor — the widest field within which the compulsion holds — and not the kind of boundary each party draws, which §2.2.2 fixes as categorial. He holds the presupposition of an unlimited communication community to be undertaken not in argumentation alone but ‘in any argument, indeed in any human word’, and, in his own qualification, ‘with any action that is to be intelligible’.</w:t>
      </w:r>
      <w:r>
        <w:rPr>
          <w:rStyle w:val="FootnoteReference"/>
        </w:rPr>
        <w:footnoteReference w:id="105"/>
      </w:r>
      <w:r>
        <w:t xml:space="preserve"> On that account the openly strategic actor exits argumentation without exiting the field, and the debt just entered would be discharged by the wider scope rather than owed. Where Habermas places the floor is reported at §2.3.3 from MCCA 99–101 and displayed at Chapter One §1.5.3; which of the two boundaries holds is a question Chapter Three states at §3.3.6 and declares open there. The reply entered at §2.1.5 against Derrida’s form of the charge does not depend upon the debt: it turns upon the parasitism thesis read diagnostically, as Chapter One §1.3.1 bounds it, a dependence established case by case, whereas what Apel’s objection leaves undischarged is the general priority of the communicative over the strategic, which the diagnostic reading neither asserts nor needs. Nor is the debt one-sided, since Apel discharges the office by a reflection whose availability is the matter in dispute between the programmes (§2.2.3); a debt which one party cannot discharge and the other discharges by a means the first does not accept as discharging it marks a disagreement about what discharge would be.</w:t>
      </w:r>
    </w:p>
    <w:p w14:paraId="2B16B74D" w14:textId="77777777" w:rsidR="0095720F" w:rsidRDefault="00000000">
      <w:pPr>
        <w:pStyle w:val="BodyText"/>
      </w:pPr>
      <w:r>
        <w:rPr>
          <w:i/>
          <w:iCs/>
        </w:rPr>
        <w:t>The genealogical resource.</w:t>
      </w:r>
      <w:r>
        <w:t xml:space="preserve"> The third resource answers the narrower objection Habermas puts against his own programme, stated at §2.1.5 from the same page: a specification of rationality can be no more than a proposal for a definition or a description of empirically widespread discursive behaviour, and </w:t>
      </w:r>
      <w:r>
        <w:lastRenderedPageBreak/>
        <w:t>neither warrants the reflexive self-understanding of a way of thinking as a whole.</w:t>
      </w:r>
      <w:r>
        <w:rPr>
          <w:rStyle w:val="FootnoteReference"/>
        </w:rPr>
        <w:footnoteReference w:id="106"/>
      </w:r>
      <w:r>
        <w:t xml:space="preserve"> It answers it not by referring validity to genesis, which its own proviso forbids, but by referring the rational acceptability of a formation of convictions to learning processes which can be rationally retraced, in his phrase, and which, on the reading taken here, participants could themselves acknowledge as learning. The proviso is entered in Habermas’s own voice: a genealogical consideration of learning processes would be a contradiction in itself, he writes, were it not framed so that the independence of the validity of statements from their genesis can be preserved at the logical-semantic level.</w:t>
      </w:r>
      <w:r>
        <w:rPr>
          <w:rStyle w:val="FootnoteReference"/>
        </w:rPr>
        <w:footnoteReference w:id="107"/>
      </w:r>
      <w:r>
        <w:t xml:space="preserve"> What the resource vindicates is therefore a practice’s acquisition and not its validity, the proviso withholding the passage from genesis to validity rather than stating the limitation in those terms; the limitation is legible in the shape of the move itself, which answers a genealogical question with a solution no longer genealogical in the sense that posed it. The taxonomy under which the move is made is threefold — subversive, problematising, vindicatory — and only the first and third bear upon the charge at issue; that the author to whom Habermas credits the taxonomy advances it against the genealogy he undertakes, and not as an instrument offered to it, is recorded in the note.</w:t>
      </w:r>
      <w:r>
        <w:rPr>
          <w:rStyle w:val="FootnoteReference"/>
        </w:rPr>
        <w:footnoteReference w:id="108"/>
      </w:r>
    </w:p>
    <w:p w14:paraId="2182DC91" w14:textId="77777777" w:rsidR="0095720F" w:rsidRDefault="00000000">
      <w:pPr>
        <w:pStyle w:val="Heading3"/>
      </w:pPr>
      <w:bookmarkStart w:id="17" w:name="X01800453d40bebbf0b3cbec5fb6f3bb46487761"/>
      <w:bookmarkEnd w:id="16"/>
      <w:r>
        <w:t>§2.3.2 · The constancy requirement, and the concession it forces</w:t>
      </w:r>
    </w:p>
    <w:p w14:paraId="3454671D" w14:textId="77777777" w:rsidR="0095720F" w:rsidRDefault="00000000">
      <w:pPr>
        <w:pStyle w:val="FirstParagraph"/>
      </w:pPr>
      <w:r>
        <w:t xml:space="preserve">Derrida’s charge, taken at the point where it bears upon the requirement the exhibition makes on its own behalf, is not the general charge against presence which §2.1.5 states and §2.2.2 answers. It is a specific objection to a specific requirement: that participants in an exchange use expressions with constant meaning. The requirement can be found in the catalogue of rules of argumentation </w:t>
      </w:r>
      <w:r>
        <w:lastRenderedPageBreak/>
        <w:t>Habermas adopts, at the logical-semantic level, as rule (1.3): ‘Different speakers may not use the same expression with different meanings.’ It cannot be staged upon that rule, and the reason is on the same page. Habermas takes the catalogue over from Alexy ‘for simplicity’, and in the sentences immediately following the rule he sets the whole level aside: the presuppositions of argumentation at this level ‘are logical and semantic rules that have no ethical content. They are not a suitable point of departure for a transcendental-pragmatic argument.’</w:t>
      </w:r>
      <w:r>
        <w:rPr>
          <w:rStyle w:val="FootnoteReference"/>
        </w:rPr>
        <w:footnoteReference w:id="109"/>
      </w:r>
      <w:r>
        <w:t xml:space="preserve"> A concession extracted from rule (1.3) would therefore be extracted from a requirement the programme has already declined to build upon. What the objection reaches is not the catalogue but the exhibition. For a performative self-contradiction to be exhibited at all, the denial a speaker performs must be recognisable, by him and by his interlocutor, as the denial of the presupposition his denying enacts. That recognisability is a requirement of constancy which the </w:t>
      </w:r>
      <w:r>
        <w:rPr>
          <w:i/>
          <w:iCs/>
        </w:rPr>
        <w:t>Aufweis</w:t>
      </w:r>
      <w:r>
        <w:t xml:space="preserve"> makes on its own behalf, whatever the catalogue says, and which Chapter Three §3.2.2 states for the exhibition in its own terms. How much constancy it requires is not settled by stating it: an identity of content holding across every context of use would answer to it, and so would the weaker condition that a denier and his interlocutor take the expression of the denial for the expression his performance presupposes. It is that requirement, and the question of its strength, which Derrida’s argument tests.</w:t>
      </w:r>
    </w:p>
    <w:p w14:paraId="2504A578" w14:textId="77777777" w:rsidR="0095720F" w:rsidRDefault="00000000">
      <w:pPr>
        <w:pStyle w:val="BodyText"/>
      </w:pPr>
      <w:r>
        <w:t xml:space="preserve">Against it Derrida’s argument runs as follows. A mark is what it is only in being repeatable: a written communication ‘must be repeatable — iterable — in the absolute absence of the addressee or of the empirically determinable set of addressees’, and a mark ‘is constituted, in its identity as a mark, by its iterability in the absence of whoever, and therefore ultimately in the absence of every empirically determinable “subject.”’ The argument is generalised from writing to every element of spoken language: the unity of a signifying form ‘is constituted only by its iterability, by the possibility of being repeated in the absence not only of its referent, which goes without saying, but of a determined signified or current intention of signification’, and ‘given this structure of iteration, the </w:t>
      </w:r>
      <w:r>
        <w:lastRenderedPageBreak/>
        <w:t>intention which animates utterance will never be completely present in itself and its content’.</w:t>
      </w:r>
      <w:r>
        <w:rPr>
          <w:rStyle w:val="FootnoteReference"/>
        </w:rPr>
        <w:footnoteReference w:id="110"/>
      </w:r>
      <w:r>
        <w:t xml:space="preserve"> Derrida’s target is Austin’s exclusion of the non-serious, the uses of language Austin sets aside as ‘not seriously’ meant and ‘in ways parasitic upon its normal use — ways which fall under the doctrine of the etiolations of language’, and his complaint is that what is thereby excluded is what Austin ‘nevertheless recognizes as the possibility to which every utterance is open’. The conclusion is drawn on the side of success and not of failure: ‘a successful performative is necessarily an “impure” performative’, and the ‘relative purity’ Austin allows ‘is not constructed against citationality or iterability, but against other kinds of iteration within a general iterability’. In place of the exclusion he proposes ‘a differential typology of forms of iteration’, within which ‘the category of intention will not disappear; it will have its place, but from this place it will no longer be able to govern the entire scene and the entire system of utterances’.</w:t>
      </w:r>
      <w:r>
        <w:rPr>
          <w:rStyle w:val="FootnoteReference"/>
        </w:rPr>
        <w:footnoteReference w:id="111"/>
      </w:r>
      <w:r>
        <w:t xml:space="preserve"> The essay closes with a disclaimer which is relied upon below: Derrida will not conclude that ‘there is no effect of the performative, no effect of ordinary language, no effect of presence and of speech acts’; these effects ‘do not exclude what is generally opposed to them term by term, but on the contrary presuppose it … as the general space of their possibility’.</w:t>
      </w:r>
      <w:r>
        <w:rPr>
          <w:rStyle w:val="FootnoteReference"/>
        </w:rPr>
        <w:footnoteReference w:id="112"/>
      </w:r>
    </w:p>
    <w:p w14:paraId="3E4CAF94" w14:textId="77777777" w:rsidR="0095720F" w:rsidRDefault="00000000">
      <w:pPr>
        <w:pStyle w:val="BodyText"/>
      </w:pPr>
      <w:r>
        <w:t xml:space="preserve">Habermas contested this argument in print, and the contest must be entered before anything is conceded. In the excursus on the levelling of the genre distinction between philosophy and literature he replies that Derrida ‘obviously already presupposes what he wants to prove: that any convention which permits the repetition of exemplary actions possesses from the outset not only a symbolic, but also a fictional character’. ‘Only the actually performed speech act is effective as action; the </w:t>
      </w:r>
      <w:r>
        <w:lastRenderedPageBreak/>
        <w:t>promise mentioned or reported in a quote depends grammatically upon this’; Derrida ‘makes no attempt to “deconstruct” this distinctive functional mode of ordinary speech within communicative action’; and the illocutionary binding force Austin discovered places normal speech ‘under constraints different from those of fictional discourse, simulation, and interior monologue’, constraints which ‘define the domain of “normal” language’. The burden he lays upon Derrida is stated in one sentence: ‘it must first be shown that the conventions of a game are ultimately indistinguishable from norms of action’.</w:t>
      </w:r>
      <w:r>
        <w:rPr>
          <w:rStyle w:val="FootnoteReference"/>
        </w:rPr>
        <w:footnoteReference w:id="113"/>
      </w:r>
      <w:r>
        <w:t xml:space="preserve"> The reply is considered and is not empty, though the note records what it engages and what it does not; it does not restore what the objection removes. What it defends is the asymmetry of the ordinary and the parasitic, the priority thesis, whose separate cost §2.3.1 has entered against Apel; what the objection targets is identity of meaning across contexts, and a defence of differential constraints upon use does not deliver identity of content across uses. Habermas’s wording is, besides, weaker than the position he attacks in the form Culler gives it would require: ordinary speech stands under constraints ‘different from’ those of fiction, and the claim that they differ in kind is carried not by that sentence but by the burden the same passage lays upon Derrida, which is where it must be met. The two exchanges pass each other, since nothing in Habermas’s reply claims the context-invariance a thick constancy requirement would need.</w:t>
      </w:r>
    </w:p>
    <w:p w14:paraId="1EF8A971" w14:textId="77777777" w:rsidR="0095720F" w:rsidRDefault="00000000">
      <w:pPr>
        <w:pStyle w:val="BodyText"/>
      </w:pPr>
      <w:r>
        <w:t xml:space="preserve">The concession this forces is prepared by a sentence Habermas writes against Apel, in the reply of 2003, and is not made by him. There he records that in deriving the universal validity of (U) he follows Apel’s nondeductive model of justification by the uncovering of a sceptic’s performative contradictions, and locates the disagreement in one sentence: ‘The point of contention between Apel and me is not this justification move but its status in a nonfoundational game of justification.’ Nine pages later the status is fixed. The transcendental-pragmatic argument, to which Apel accords the role of an ultimate justification, ‘has in reality the status of a presumptively infallible, and at any rate discursively nontestable, reassurance. If it were an argument, it would be located in a linguistic </w:t>
      </w:r>
      <w:r>
        <w:lastRenderedPageBreak/>
        <w:t>context that offers as many opportunities for criticism as it has facets.’</w:t>
      </w:r>
      <w:r>
        <w:rPr>
          <w:rStyle w:val="FootnoteReference"/>
        </w:rPr>
        <w:footnoteReference w:id="114"/>
      </w:r>
      <w:r>
        <w:t xml:space="preserve"> What Habermas denies the transcendental-pragmatic argument, so long as it is accorded Apel’s role, is the standing of an argument at all: what remains is a reassurance, presumptively infallible and discursively untestable, and no such reassurance was claimed for the exhibition in these pages. The conditional which follows states what the thin reading below keeps, that were it an argument it would stand in a linguistic context and open to criticism at every facet. The sentence is directed at Apel and says nothing of Derrida, and the step from it to what Derrida’s argument needs, that an exhibition which is an argument is conducted in iterable marks and nowhere else, is taken here and not by him.</w:t>
      </w:r>
    </w:p>
    <w:p w14:paraId="44892460" w14:textId="77777777" w:rsidR="0095720F" w:rsidRDefault="00000000">
      <w:pPr>
        <w:pStyle w:val="BodyText"/>
      </w:pPr>
      <w:r>
        <w:t xml:space="preserve">The categorial premise of §2.2.2 cannot then be defended unchanged, and does not need to be abandoned; it needs the downgrade §2.1.4 recorded at the modal register, from an unconditional to an indexed necessity, applied now to meaning itself. What the </w:t>
      </w:r>
      <w:r>
        <w:rPr>
          <w:i/>
          <w:iCs/>
        </w:rPr>
        <w:t>Aufweis</w:t>
      </w:r>
      <w:r>
        <w:t xml:space="preserve"> requires from constancy of meaning is thin: that a denial and the affirmation it contradicts be recognisable, within a given exchange, as instances of the same citational type, sufficient for the incoherence of denying-while-affirming to register between these interlocutors, here. The requirement is participant-indexed, and the index is its content. A prohibition upon different speakers using the same expression with different meanings, read at face value, is thicker: a demand for a stable identity of meaning across speakers, which is what iterability puts out of reach, the identity it constitutes being that of the mark and not of a signified stable across its uses. The deployments of the instrument in this chapter — the analysis of denial at §2.2.2, the confinement of Stroud’s objection at C2, the reply to the fallibility objection at C3 — draw upon no more than the thin requirement. Nor is the thin requirement one Derrida’s argument excludes: a recognisability sufficient for incoherence to register is one of the ‘forms of iteration’ which the differential typology he proposes would have to sort, a typology whose tenability as an exhaustive programme he expressly holds off from affirming, and the place he assigns to intention within it, from which intention no longer governs the entire scene, is a place the thin reading can leave it, since the thin reading asks of intention nothing the typology denies it.</w:t>
      </w:r>
    </w:p>
    <w:p w14:paraId="5C4545EC" w14:textId="77777777" w:rsidR="0095720F" w:rsidRDefault="00000000">
      <w:pPr>
        <w:pStyle w:val="BodyText"/>
      </w:pPr>
      <w:r>
        <w:t xml:space="preserve">The individuation of the </w:t>
      </w:r>
      <w:r>
        <w:rPr>
          <w:i/>
          <w:iCs/>
        </w:rPr>
        <w:t>Dass</w:t>
      </w:r>
      <w:r>
        <w:t xml:space="preserve"> is thus amended, and the premise stands: the </w:t>
      </w:r>
      <w:r>
        <w:rPr>
          <w:i/>
          <w:iCs/>
        </w:rPr>
        <w:t>Dass</w:t>
      </w:r>
      <w:r>
        <w:t xml:space="preserve"> is individuated no more finely than by the citational recognisability sufficient for incoherence to be exhibited, and not </w:t>
      </w:r>
      <w:r>
        <w:lastRenderedPageBreak/>
        <w:t xml:space="preserve">by a self-identical meaning surviving the exchange intact. What §2.2.2 fixed — that the </w:t>
      </w:r>
      <w:r>
        <w:rPr>
          <w:i/>
          <w:iCs/>
        </w:rPr>
        <w:t>Dass</w:t>
      </w:r>
      <w:r>
        <w:t xml:space="preserve"> is individuated by what its denial, performed, would undo — is unaltered; the amendment fixes the reach of the undoing, which is the exchange in which the denial is performed. The cost is that a thin, citational </w:t>
      </w:r>
      <w:r>
        <w:rPr>
          <w:i/>
          <w:iCs/>
        </w:rPr>
        <w:t>Dass</w:t>
      </w:r>
      <w:r>
        <w:t xml:space="preserve"> is individuated only relative to a given exchange, and nothing guarantees its stability beyond it; the interval between what is operatively secured and what any reconstruction can state opens earlier than the thick reading suggested, though it does not close. The two intervals §2.2.3 reaches are reached with the amended premise and not the thick one: the first premise of that account is the programme’s commitment to an irrefutability Habermas himself indexes, and an individuation relative to an exchange is a further index of the same kind. What the amendment alters is the width of the interval and not its existence, and a wider deficit is not a repaired one. Derrida himself later supplies the nearest counterpart to the illocutionary bond, in the sworn faith of 1996, a pledge of promising at work in every address and guaranteed nowhere beyond the exchange it binds, to which the thin </w:t>
      </w:r>
      <w:r>
        <w:rPr>
          <w:i/>
          <w:iCs/>
        </w:rPr>
        <w:t>Dass</w:t>
      </w:r>
      <w:r>
        <w:t xml:space="preserve"> stands nearer than the thick reading stood; what separates the two, that the pledge is held answerable in these chapters to the practice of giving and asking for reasons and by Derrida to nothing that practice could supply, is drawn in the note and recurs at §2.3.3 as the difference between an exhibition and a founding.</w:t>
      </w:r>
      <w:r>
        <w:rPr>
          <w:rStyle w:val="FootnoteReference"/>
        </w:rPr>
        <w:footnoteReference w:id="115"/>
      </w:r>
      <w:r>
        <w:t xml:space="preserve"> What is owed, and handed to Chapter Three §3.2, is the passage from an individuation bounded by the exchange to an irrefutability which no exchange bounds.</w:t>
      </w:r>
    </w:p>
    <w:p w14:paraId="689860C6" w14:textId="77777777" w:rsidR="0095720F" w:rsidRDefault="00000000">
      <w:pPr>
        <w:pStyle w:val="BodyText"/>
      </w:pPr>
      <w:r>
        <w:t xml:space="preserve">One consequence of the amendment strengthens an objection framed here in the terms of Wellmer’s critique of the idealisations, and not attributed to him in this form: that the presuppositions of argumentation are counterfactual idealisations which participants project, and not conditions a performance enacts. On that objection a </w:t>
      </w:r>
      <w:r>
        <w:rPr>
          <w:i/>
          <w:iCs/>
        </w:rPr>
        <w:t>Dass</w:t>
      </w:r>
      <w:r>
        <w:t xml:space="preserve"> individuated thinly is harder to distinguish from a projected idealisation than a thickly individuated one was. The distinction nevertheless holds, by the criterion §2.2.2 fixed: the </w:t>
      </w:r>
      <w:r>
        <w:rPr>
          <w:i/>
          <w:iCs/>
        </w:rPr>
        <w:t>Dass</w:t>
      </w:r>
      <w:r>
        <w:t xml:space="preserve"> is individuated by what its performed denial would undo. An idealisation can be given up, and giving it up is within a participant’s power; </w:t>
      </w:r>
      <w:r>
        <w:lastRenderedPageBreak/>
        <w:t>it cannot be undone by a performance, since nothing a participant does within the exchange bears upon whether the projection was made. A condition enacted in the performance is not given up but attempted against, and the attempt undoes itself. Thinning the individuation alters how widely the undoing reaches, within this exchange rather than across all exchanges, and alters nothing about whether there is an undoing to be had; what the amendment surrenders is scope, and not standing. A sentence of Habermas’s own stands against the Wellmerian reading besides: what the participants ‘must have accepted’ as a fact of reason is, in the sentence §2.3.1 read, the predicate of an act and not of a projection.</w:t>
      </w:r>
    </w:p>
    <w:p w14:paraId="38C5774D" w14:textId="77777777" w:rsidR="0095720F" w:rsidRDefault="00000000">
      <w:pPr>
        <w:pStyle w:val="BodyText"/>
      </w:pPr>
      <w:r>
        <w:t xml:space="preserve">The question the concession relocates is accordingly sharper and not weaker: whether exchange-relative recognisability can carry irrefutability </w:t>
      </w:r>
      <w:r>
        <w:rPr>
          <w:i/>
          <w:iCs/>
        </w:rPr>
        <w:t>simpliciter</w:t>
      </w:r>
      <w:r>
        <w:t>, or only irrefutability-within-this-exchange. That question belongs to Chapter Three, which receives it at §3.2.2 and makes the passage at §3.3.2, by the retorsion — the turning of a denial upon its own performance — and within the limit declared there; it arrives sharpened by a concession made here rather than as an unexamined debt deferred.</w:t>
      </w:r>
    </w:p>
    <w:p w14:paraId="0A7EA9FB" w14:textId="77777777" w:rsidR="0095720F" w:rsidRDefault="00000000">
      <w:pPr>
        <w:pStyle w:val="Heading3"/>
      </w:pPr>
      <w:bookmarkStart w:id="18" w:name="Xd082320c19f08192f81d9f75c16872a0e2582c2"/>
      <w:bookmarkEnd w:id="17"/>
      <w:r>
        <w:t>§2.3.3 · Internal critique, its outside, and the decisionist challenge</w:t>
      </w:r>
    </w:p>
    <w:p w14:paraId="384BAFF7" w14:textId="77777777" w:rsidR="0095720F" w:rsidRDefault="00000000">
      <w:pPr>
        <w:pStyle w:val="FirstParagraph"/>
      </w:pPr>
      <w:r>
        <w:t xml:space="preserve">A further thesis stands upon the second resource and upon the record of the architecture’s amendments: that standing critiques of the architecture are </w:t>
      </w:r>
      <w:r>
        <w:rPr>
          <w:i/>
          <w:iCs/>
        </w:rPr>
        <w:t>internal</w:t>
      </w:r>
      <w:r>
        <w:t xml:space="preserve"> to the self-reflexive practice, amendments within it and not defeaters of it. The thesis has two components, differently secured, and the charge that it converts the programme into an unfalsifiable dogma is answered by keeping them apart. The categorial component, that a critique advanced in discourse enacts the conditions it disputes, is secured performatively, and no case history could defeat it. The historical component, that the architecture in fact answers such critiques by amendment rather than by relabelling, is falsifiable in the ordinary way, since a single sustained objection met by relabelling would defeat it; it is carried by one instance, the retraction of the consensus-theoretic conception of truth, itself a documented fact, read as an amendment under pressure from named critics, and the reading is an interpretive construal.</w:t>
      </w:r>
      <w:r>
        <w:rPr>
          <w:rStyle w:val="FootnoteReference"/>
        </w:rPr>
        <w:footnoteReference w:id="116"/>
      </w:r>
      <w:r>
        <w:t xml:space="preserve"> A charge of unfalsifiability pressed against the instrument rather than the thesis is met on firmer ground: §2.2.2 states two determinate conditions under which the categorial </w:t>
      </w:r>
      <w:r>
        <w:lastRenderedPageBreak/>
        <w:t xml:space="preserve">premise would be defeated, both checkable by anyone, and the instrument, turned upon the premise of the argument deploying it at §2.3.2, returned the verdict that the premise could not be defended unchanged and cost the </w:t>
      </w:r>
      <w:r>
        <w:rPr>
          <w:i/>
          <w:iCs/>
        </w:rPr>
        <w:t>Dass</w:t>
      </w:r>
      <w:r>
        <w:t xml:space="preserve"> its thick individuation, which no re-description does. The programme’s own self-understanding supports the distinction, in the sentence §2.1.2 displays in which Habermas withholds from ‘our reconstruction’ of pretheoretical knowledge the non-fallibility he grants to the intuitive knowledge of rules,</w:t>
      </w:r>
      <w:r>
        <w:rPr>
          <w:rStyle w:val="FootnoteReference"/>
        </w:rPr>
        <w:footnoteReference w:id="117"/>
      </w:r>
      <w:r>
        <w:t xml:space="preserve"> which is the operative–propositional asymmetry so far as certainty is concerned, and in his own voice to that extent. The thesis has, lastly, a determinate outside, named rather than concealed: the decisionist’s refusal to argue, which is not an objection raised in discourse and falls under neither component.</w:t>
      </w:r>
    </w:p>
    <w:p w14:paraId="4AAA6FE5" w14:textId="77777777" w:rsidR="0095720F" w:rsidRDefault="00000000">
      <w:pPr>
        <w:pStyle w:val="BodyText"/>
      </w:pPr>
      <w:r>
        <w:t xml:space="preserve">The tension takes a further form: not an objection which would ground communicative reason in something further, but a challenge whose content assigns the standing of any ground to a decision, and Apel’s own texts supply its shape. Fundamental evidence, on the position he reports and rejects, ‘can neither be denied without self-contradiction nor be grounded without </w:t>
      </w:r>
      <w:r>
        <w:rPr>
          <w:i/>
          <w:iCs/>
        </w:rPr>
        <w:t>petitio principii</w:t>
      </w:r>
      <w:r>
        <w:t xml:space="preserve">. Therefore, it is said, the </w:t>
      </w:r>
      <w:r>
        <w:rPr>
          <w:i/>
          <w:iCs/>
        </w:rPr>
        <w:t>fundamental-grounding must be superseded by a fundamental-decision</w:t>
      </w:r>
      <w:r>
        <w:t>’ — a solution he ascribes to Stegmüller and to Popper, and which ‘clearly corresponds again to the purely logically deduced “Münchhausen-Trilemma” of fundamental-grounding in the sense of Hans Albert’.</w:t>
      </w:r>
      <w:r>
        <w:rPr>
          <w:rStyle w:val="FootnoteReference"/>
        </w:rPr>
        <w:footnoteReference w:id="118"/>
      </w:r>
      <w:r>
        <w:t xml:space="preserve"> Against a challenge of this shape no demonstration is available, and the unavailability is principled, since a demonstration would presuppose, as the court before which its own case is tried, the practice whose title is disputed. What can be exhibited is the challenge’s own performance: raised as a claim addressed to interlocutors, it enacts in the address the conditions of claim-raising its content denies. Reciprocity of address is all that is claimed for the enactment here, in the measure Chapter Three §3.2.1 allows the exhibition, and nothing of the symmetry or equal entitlement that chapter withholds from it; this secures a compulsion and no refutation, and forecloses the challenge only as something arguable. The decisionist position licenses a reply which changes the dispute’s shape: not </w:t>
      </w:r>
      <w:r>
        <w:lastRenderedPageBreak/>
        <w:t>to deny that arguing enacts the presuppositions, but to exit the practice, refusing to argue and demonstrating in conduct what could not be asserted in speech.</w:t>
      </w:r>
    </w:p>
    <w:p w14:paraId="079383E1" w14:textId="77777777" w:rsidR="0095720F" w:rsidRDefault="00000000">
      <w:pPr>
        <w:pStyle w:val="BodyText"/>
      </w:pPr>
      <w:r>
        <w:t>At this point the parties divide, and not where a summary would place the division. Habermas concedes the exit at the level of argumentation and without reservation: the consistent sceptic who will not enter into argumentation leaves the transcendental-pragmatic argument without purchase and voluntarily quits the community of those who argue; the concession is at once bounded, since the sceptic remains bound, in the everyday communicative practice he cannot leave, to presuppositions he has not shaken off. Apel denies the exit outright and at a different level: the defence of irrationalism refutes, by the performative act which accompanies it, the attempt to refuse argumentation, and even one who decides to leave presupposes, in taking his leaving for a decision, the principle he has denied. Both passages are displayed at Chapter One §1.5.3, and the dropout is examined as the figure in which the question reaches the legal-political architecture at Chapter Four §4.5.1. The parties therefore do not divide over whether an exit exists but over where the inescapable floor lies, at argumentation as such or at the everyday practice of communication beneath it: Habermas lets the sceptic leave the community of arguers and holds him within the lifeworld, and Apel holds that leaving is itself an act which lays claim to sense and so re-enters what it would quit. The division is one of scope in the placing of the floor, and not the categorial difference C3 locates in the kind of item each party exempts; and the two axes cross.</w:t>
      </w:r>
      <w:r>
        <w:rPr>
          <w:rStyle w:val="FootnoteReference"/>
        </w:rPr>
        <w:footnoteReference w:id="119"/>
      </w:r>
    </w:p>
    <w:p w14:paraId="4137007E" w14:textId="77777777" w:rsidR="0095720F" w:rsidRDefault="00000000">
      <w:pPr>
        <w:pStyle w:val="BodyText"/>
      </w:pPr>
      <w:r>
        <w:t xml:space="preserve">The challenge has a form stronger than either party’s statement of it, and Derrida supplies it where he asks what founds the authority of law. The founding and justifying moment which institutes law implies, he writes, ‘a performative force, which is always an interpretative force’; the operation which amounts to founding law ‘would consist of a coup de force, of a performative and therefore interpretative violence that in itself is neither just nor unjust and that no justice and no previous law with its founding anterior moment could guarantee or contradict or invalidate’. The challenge is then turned upon the exhibition itself: ‘No justificatory discourse could or should insure the role of metalanguage in relation to the performativity of institutive language or to its dominant interpretation.’ Since the origin of authority ‘can’t by definition rest on anything but themselves’, the founding acts ‘are themselves a violence without ground’, ‘neither legal nor illegal in their founding </w:t>
      </w:r>
      <w:r>
        <w:lastRenderedPageBreak/>
        <w:t>moment’, and they ‘exceed the opposition between founded and unfounded, or between any foundationalism or anti-foundationalism’.</w:t>
      </w:r>
      <w:r>
        <w:rPr>
          <w:rStyle w:val="FootnoteReference"/>
        </w:rPr>
        <w:footnoteReference w:id="120"/>
      </w:r>
      <w:r>
        <w:t xml:space="preserve"> This is the decisionist’s reply raised to a structural claim: not that a sceptic may leave the practice, but that the practice itself rests upon an act which no discourse conducted within it can adjudicate, and that the same limit ‘will reappear at the supposed origin’ of whatever conditions or conventions the practice invokes.</w:t>
      </w:r>
    </w:p>
    <w:p w14:paraId="761AACA0" w14:textId="77777777" w:rsidR="0095720F" w:rsidRDefault="00000000">
      <w:pPr>
        <w:pStyle w:val="BodyText"/>
      </w:pPr>
      <w:r>
        <w:t>The reply available is bounded, and its boundary is the one already drawn. What Derrida’s sentence denies to any justificatory discourse, the office of a metalanguage over the performativity which institutes a practice, is nothing the exhibition claims: the exhibition grounds nothing, displays within an exchange that a denial performed there defeats itself, and forecloses the exit only as something arguable, which is what this section conceded before Derrida was heard. Where his argument reaches past that concession is at the founding of the practice, and there no verdict is entered: a verdict upon the founding would have to be returned from the standpoint §2.3.1 forecloses, and one returned from within would be a justificatory discourse of the kind his sentence excludes. That the founding cannot be certified from within does not show that there is nothing to certify, a distinction the Introduction draws and this chapter observes. What Derrida calls the mystical limit is accordingly neither refuted nor accepted; it is the place at which the legitimacy question is put in its strongest form, whether a discourse without exterior is entitled to declare an exit foreclosed, and the question is handed on in that form. One difference is marked, since it governs the terminus of this chapter: for Derrida the limit is a limit of justice, ‘an experience of the impossible’, at which ‘the decision between just and unjust is never insured by a rule’; in these chapters the limit is a limit of the practice of grounding, at which that practice is oriented towards a validity it cannot discharge, and not a warrant owed within it. The two are related and are not one, and §2.3.4 draws the distinction under its own name.</w:t>
      </w:r>
      <w:r>
        <w:rPr>
          <w:rStyle w:val="FootnoteReference"/>
        </w:rPr>
        <w:footnoteReference w:id="121"/>
      </w:r>
    </w:p>
    <w:p w14:paraId="785D6192" w14:textId="77777777" w:rsidR="0095720F" w:rsidRDefault="00000000">
      <w:pPr>
        <w:pStyle w:val="BodyText"/>
      </w:pPr>
      <w:r>
        <w:lastRenderedPageBreak/>
        <w:t xml:space="preserve">Whether the floor holds where Apel places it or where Habermas does governs where the deficit named at §2.2.3 has its practical face: if the exit is available, between the compulsion binding the participant and the </w:t>
      </w:r>
      <w:r>
        <w:rPr>
          <w:i/>
          <w:iCs/>
        </w:rPr>
        <w:t>Sollgeltung</w:t>
      </w:r>
      <w:r>
        <w:t xml:space="preserve"> the agent owes; if it is not, between a compulsion reaching the agent as such and any statement of what binds him. Both outcomes locate one structural finding, that modal status does not pass between the registers, and neither refutes nor vindicates it. What the second interval adds, and Chapter Three §3.3.6 and Chapter Four §4.5.1 record, is that the deficit’s practical face rests upon Habermas’s own concession of the exit, and is therefore charged to his architecture rather than entered as a neutral datum so long as the second-stage question is open; were Apel’s floor to hold, the finding would be charged to no party’s architecture in particular, the compulsion then reaching the agent as such.</w:t>
      </w:r>
    </w:p>
    <w:p w14:paraId="31750A03" w14:textId="77777777" w:rsidR="0095720F" w:rsidRDefault="00000000">
      <w:pPr>
        <w:pStyle w:val="BodyText"/>
      </w:pPr>
      <w:r>
        <w:t xml:space="preserve">Adjudicating between them is the recurrence the resources of this chapter generate, and the recurrent item may now be named: </w:t>
      </w:r>
      <w:r>
        <w:rPr>
          <w:i/>
          <w:iCs/>
        </w:rPr>
        <w:t>the legitimacy question</w:t>
      </w:r>
      <w:r>
        <w:t>, whether philosophical discourse, confutative, self-referential and without grounding external to itself, is entitled to the verdicts it returns upon its own conditions. It has arisen at four points in this chapter, in the definition-or-description dilemma of §2.1.5, in the framing objection to the yield-question at §2.2.1, in the third of the questions C2 puts to the displacement of the solitary subject, and at the boundary of internal critique here, taking here its sharpest form, whether such a discourse may declare an exit foreclosed. Its adjudication is the Apel–Habermas dispute over the presuppositions’ irrefutability; it opens Chapter Three with the tensions of §2.2.3 in hand, is taken up there at §3.3.6 as the second-stage question, whether the norms of reciprocity are among the conditions of determinate signification and with whom argument must therefore be had, and is left open there in a stated form; its limb concerning the agent as such is drawn at Chapter Four §4.5.1.</w:t>
      </w:r>
    </w:p>
    <w:p w14:paraId="720DE52F" w14:textId="77777777" w:rsidR="0095720F" w:rsidRDefault="00000000">
      <w:pPr>
        <w:pStyle w:val="Heading3"/>
      </w:pPr>
      <w:bookmarkStart w:id="19" w:name="X44b23a012de5f79b7c66e3824978d0368abe643"/>
      <w:bookmarkEnd w:id="18"/>
      <w:r>
        <w:t>§2.3.4 · Two circularities, and the aporia as limit</w:t>
      </w:r>
    </w:p>
    <w:p w14:paraId="1A1E42F3" w14:textId="77777777" w:rsidR="0095720F" w:rsidRDefault="00000000">
      <w:pPr>
        <w:pStyle w:val="FirstParagraph"/>
      </w:pPr>
      <w:r>
        <w:t xml:space="preserve">The instrument used throughout, the operative–propositional asymmetry, sorts a family of circularities recurring at different levels and depths, and the sorting is itself an exercise of the self-reflexivity §2.3.1 named: a method under which every circularity charged against it is found benign owes a demonstration that the verdicts are reached by argument and not by definition, and the sorting is that demonstration. Two circularities are distinct once grounded, and five formulations reduce to them; each verdict is entered with the ground that carries it. The first is the reconstructive circle, charged at three levels. At the level of the object it is Apel’s charge that the empirical testing of the presuppositions must already presuppose their validity in order to understand what such </w:t>
      </w:r>
      <w:r>
        <w:lastRenderedPageBreak/>
        <w:t>testing would be (C1); at the level of the discipline it is the charge C2 states in the genealogist’s name and in a formulation which is no one critic’s, that the philosopher’s self-description as reconstructor is itself a move within the practice reconstructed; at the level of the architecture it is the formulation on which the reflexive claim is warranted by the practice it examines. It is benign at each level: a reconstruction which enacts the presuppositions it articulates has inferred nothing from them, enactment being not entailment (C3); the regress the second level alleges is one of assertions while the irrefutability is operative, on the ground Chapter Three §3.3.3 supplies; and the warrant the third level alleges is exhibited in the practice and not inferred from it.</w:t>
      </w:r>
      <w:r>
        <w:rPr>
          <w:rStyle w:val="FootnoteReference"/>
        </w:rPr>
        <w:footnoteReference w:id="122"/>
      </w:r>
      <w:r>
        <w:t xml:space="preserve"> The second is the circle of the test, charged in two adjacent forms: the hermeneutic form, the immanent test moving within the circle it tests, which no critic presses in these terms and whose sufficiency-debt is discharged at Chapter One §1.2.2, where the immanent test is argued against the hermeneutic-priority objection Kompridis presses; and Wellmer’s justificatory form, that the central content of the principle of universalisation is introduced into its derivation by a supplementary semantic premise, so that the justification presupposes its own result;</w:t>
      </w:r>
      <w:r>
        <w:rPr>
          <w:rStyle w:val="FootnoteReference"/>
        </w:rPr>
        <w:footnoteReference w:id="123"/>
      </w:r>
      <w:r>
        <w:t xml:space="preserve"> generalised, the charge reaches any justification of that shape. It is benign read as exhibition, its deeper form being the deficit this chapter reaches and Chapter Four adjudicates, so that a charge of circularity and a charge of deficit cannot both be pressed against the same step. In both circles the circularity is vicious only if the exhibition is misread as a grounding, and benign where it is read as exhibition; the verdict is argued in this chapter for the first at the level of the object and for the second in Wellmer’s form, and rests for the remainder upon results Chapter One §1.2.2 and Chapter Three §3.2.3 supply.</w:t>
      </w:r>
    </w:p>
    <w:p w14:paraId="15FB15F5" w14:textId="77777777" w:rsidR="0095720F" w:rsidRDefault="00000000">
      <w:pPr>
        <w:pStyle w:val="BodyText"/>
      </w:pPr>
      <w:r>
        <w:t xml:space="preserve">A circularity is a relation of presupposition, a procedure turning upon a condition it also delivers, and the question it raises is whether the turning is vicious. The aporia of the meaning of truth is a relation of orientation: the practice is directed towards something it cannot deliver at all, and no reading of the direction as exhibition rather than grounding relieves it, because what is at issue is not how the practice warrants its conditions but that it reaches beyond every warrant it can give. The </w:t>
      </w:r>
      <w:r>
        <w:lastRenderedPageBreak/>
        <w:t>aporia is accordingly not a third circularity, and the difference is categorial rather than one of degree, anticipated by the confinement’s own disanalogy at C2 and resting upon the distinction just drawn, which the argument enters as its own and derives from no further result. The criterion sorting the circularities accordingly has no jurisdiction here, on its own terms and not by an external rule, since a criterion built to ask whether presupposition is misread as grounding has nothing to say about an orientation which outruns content altogether.</w:t>
      </w:r>
    </w:p>
    <w:p w14:paraId="5C861BE3" w14:textId="77777777" w:rsidR="0095720F" w:rsidRDefault="00000000">
      <w:pPr>
        <w:pStyle w:val="BodyText"/>
      </w:pPr>
      <w:r>
        <w:t xml:space="preserve">The word carries two other senses in the traditions drawn upon, and its own sense is fixed against both. For Aristotle the difficulty of thought points to a knot in its object, to be surveyed before it can be untied, in the methodological doctrine of </w:t>
      </w:r>
      <w:r>
        <w:rPr>
          <w:i/>
          <w:iCs/>
        </w:rPr>
        <w:t>Metaphysics</w:t>
      </w:r>
      <w:r>
        <w:t xml:space="preserve"> Β.1 which Chapter Three §3.3.1 displays; for Derrida the word names a nonpassage, ‘the experience of what happens and is fascinating in this nonpassage, paralyzing us in this separation in a way that is not necessarily negative’, distinguished expressly from an apparent antinomy, from a dialectisable contradiction and from a transcendental illusion.</w:t>
      </w:r>
      <w:r>
        <w:rPr>
          <w:rStyle w:val="FootnoteReference"/>
        </w:rPr>
        <w:footnoteReference w:id="124"/>
      </w:r>
      <w:r>
        <w:t xml:space="preserve"> The aporia of this chapter is neither: not a knot, since nothing in it can be untied, the orientation to a context-transcending validity being a feature of the practice which any survey of it reports; and not a nonpassage endured, since a speaker who claims truth meets no obstacle in the claiming. What is declined in that word is endurance as a subject’s experience of an obstacle; the sense in which the Conclusion speaks of the aporia as endured, as the form of a result which admits of no transition, is another, and is not declined. The limit is visible in the reflexive turn alone, to one who makes, from within the practice, the turn §2.1.1 assigns to the interpreter, no longer looking through what is said to the world but upon the rules by which the speaking proceeds, and from no standpoint outside the practice, which §2.3.1 has foreclosed; it belongs to one competence turned upon itself and not to a second person, and the answerability §2.1.1 fixes runs in one direction still. The aporia so reached is a limit of grounding in a sense kept apart from a deficit: not a warrant the practice owes and withholds, but the determinate terminus which fixes what the practice’s orientation intends, exhibited within the practice, grounding nothing and, in the sense just declined, endured by no one. One formulation is nevertheless taken from Derrida, and declared taken: among </w:t>
      </w:r>
      <w:r>
        <w:lastRenderedPageBreak/>
        <w:t>the places of aporia he lists is iterability, glossed as ‘the conditions of possibility as conditions of impossibility’.</w:t>
      </w:r>
      <w:r>
        <w:rPr>
          <w:rStyle w:val="FootnoteReference"/>
        </w:rPr>
        <w:footnoteReference w:id="125"/>
      </w:r>
      <w:r>
        <w:t xml:space="preserve"> The gloss names the shape of the aporia of truth: the orientation to a validity which transcends every context is the condition of there being criticisable claims at all, since, upon the account of criticisability Chapter Three §3.4.4 defends against the inferentialist, a claim which did not outrun the agreement of its audience could not be mistaken, and the same orientation is the condition of the claim’s non-redeemability from within the practice, since what outruns every agreement cannot be discharged by one. What is taken is the shape and not the doctrine: Derrida’s aporia is the condition of responsibility and decision, ‘a sort of nonpassive endurance’; the aporia entered here is the condition of a practice’s being answerable to something it cannot supply, and it asks nothing of anyone.</w:t>
      </w:r>
    </w:p>
    <w:p w14:paraId="1FE8C309" w14:textId="77777777" w:rsidR="0095720F" w:rsidRDefault="00000000">
      <w:pPr>
        <w:pStyle w:val="BodyText"/>
      </w:pPr>
      <w:r>
        <w:t xml:space="preserve">This is the terminus the resources of this chapter reach by a route other than the semantic one taken at Chapter Three §3.3.4, whose inferentialist limb stands at §3.4.4 and which, in identifying the same limit through the forcing question inferentialism cannot answer, brings to its sharpest form a standing pressure upon the aporia’s own intelligibility, a pressure which falls upon the aporia and not upon the instrument by which it is reached, and which Chapter Three takes up at §3.3.4 and discharges only upon the strong reading of the claim to intelligibility, for which §3.3.2 argues without establishing it beyond contest. All three resources examined in §2.3.1 presuppose an answer to a question none of them poses: the </w:t>
      </w:r>
      <w:r>
        <w:rPr>
          <w:i/>
          <w:iCs/>
        </w:rPr>
        <w:t>Faktum</w:t>
      </w:r>
      <w:r>
        <w:t xml:space="preserve"> secures a fact of reason and says nothing about what makes a claim true, Habermas’s own disjunction at MCCA 130 offering clarification where grounding is refused, and clarification of a practice is not an account of what the practice answers to; the confutative method exhibits self-defeat and is silent upon what a defeated claim was defeated against; the genealogy accounts for the acquisition of convictions and refuses, by its own proviso, to speak to their validity. Two routes, distinct in their instruments though sharing the categorial premise of §2.2.2, one through semantics and one through the exhaustion of self-reflexivity’s own instruments, arrive at the identical limit, which is evidence, so far as two routes sharing a premise can supply it, that the limit is not an artefact of the instruments proper to either; a third diagnosis, </w:t>
      </w:r>
      <w:r>
        <w:lastRenderedPageBreak/>
        <w:t>Levine’s, which the argument here maps onto the junction of C2 and C3, corroborates without carrying anything.</w:t>
      </w:r>
      <w:r>
        <w:rPr>
          <w:rStyle w:val="FootnoteReference"/>
        </w:rPr>
        <w:footnoteReference w:id="126"/>
      </w:r>
    </w:p>
    <w:p w14:paraId="3F8EF581" w14:textId="77777777" w:rsidR="0095720F" w:rsidRDefault="00000000">
      <w:pPr>
        <w:pStyle w:val="Heading2"/>
      </w:pPr>
      <w:bookmarkStart w:id="20" w:name="the-cost-stated-and-what-is-handed-on"/>
      <w:bookmarkEnd w:id="15"/>
      <w:bookmarkEnd w:id="19"/>
      <w:r>
        <w:t>§2.4 · The Cost Stated, and What Is Handed On</w:t>
      </w:r>
    </w:p>
    <w:p w14:paraId="6A6D2968" w14:textId="77777777" w:rsidR="0095720F" w:rsidRDefault="00000000">
      <w:pPr>
        <w:pStyle w:val="FirstParagraph"/>
      </w:pPr>
      <w:r>
        <w:t xml:space="preserve">What has been shown is that the method by which formal pragmatics is reached is silent upon the modality of what it reconstructs, and that the silence is the cost of three commitments each separately defensible (§2.1); that the three form a conjunction and no circle, the space the entailment-reading denies being Apel’s (§2.2.1); that the categorial premise on which the argument rests is stated with its two consequences and declared falsifiable under stated conditions, its ground drawn from the behaviour of denial and the criterion of individuation argued at Chapter Three §3.2.1 (§2.2.2); that the conjunction generates three tensions, one for each commitment, each reached in its interval and none resolved by weakening a commitment without surrendering the programme (§2.2.3); that each of the three resources with which Habermas sustains the tensions carries a determinate cost, that the premise survives Derrida’s argument amended and not defended, that the standing critiques of the architecture are amendments within the self-reflexive practice while the decisionist’s refusal to argue stands outside it, and that the circularities charged against the programme are benign where exhibition is not mistaken for grounding (§2.3.1–§2.3.4); and that what remains beyond them is an aporia, in which the practice is oriented to a validity it cannot discharge, which none of the three resources addresses, and whose own intelligibility rests upon the strong reading Chapter Three §3.3.2 argues for and leaves contestable (§2.3.4). Two things are kept apart in the claim: the structural finding, that no modal status passes between the registers, which is neutral between the parties; and its practical face, which rests upon Habermas’s concession of the exit and is charged to his architecture while the second-stage question is open (§2.3.3). The response Habermas can make is therefore real and is not a dissolution. It costs something statable, the enactment’s individuation narrowed from thick to thin, and it relocates the tension rather than closing it; a programme which holds the three commitments on purpose cannot meet the cost of the tensions by weakening any of them without ceasing to be the programme, and can only sustain them, </w:t>
      </w:r>
      <w:r>
        <w:lastRenderedPageBreak/>
        <w:t>conducting its self-reflection from the participant’s perspective and declaring at each station what has been conceded.</w:t>
      </w:r>
    </w:p>
    <w:p w14:paraId="78DA68EC" w14:textId="77777777" w:rsidR="0095720F" w:rsidRDefault="00000000">
      <w:pPr>
        <w:pStyle w:val="BodyText"/>
      </w:pPr>
      <w:r>
        <w:t xml:space="preserve">What is handed on goes to three destinations. To Chapter Three go the first interval and the legitimacy question: the interval is the tension of the relation stated at §2.2.3, closed on both routes reconstruction commands and open, if at all, to the access the counter-programme claims at the reflexive face of the performative; the legitimacy question, whether a discourse which has no exterior may declare an exit foreclosed, is sharpened at §2.3.3 by the form Derrida gives it and taken up at Chapter Three §3.3.6 as the second-stage question, together with the question §2.3.2 narrowed, whether recognisability relative to an exchange can carry irrefutability beyond it, received at Chapter Three §3.2.2 and answered at §3.3.2 within the limit declared there; the defence of the categorial premise against the inferentialist and the meaning-critical objections, in the individuation §2.3.2 amends, goes with them. To Chapter Four go the deficit in its second interval, reached at §2.2.3 and inscribed in Habermas’s own statement of 2020, the objections to it, and the dropout, whose two readings §2.3.3 has set against each other; the question which follows is where, if not in the presuppositions of argument, the bindingness of a norm is constituted, and whether the architecture built upon the discourse principle in </w:t>
      </w:r>
      <w:r>
        <w:rPr>
          <w:i/>
          <w:iCs/>
        </w:rPr>
        <w:t>Faktizität und Geltung</w:t>
      </w:r>
      <w:r>
        <w:t xml:space="preserve"> supplies from the legal form what the presuppositions cannot supply from themselves. To the Conclusion goes the aporia, and with it the question this chapter has entered and declined to occupy, where power reaches the constitution of communicative structures and not merely their genesis.</w:t>
      </w:r>
    </w:p>
    <w:p w14:paraId="6DF82662" w14:textId="77777777" w:rsidR="0095720F" w:rsidRDefault="00000000">
      <w:pPr>
        <w:pStyle w:val="BodyText"/>
      </w:pPr>
      <w:r>
        <w:t>The chapter has not claimed that the presuppositions of argumentation are contingent, nor that they are necessary, but that reconstruction cannot tell which and that the counter-programme’s claim to tell rests upon a reflection which, if it is available at all, is not available to reconstruction; not that discourse ethics fails, but that its programme of justification requires a passage its infrastructure cannot make, a requirement Chapter One located and whose two intervals §2.2.3 reaches, the first adjudicated in Chapter Three and the second in Chapter Four; not that Apel’s route succeeds where Habermas’s stops, but that it answers the yield-question by an access whose existence Chapter Three adjudicates; not that Derrida’s argument is answered, but that it reaches a requirement the exhibition makes on its own behalf and that the premise survives the concession it forces at a stated cost; and not that the tensions, or the deficit they name, are a defect of Habermas’s theory, but that they are the cost of the commitments which make the theory post-metaphysical, met, if at all, by a method which declares what it has conceded.</w:t>
      </w:r>
      <w:bookmarkEnd w:id="0"/>
      <w:bookmarkEnd w:id="20"/>
    </w:p>
    <w:sectPr w:rsidR="0095720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9363E7" w14:textId="77777777" w:rsidR="007E1873" w:rsidRDefault="007E1873">
      <w:pPr>
        <w:spacing w:after="0"/>
      </w:pPr>
      <w:r>
        <w:separator/>
      </w:r>
    </w:p>
  </w:endnote>
  <w:endnote w:type="continuationSeparator" w:id="0">
    <w:p w14:paraId="19A525D9" w14:textId="77777777" w:rsidR="007E1873" w:rsidRDefault="007E18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23994D" w14:textId="77777777" w:rsidR="007E1873" w:rsidRDefault="007E1873">
      <w:r>
        <w:separator/>
      </w:r>
    </w:p>
  </w:footnote>
  <w:footnote w:type="continuationSeparator" w:id="0">
    <w:p w14:paraId="704E8D79" w14:textId="77777777" w:rsidR="007E1873" w:rsidRDefault="007E1873">
      <w:r>
        <w:continuationSeparator/>
      </w:r>
    </w:p>
  </w:footnote>
  <w:footnote w:id="1">
    <w:p w14:paraId="45EAAC80" w14:textId="77777777" w:rsidR="0095720F" w:rsidRDefault="00000000">
      <w:pPr>
        <w:pStyle w:val="FootnoteText"/>
      </w:pPr>
      <w:r>
        <w:rPr>
          <w:rStyle w:val="FootnoteReference"/>
        </w:rPr>
        <w:footnoteRef/>
      </w:r>
      <w:r>
        <w:t xml:space="preserve"> PMT 6–7, in ‘The Horizon of Modernity Is Shifting’ (1988), for the four themes quoted in the body and for the four </w:t>
      </w:r>
      <w:proofErr w:type="spellStart"/>
      <w:r>
        <w:t>characterisations</w:t>
      </w:r>
      <w:proofErr w:type="spellEnd"/>
      <w:r>
        <w:t xml:space="preserve"> displayed here; the volume is </w:t>
      </w:r>
      <w:proofErr w:type="spellStart"/>
      <w:r>
        <w:rPr>
          <w:i/>
          <w:iCs/>
        </w:rPr>
        <w:t>Postmetaphysical</w:t>
      </w:r>
      <w:proofErr w:type="spellEnd"/>
      <w:r>
        <w:rPr>
          <w:i/>
          <w:iCs/>
        </w:rPr>
        <w:t xml:space="preserve"> Thinking: Philosophical Essays</w:t>
      </w:r>
      <w:r>
        <w:t xml:space="preserve">, trans. William Mark Hohengarten (Cambridge, MA: MIT Press, 1992). PMT 8 for the phrase on the boundaries between schools and for the new prejudices. The reading that the gloss fixes logocentrism as a relation of theory to practice before it is a thesis about signs is the one adopted, and §2.3.2 requires it. The four </w:t>
      </w:r>
      <w:proofErr w:type="spellStart"/>
      <w:r>
        <w:t>characterisations</w:t>
      </w:r>
      <w:proofErr w:type="spellEnd"/>
      <w:r>
        <w:t xml:space="preserve"> run: the decline of ‘the tradition’s strong concept of theory, its grasp of the totality, and its claim to a privileged access to truth’; the transfer of world-constituting accomplishments ‘from transcendental subjectivity to grammatical structures’, so that ‘the reconstructive work of the linguist replaces a kind of introspection that cannot be readily checked on’; the situating of reason in ‘historical embodiments’, in action, language and the body; and ‘the reversal of the classical relationship of theory to practice’, credited ultimately to ‘the honing of a Marxian idea’ and found corroborated by pragmatism, developmental psychology and the analysis of the lifeworld, the motive forces being said to operate ‘in spite of the boundaries between schools’.</w:t>
      </w:r>
    </w:p>
  </w:footnote>
  <w:footnote w:id="2">
    <w:p w14:paraId="56E87354" w14:textId="77777777" w:rsidR="0095720F" w:rsidRDefault="00000000">
      <w:pPr>
        <w:pStyle w:val="FootnoteText"/>
      </w:pPr>
      <w:r>
        <w:rPr>
          <w:rStyle w:val="FootnoteReference"/>
        </w:rPr>
        <w:footnoteRef/>
      </w:r>
      <w:r>
        <w:t xml:space="preserve"> PMT 49–50, in ‘Themes in </w:t>
      </w:r>
      <w:proofErr w:type="spellStart"/>
      <w:r>
        <w:t>Postmetaphysical</w:t>
      </w:r>
      <w:proofErr w:type="spellEnd"/>
      <w:r>
        <w:t xml:space="preserve"> Thinking’, for reason pinned to one of its dimensions, for the exclusion of questions of justice, taste and truthfulness from the rational, for the sentence on contextualism as the flipside of logocentrism, and for the liberation from logocentrism as a reversal of the gaze; PMT 50 for the reason already operating in everyday communicative practice, quoted in the body. The inference that the reversal cannot be executed from anywhere is drawn at §2.3.1, and it is drawn for this chapter. The sentences run: philosophy ‘has pinned reason down to only one of its dimensions, at first ontologically, later epistemologically, and then even in linguistic analysis’, so that questions of justice, of taste and of truthful self-presentation are ‘excluded from the sphere of the rational’, and ‘Contextualism is only the flipside of logocentrism’; the release is that philosophy ‘reverses this perspective and looks back upon the thicket of the lifeworld’.</w:t>
      </w:r>
    </w:p>
  </w:footnote>
  <w:footnote w:id="3">
    <w:p w14:paraId="2E9D4CA3" w14:textId="77777777" w:rsidR="0095720F" w:rsidRDefault="00000000">
      <w:pPr>
        <w:pStyle w:val="FootnoteText"/>
      </w:pPr>
      <w:r>
        <w:rPr>
          <w:rStyle w:val="FootnoteReference"/>
        </w:rPr>
        <w:footnoteRef/>
      </w:r>
      <w:r>
        <w:t xml:space="preserve"> Derrida, </w:t>
      </w:r>
      <w:r>
        <w:rPr>
          <w:i/>
          <w:iCs/>
        </w:rPr>
        <w:t>Of Grammatology</w:t>
      </w:r>
      <w:r>
        <w:t xml:space="preserve">, trans. Gayatri Chakravorty Spivak (Baltimore, MD: Johns Hopkins University Press, 1976), Part I, ch. 1, ‘The End of the Book and the Beginning of Writing’, in the Exergue, for ‘logocentrism: the metaphysics of phonetic writing (for example, of the alphabet)’. The claim that </w:t>
      </w:r>
      <w:proofErr w:type="gramStart"/>
      <w:r>
        <w:t>practice</w:t>
      </w:r>
      <w:proofErr w:type="gramEnd"/>
      <w:r>
        <w:t xml:space="preserve"> too proceeds by </w:t>
      </w:r>
      <w:proofErr w:type="spellStart"/>
      <w:r>
        <w:t>iterable</w:t>
      </w:r>
      <w:proofErr w:type="spellEnd"/>
      <w:r>
        <w:t xml:space="preserve"> marks is the extension of the law of iterability to ‘all “experience” in general’ at ‘Signature Event Context’, </w:t>
      </w:r>
      <w:r>
        <w:rPr>
          <w:i/>
          <w:iCs/>
        </w:rPr>
        <w:t>Margins of Philosophy</w:t>
      </w:r>
      <w:r>
        <w:t>, trans. Alan Bass (Chicago: University of Chicago Press, 1982), 318. The contrast between the two senses of the word is drawn here.</w:t>
      </w:r>
    </w:p>
  </w:footnote>
  <w:footnote w:id="4">
    <w:p w14:paraId="6391CB00" w14:textId="77777777" w:rsidR="0095720F" w:rsidRDefault="00000000">
      <w:pPr>
        <w:pStyle w:val="FootnoteText"/>
      </w:pPr>
      <w:r>
        <w:rPr>
          <w:rStyle w:val="FootnoteReference"/>
        </w:rPr>
        <w:footnoteRef/>
      </w:r>
      <w:r>
        <w:t xml:space="preserve"> PMT 29, in ‘Themes in </w:t>
      </w:r>
      <w:proofErr w:type="spellStart"/>
      <w:r>
        <w:t>Postmetaphysical</w:t>
      </w:r>
      <w:proofErr w:type="spellEnd"/>
      <w:r>
        <w:t xml:space="preserve"> Thinking’ (PMT 28–53), for the simplification which neglects the Aristotelian line and for the three aspects; PMT 30 for the one as axiom and origin; PMT 31 for the attributes which being takes over from the ideal; PMT 32 for the </w:t>
      </w:r>
      <w:r>
        <w:rPr>
          <w:i/>
          <w:iCs/>
        </w:rPr>
        <w:t xml:space="preserve">bios </w:t>
      </w:r>
      <w:proofErr w:type="spellStart"/>
      <w:r>
        <w:rPr>
          <w:i/>
          <w:iCs/>
        </w:rPr>
        <w:t>theoretikos</w:t>
      </w:r>
      <w:proofErr w:type="spellEnd"/>
      <w:r>
        <w:t xml:space="preserve"> and the sentence on the extra-ordinary; PMT 32 for the categorial determinations and for the </w:t>
      </w:r>
      <w:proofErr w:type="spellStart"/>
      <w:r>
        <w:t>totalising</w:t>
      </w:r>
      <w:proofErr w:type="spellEnd"/>
      <w:r>
        <w:t xml:space="preserve"> and self-referential reflection; PMT 33 for the self-justifying demand and for the theory absolute and self-justifying, and for the sentence which </w:t>
      </w:r>
      <w:proofErr w:type="spellStart"/>
      <w:r>
        <w:t>characterises</w:t>
      </w:r>
      <w:proofErr w:type="spellEnd"/>
      <w:r>
        <w:t xml:space="preserve"> the metaphysical thinking retaining its force until Hegel ‘by the translation of identity thinking, the doctrine of ideas, and the strong concept of theory into the terms of the philosophy of consciousness’. Melissa Yates, ‘</w:t>
      </w:r>
      <w:proofErr w:type="spellStart"/>
      <w:r>
        <w:t>Postmetaphysical</w:t>
      </w:r>
      <w:proofErr w:type="spellEnd"/>
      <w:r>
        <w:t xml:space="preserve"> Thinking’, in Amy Allen and Eduardo Mendieta (eds), </w:t>
      </w:r>
      <w:r>
        <w:rPr>
          <w:i/>
          <w:iCs/>
        </w:rPr>
        <w:t>The Cambridge Habermas Lexicon</w:t>
      </w:r>
      <w:r>
        <w:t xml:space="preserve"> (Cambridge: Cambridge University Press, 2019), 315–19, at 315, counts four aspects and numbers the philosophy of consciousness among them; the count followed above is Habermas’s, three aspects and their refraction, since the sentence at PMT 33 makes the philosophy of consciousness the medium of translation and not a fourth term. The passage runs: the word designates, ‘In a rough simplification that neglects the Aristotelian line’, the idealism from Plato to Hegel; the one to which identity thinking relates the many is ‘both axiom and essential ground, principle and origin’; being takes on ‘the further attributes of universality, necessity, and </w:t>
      </w:r>
      <w:proofErr w:type="spellStart"/>
      <w:r>
        <w:t>supratemporality</w:t>
      </w:r>
      <w:proofErr w:type="spellEnd"/>
      <w:r>
        <w:t xml:space="preserve">’; the </w:t>
      </w:r>
      <w:r>
        <w:rPr>
          <w:i/>
          <w:iCs/>
        </w:rPr>
        <w:t xml:space="preserve">bios </w:t>
      </w:r>
      <w:proofErr w:type="spellStart"/>
      <w:r>
        <w:rPr>
          <w:i/>
          <w:iCs/>
        </w:rPr>
        <w:t>theoretikos</w:t>
      </w:r>
      <w:proofErr w:type="spellEnd"/>
      <w:r>
        <w:t xml:space="preserve"> ‘demands a renunciation of the natural attitude toward the world and promises contact with the extra-ordinary’; in the philosophy of consciousness the ideal essences become ‘the categorial determinations of a productive reason’, reason ‘is active as a simultaneously totalizing and self-referential reflection’, and the independence of the theoretical life is sublimated ‘into a theory that is absolute and self-justifying’.</w:t>
      </w:r>
    </w:p>
  </w:footnote>
  <w:footnote w:id="5">
    <w:p w14:paraId="6B25AB45" w14:textId="77777777" w:rsidR="0095720F" w:rsidRDefault="00000000">
      <w:pPr>
        <w:pStyle w:val="FootnoteText"/>
      </w:pPr>
      <w:r>
        <w:rPr>
          <w:rStyle w:val="FootnoteReference"/>
        </w:rPr>
        <w:footnoteRef/>
      </w:r>
      <w:r>
        <w:t xml:space="preserve"> PMT 33–34 for the four developments, the phrase on social conditioning standing at 33. The correspondence with the four themes of PMT 6–7 is drawn above and is not stated by Habermas.</w:t>
      </w:r>
    </w:p>
  </w:footnote>
  <w:footnote w:id="6">
    <w:p w14:paraId="1F2861F7" w14:textId="77777777" w:rsidR="0095720F" w:rsidRDefault="00000000">
      <w:pPr>
        <w:pStyle w:val="FootnoteText"/>
      </w:pPr>
      <w:r>
        <w:rPr>
          <w:rStyle w:val="FootnoteReference"/>
        </w:rPr>
        <w:footnoteRef/>
      </w:r>
      <w:r>
        <w:t xml:space="preserve"> PMT 18, in ‘Metaphysics after Kant’ (PMT 10–27), for the three respects and the sentence quoted; PMT 17 for the passage which precedes them, on the distinct criteria of validity philosophy could establish only ‘at the price of surrendering its own plausibility’. The essay was written for the Festschrift for Henrich, </w:t>
      </w:r>
      <w:proofErr w:type="spellStart"/>
      <w:r>
        <w:rPr>
          <w:i/>
          <w:iCs/>
        </w:rPr>
        <w:t>Theorie</w:t>
      </w:r>
      <w:proofErr w:type="spellEnd"/>
      <w:r>
        <w:rPr>
          <w:i/>
          <w:iCs/>
        </w:rPr>
        <w:t xml:space="preserve"> der </w:t>
      </w:r>
      <w:proofErr w:type="spellStart"/>
      <w:r>
        <w:rPr>
          <w:i/>
          <w:iCs/>
        </w:rPr>
        <w:t>Subjektivität</w:t>
      </w:r>
      <w:proofErr w:type="spellEnd"/>
      <w:r>
        <w:t xml:space="preserve">, ed. Konrad Cramer and others (Frankfurt am Main: </w:t>
      </w:r>
      <w:proofErr w:type="spellStart"/>
      <w:r>
        <w:t>Suhrkamp</w:t>
      </w:r>
      <w:proofErr w:type="spellEnd"/>
      <w:r>
        <w:t>, 1987), as the translator’s note at PMT 27 n. 3 records.</w:t>
      </w:r>
    </w:p>
  </w:footnote>
  <w:footnote w:id="7">
    <w:p w14:paraId="6B4309C9" w14:textId="77777777" w:rsidR="0095720F" w:rsidRDefault="00000000">
      <w:pPr>
        <w:pStyle w:val="FootnoteText"/>
      </w:pPr>
      <w:r>
        <w:rPr>
          <w:rStyle w:val="FootnoteReference"/>
        </w:rPr>
        <w:footnoteRef/>
      </w:r>
      <w:r>
        <w:t xml:space="preserve"> Georg Lohmann, ‘</w:t>
      </w:r>
      <w:proofErr w:type="spellStart"/>
      <w:r>
        <w:t>Postmetaphysical</w:t>
      </w:r>
      <w:proofErr w:type="spellEnd"/>
      <w:r>
        <w:t xml:space="preserve"> Thinking’, in </w:t>
      </w:r>
      <w:r>
        <w:rPr>
          <w:i/>
          <w:iCs/>
        </w:rPr>
        <w:t>The Habermas Handbook</w:t>
      </w:r>
      <w:r>
        <w:t xml:space="preserve">, ed. Hauke Brunkhorst, Regina </w:t>
      </w:r>
      <w:proofErr w:type="spellStart"/>
      <w:r>
        <w:t>Kreide</w:t>
      </w:r>
      <w:proofErr w:type="spellEnd"/>
      <w:r>
        <w:t xml:space="preserve"> and Cristina Lafont (New York: Columbia University Press, 2018), 594–97, at 594, for the two senses of the term, the critical and the positive, and for the reading of </w:t>
      </w:r>
      <w:proofErr w:type="spellStart"/>
      <w:r>
        <w:rPr>
          <w:i/>
          <w:iCs/>
        </w:rPr>
        <w:t>nach</w:t>
      </w:r>
      <w:proofErr w:type="spellEnd"/>
      <w:r>
        <w:t xml:space="preserve"> as </w:t>
      </w:r>
      <w:r>
        <w:rPr>
          <w:i/>
          <w:iCs/>
        </w:rPr>
        <w:t>after</w:t>
      </w:r>
      <w:r>
        <w:t xml:space="preserve"> and </w:t>
      </w:r>
      <w:r>
        <w:rPr>
          <w:i/>
          <w:iCs/>
        </w:rPr>
        <w:t>according to</w:t>
      </w:r>
      <w:r>
        <w:t>. Lohmann records that the term was first employed in the exchange with Henrich, in the review ‘</w:t>
      </w:r>
      <w:proofErr w:type="spellStart"/>
      <w:r>
        <w:t>Rückkehr</w:t>
      </w:r>
      <w:proofErr w:type="spellEnd"/>
      <w:r>
        <w:t xml:space="preserve"> </w:t>
      </w:r>
      <w:proofErr w:type="spellStart"/>
      <w:r>
        <w:t>zur</w:t>
      </w:r>
      <w:proofErr w:type="spellEnd"/>
      <w:r>
        <w:t xml:space="preserve"> </w:t>
      </w:r>
      <w:proofErr w:type="spellStart"/>
      <w:r>
        <w:t>Metaphysik</w:t>
      </w:r>
      <w:proofErr w:type="spellEnd"/>
      <w:r>
        <w:t xml:space="preserve"> — Eine Tendenz in der </w:t>
      </w:r>
      <w:proofErr w:type="spellStart"/>
      <w:r>
        <w:t>deutschen</w:t>
      </w:r>
      <w:proofErr w:type="spellEnd"/>
      <w:r>
        <w:t xml:space="preserve"> Philosophie?’, </w:t>
      </w:r>
      <w:r>
        <w:rPr>
          <w:i/>
          <w:iCs/>
        </w:rPr>
        <w:t>Merkur</w:t>
      </w:r>
      <w:r>
        <w:t xml:space="preserve"> 39, nos. 439–440 (1985), 898–905, reprinted as an appendix to </w:t>
      </w:r>
      <w:proofErr w:type="spellStart"/>
      <w:r>
        <w:rPr>
          <w:i/>
          <w:iCs/>
        </w:rPr>
        <w:t>Nachmetaphysisches</w:t>
      </w:r>
      <w:proofErr w:type="spellEnd"/>
      <w:r>
        <w:rPr>
          <w:i/>
          <w:iCs/>
        </w:rPr>
        <w:t xml:space="preserve"> Denken: </w:t>
      </w:r>
      <w:proofErr w:type="spellStart"/>
      <w:r>
        <w:rPr>
          <w:i/>
          <w:iCs/>
        </w:rPr>
        <w:t>Philosophische</w:t>
      </w:r>
      <w:proofErr w:type="spellEnd"/>
      <w:r>
        <w:rPr>
          <w:i/>
          <w:iCs/>
        </w:rPr>
        <w:t xml:space="preserve"> </w:t>
      </w:r>
      <w:proofErr w:type="spellStart"/>
      <w:r>
        <w:rPr>
          <w:i/>
          <w:iCs/>
        </w:rPr>
        <w:t>Aufsätze</w:t>
      </w:r>
      <w:proofErr w:type="spellEnd"/>
      <w:r>
        <w:t xml:space="preserve"> (Frankfurt am Main: </w:t>
      </w:r>
      <w:proofErr w:type="spellStart"/>
      <w:r>
        <w:t>Suhrkamp</w:t>
      </w:r>
      <w:proofErr w:type="spellEnd"/>
      <w:r>
        <w:t>, 1988), where Habermas, citing it at PMT 27 n. 1 as the occasion of Henrich’s theses, gives its opening page as 267; the English volume omits it.</w:t>
      </w:r>
    </w:p>
  </w:footnote>
  <w:footnote w:id="8">
    <w:p w14:paraId="05DB41AF" w14:textId="77777777" w:rsidR="0095720F" w:rsidRDefault="00000000">
      <w:pPr>
        <w:pStyle w:val="FootnoteText"/>
      </w:pPr>
      <w:r>
        <w:rPr>
          <w:rStyle w:val="FootnoteReference"/>
        </w:rPr>
        <w:footnoteRef/>
      </w:r>
      <w:r>
        <w:t xml:space="preserve"> PMT 28 for the </w:t>
      </w:r>
      <w:proofErr w:type="spellStart"/>
      <w:r>
        <w:t>antimetaphysical</w:t>
      </w:r>
      <w:proofErr w:type="spellEnd"/>
      <w:r>
        <w:t xml:space="preserve"> </w:t>
      </w:r>
      <w:proofErr w:type="spellStart"/>
      <w:r>
        <w:t>furore</w:t>
      </w:r>
      <w:proofErr w:type="spellEnd"/>
      <w:r>
        <w:t xml:space="preserve"> of positivism and the scientistic motive it betrays, reported in indirect discourse; PMT 38 for the phrase quoted in the body, on the lifeworld as a totality present pretheoretically, and for the sentence on the relationship to the whole, ‘need not by any means completely surrender the relationship to the whole that had distinguished metaphysics’, said of a philosophy placed among the sciences. PMT 6 for the ‘</w:t>
      </w:r>
      <w:proofErr w:type="spellStart"/>
      <w:r>
        <w:t>antimetaphysical</w:t>
      </w:r>
      <w:proofErr w:type="spellEnd"/>
      <w:r>
        <w:t xml:space="preserve"> affect’ of the Vienna Circle, separated there too from the </w:t>
      </w:r>
      <w:proofErr w:type="spellStart"/>
      <w:r>
        <w:t>postmetaphysical</w:t>
      </w:r>
      <w:proofErr w:type="spellEnd"/>
      <w:r>
        <w:t xml:space="preserve"> thinking under whose premises the strong concept of theory declines.</w:t>
      </w:r>
    </w:p>
  </w:footnote>
  <w:footnote w:id="9">
    <w:p w14:paraId="47738BFF" w14:textId="77777777" w:rsidR="0095720F" w:rsidRDefault="00000000">
      <w:pPr>
        <w:pStyle w:val="FootnoteText"/>
      </w:pPr>
      <w:r>
        <w:rPr>
          <w:rStyle w:val="FootnoteReference"/>
        </w:rPr>
        <w:footnoteRef/>
      </w:r>
      <w:r>
        <w:t xml:space="preserve"> PMT 144, in ‘The Unity of Reason in the Diversity of Its Voices’ (PMT 115–48), for the sentence quoted in the body and for its companion, ‘Only with this residue of metaphysics can we do battle against the transfiguration of the world through metaphysical truths’; the same page has communicative reason ‘still accompanied by the shadow of a transcendental illusion’. That the residue is a procedure is Habermas’s formulation; that the procedural form of the residue is the source of the aporia §2.3.4 reaches is the chapter’s claim and is argued there.</w:t>
      </w:r>
    </w:p>
  </w:footnote>
  <w:footnote w:id="10">
    <w:p w14:paraId="36CEA308" w14:textId="77777777" w:rsidR="0095720F" w:rsidRDefault="00000000">
      <w:pPr>
        <w:pStyle w:val="FootnoteText"/>
      </w:pPr>
      <w:r>
        <w:rPr>
          <w:rStyle w:val="FootnoteReference"/>
        </w:rPr>
        <w:footnoteRef/>
      </w:r>
      <w:r>
        <w:t xml:space="preserve"> MCCA 9, in ‘Philosophy as Stand-In and Interpreter’ (MCCA 1–20), for the sentence on the solitary subject, said there of what pragmatism and hermeneutics oust. LC 159 n. 16 for ‘The fundamental error of methodological solipsism’, extended in that note to monological action, in a comment on what Habermas calls Apel’s residual </w:t>
      </w:r>
      <w:proofErr w:type="spellStart"/>
      <w:r>
        <w:t>decisionistic</w:t>
      </w:r>
      <w:proofErr w:type="spellEnd"/>
      <w:r>
        <w:t xml:space="preserve"> problematic; the volume is </w:t>
      </w:r>
      <w:r>
        <w:rPr>
          <w:i/>
          <w:iCs/>
        </w:rPr>
        <w:t>Legitimation Crisis</w:t>
      </w:r>
      <w:r>
        <w:t>, trans. Thomas McCarthy (Boston: Beacon Press, 1975). TJ 118, in ‘From Kant’s “Ideas” of Pure Reason to the “Idealizing” Presuppositions of Communicative Action’ (TJ 83–130), for ‘the methodological solipsism of the solitary observer’, said of Davidson’s scenario of two organisms and one stimulus; the sentence recurs in the revised printing of the essay at BNR 63. The Introduction fixes the term as Apel’s and as a thesis about position at its §II; C2 below cites the pages of Apel’s Wittgenstein chapter and examines the displacement.</w:t>
      </w:r>
    </w:p>
  </w:footnote>
  <w:footnote w:id="11">
    <w:p w14:paraId="30514B3D" w14:textId="77777777" w:rsidR="0095720F" w:rsidRDefault="00000000">
      <w:pPr>
        <w:pStyle w:val="FootnoteText"/>
      </w:pPr>
      <w:r>
        <w:rPr>
          <w:rStyle w:val="FootnoteReference"/>
        </w:rPr>
        <w:footnoteRef/>
      </w:r>
      <w:r>
        <w:t xml:space="preserve"> PMT 145 for the God’s-eye view and the radical outsider, both said of negative metaphysics; TJ 216, in ‘Norms and Values: On Hilary Putnam’s Kantian Pragmatism’, for the sentence on metaphysical realism, the phrase being Putnam’s and used there in the exposition of his position; PMT II, ch. 5, ‘Religion and </w:t>
      </w:r>
      <w:proofErr w:type="spellStart"/>
      <w:r>
        <w:t>Postmetaphysical</w:t>
      </w:r>
      <w:proofErr w:type="spellEnd"/>
      <w:r>
        <w:t xml:space="preserve"> Thinking: A Reply’, §IV, ‘What is Meant by a “Genealogy” of </w:t>
      </w:r>
      <w:proofErr w:type="spellStart"/>
      <w:r>
        <w:t>Postmetaphysical</w:t>
      </w:r>
      <w:proofErr w:type="spellEnd"/>
      <w:r>
        <w:t xml:space="preserve"> Thinking?’, for the divine standpoint and for the impartiality which replaces it. The volume is </w:t>
      </w:r>
      <w:proofErr w:type="spellStart"/>
      <w:r>
        <w:rPr>
          <w:i/>
          <w:iCs/>
        </w:rPr>
        <w:t>Postmetaphysical</w:t>
      </w:r>
      <w:proofErr w:type="spellEnd"/>
      <w:r>
        <w:rPr>
          <w:i/>
          <w:iCs/>
        </w:rPr>
        <w:t xml:space="preserve"> Thinking II: Essays and Replies</w:t>
      </w:r>
      <w:r>
        <w:t>, trans. Ciaran Cronin (Cambridge: Polity, 2017) (</w:t>
      </w:r>
      <w:proofErr w:type="spellStart"/>
      <w:r>
        <w:rPr>
          <w:i/>
          <w:iCs/>
        </w:rPr>
        <w:t>Nachmetaphysisches</w:t>
      </w:r>
      <w:proofErr w:type="spellEnd"/>
      <w:r>
        <w:rPr>
          <w:i/>
          <w:iCs/>
        </w:rPr>
        <w:t xml:space="preserve"> Denken II: </w:t>
      </w:r>
      <w:proofErr w:type="spellStart"/>
      <w:r>
        <w:rPr>
          <w:i/>
          <w:iCs/>
        </w:rPr>
        <w:t>Aufsätze</w:t>
      </w:r>
      <w:proofErr w:type="spellEnd"/>
      <w:r>
        <w:rPr>
          <w:i/>
          <w:iCs/>
        </w:rPr>
        <w:t xml:space="preserve"> und </w:t>
      </w:r>
      <w:proofErr w:type="spellStart"/>
      <w:r>
        <w:rPr>
          <w:i/>
          <w:iCs/>
        </w:rPr>
        <w:t>Repliken</w:t>
      </w:r>
      <w:proofErr w:type="spellEnd"/>
      <w:r>
        <w:t xml:space="preserve">, Berlin: </w:t>
      </w:r>
      <w:proofErr w:type="spellStart"/>
      <w:r>
        <w:t>Suhrkamp</w:t>
      </w:r>
      <w:proofErr w:type="spellEnd"/>
      <w:r>
        <w:t>, 2012); it is cited by chapter and section throughout. The sentence on metaphysical realism has it chasing ‘a fictitious view from nowhere, an external God’s-eye point of view on an uninterpreted world’; the volume of 2012 states the whole thrust of post-metaphysical thinking as the deconstruction of ‘the divine standpoint which by definition has the last word’.</w:t>
      </w:r>
    </w:p>
  </w:footnote>
  <w:footnote w:id="12">
    <w:p w14:paraId="39C03B20" w14:textId="77777777" w:rsidR="0095720F" w:rsidRDefault="00000000">
      <w:pPr>
        <w:pStyle w:val="FootnoteText"/>
      </w:pPr>
      <w:r>
        <w:rPr>
          <w:rStyle w:val="FootnoteReference"/>
        </w:rPr>
        <w:footnoteRef/>
      </w:r>
      <w:r>
        <w:t xml:space="preserve"> MCCA 2 for ‘a cognition before cognition’, in the sentence on the domain Kantian philosophy sets up between itself and the sciences, the same page carrying the refusal of the usher’s role which the Introduction §I quotes and which is not repeated; PMT 36 for the sentence on the closed and final system of statements, in the paragraph which finds the fallibilism of scientific theories ‘incompatible with the type of knowledge </w:t>
      </w:r>
      <w:r>
        <w:rPr>
          <w:i/>
          <w:iCs/>
        </w:rPr>
        <w:t>prima philosophia</w:t>
      </w:r>
      <w:r>
        <w:t xml:space="preserve"> believed itself capable of attaining’. The sentence at PMT 36 runs: ‘Every comprehensive, closed, and final system of statements must be formulated in a language that requires no commentary</w:t>
      </w:r>
      <w:proofErr w:type="gramStart"/>
      <w:r>
        <w:t>’, and</w:t>
      </w:r>
      <w:proofErr w:type="gramEnd"/>
      <w:r>
        <w:t xml:space="preserve"> states the incompatibility of the foundationalist form with the fallibilism of the sciences.</w:t>
      </w:r>
    </w:p>
  </w:footnote>
  <w:footnote w:id="13">
    <w:p w14:paraId="1EA91DE8" w14:textId="77777777" w:rsidR="0095720F" w:rsidRDefault="00000000">
      <w:pPr>
        <w:pStyle w:val="FootnoteText"/>
      </w:pPr>
      <w:r>
        <w:rPr>
          <w:rStyle w:val="FootnoteReference"/>
        </w:rPr>
        <w:footnoteRef/>
      </w:r>
      <w:r>
        <w:t xml:space="preserve"> PMT 7, in ‘The Horizon of Modernity Is Shifting’, for the rules read off from linguistic formations, in the words the body quotes. The regrouping of Habermas’s renunciations under three tenets, the correspondence of tenet to commitment, and the correlation of the three commitments with three of the four themes are readings of the method and not Habermas’s ordering; the inference drawn at §2.3.1, that the reversal cannot be executed from a standpoint it abandons, is likewise not his.</w:t>
      </w:r>
    </w:p>
  </w:footnote>
  <w:footnote w:id="14">
    <w:p w14:paraId="58ED1A9B" w14:textId="77777777" w:rsidR="0095720F" w:rsidRDefault="00000000">
      <w:pPr>
        <w:pStyle w:val="FootnoteText"/>
      </w:pPr>
      <w:r>
        <w:rPr>
          <w:rStyle w:val="FootnoteReference"/>
        </w:rPr>
        <w:footnoteRef/>
      </w:r>
      <w:r>
        <w:t xml:space="preserve"> PMT 29 for the sentence which dates the break to Hegel’s first disciples; PMT II, ch. 5, §IV, for the three passages, the first the judgement that ‘today there is no alternative to the </w:t>
      </w:r>
      <w:proofErr w:type="spellStart"/>
      <w:r>
        <w:t>postmetaphysical</w:t>
      </w:r>
      <w:proofErr w:type="spellEnd"/>
      <w:r>
        <w:t xml:space="preserve"> mode of doing philosophy’, the second the statement of what the genealogy ‘is supposed to foster’, the third the sentence on operating without a ground, which continues ‘instead of borrowing them from some traditional authority’. The same section distinguishes the undertaking from a Nietzschean genealogy by its intention, which is ‘not guided by the subversive intention of undercutting the repressive features of a dominant mode of thought’.</w:t>
      </w:r>
    </w:p>
  </w:footnote>
  <w:footnote w:id="15">
    <w:p w14:paraId="1B229789" w14:textId="77777777" w:rsidR="0095720F" w:rsidRDefault="00000000">
      <w:pPr>
        <w:pStyle w:val="FootnoteText"/>
      </w:pPr>
      <w:r>
        <w:rPr>
          <w:rStyle w:val="FootnoteReference"/>
        </w:rPr>
        <w:footnoteRef/>
      </w:r>
      <w:r>
        <w:t xml:space="preserve"> Jürgen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2 vols (Berlin: </w:t>
      </w:r>
      <w:proofErr w:type="spellStart"/>
      <w:r>
        <w:t>Suhrkamp</w:t>
      </w:r>
      <w:proofErr w:type="spellEnd"/>
      <w:r>
        <w:t xml:space="preserve">, 2019), Bd. I, 39, in the introduction ‘Zur Frage </w:t>
      </w:r>
      <w:proofErr w:type="spellStart"/>
      <w:r>
        <w:t>einer</w:t>
      </w:r>
      <w:proofErr w:type="spellEnd"/>
      <w:r>
        <w:t xml:space="preserve"> </w:t>
      </w:r>
      <w:proofErr w:type="spellStart"/>
      <w:r>
        <w:t>Genealogie</w:t>
      </w:r>
      <w:proofErr w:type="spellEnd"/>
      <w:r>
        <w:t xml:space="preserve"> </w:t>
      </w:r>
      <w:proofErr w:type="spellStart"/>
      <w:r>
        <w:t>nachmetaphysischen</w:t>
      </w:r>
      <w:proofErr w:type="spellEnd"/>
      <w:r>
        <w:t xml:space="preserve"> </w:t>
      </w:r>
      <w:proofErr w:type="spellStart"/>
      <w:r>
        <w:t>Denkens</w:t>
      </w:r>
      <w:proofErr w:type="spellEnd"/>
      <w:r>
        <w:t>’, where the process is to be understood ‘</w:t>
      </w:r>
      <w:proofErr w:type="spellStart"/>
      <w:r>
        <w:t>als</w:t>
      </w:r>
      <w:proofErr w:type="spellEnd"/>
      <w:r>
        <w:t xml:space="preserve"> </w:t>
      </w:r>
      <w:proofErr w:type="spellStart"/>
      <w:r>
        <w:t>einen</w:t>
      </w:r>
      <w:proofErr w:type="spellEnd"/>
      <w:r>
        <w:t xml:space="preserve"> intern </w:t>
      </w:r>
      <w:proofErr w:type="spellStart"/>
      <w:r>
        <w:t>nachvollziehbaren</w:t>
      </w:r>
      <w:proofErr w:type="spellEnd"/>
      <w:r>
        <w:t xml:space="preserve">, </w:t>
      </w:r>
      <w:proofErr w:type="spellStart"/>
      <w:r>
        <w:t>aber</w:t>
      </w:r>
      <w:proofErr w:type="spellEnd"/>
      <w:r>
        <w:t xml:space="preserve"> nicht </w:t>
      </w:r>
      <w:proofErr w:type="spellStart"/>
      <w:r>
        <w:t>als</w:t>
      </w:r>
      <w:proofErr w:type="spellEnd"/>
      <w:r>
        <w:t xml:space="preserve"> </w:t>
      </w:r>
      <w:proofErr w:type="spellStart"/>
      <w:r>
        <w:t>einen</w:t>
      </w:r>
      <w:proofErr w:type="spellEnd"/>
      <w:r>
        <w:t xml:space="preserve"> </w:t>
      </w:r>
      <w:proofErr w:type="spellStart"/>
      <w:r>
        <w:t>ausschließlich</w:t>
      </w:r>
      <w:proofErr w:type="spellEnd"/>
      <w:r>
        <w:t xml:space="preserve"> intern </w:t>
      </w:r>
      <w:proofErr w:type="spellStart"/>
      <w:r>
        <w:t>gesteuerten</w:t>
      </w:r>
      <w:proofErr w:type="spellEnd"/>
      <w:r>
        <w:t xml:space="preserve"> </w:t>
      </w:r>
      <w:proofErr w:type="spellStart"/>
      <w:r>
        <w:t>Lernprozess</w:t>
      </w:r>
      <w:proofErr w:type="spellEnd"/>
      <w:r>
        <w:t xml:space="preserve">’; the rendering in the body is the </w:t>
      </w:r>
      <w:proofErr w:type="gramStart"/>
      <w:r>
        <w:t>chapter’s</w:t>
      </w:r>
      <w:proofErr w:type="gramEnd"/>
      <w:r>
        <w:t>. Bd. I, 28, states the question the genealogy is to answer, whether and how the philosophical treatment of problems of the relevant complexity has been continued under the conditions of post-metaphysical thinking.</w:t>
      </w:r>
    </w:p>
  </w:footnote>
  <w:footnote w:id="16">
    <w:p w14:paraId="191C137A" w14:textId="77777777" w:rsidR="0095720F" w:rsidRDefault="00000000">
      <w:pPr>
        <w:pStyle w:val="FootnoteText"/>
      </w:pPr>
      <w:r>
        <w:rPr>
          <w:rStyle w:val="FootnoteReference"/>
        </w:rPr>
        <w:footnoteRef/>
      </w:r>
      <w:r>
        <w:t xml:space="preserve"> PMT II, ‘</w:t>
      </w:r>
      <w:proofErr w:type="spellStart"/>
      <w:r>
        <w:t>Linguistification</w:t>
      </w:r>
      <w:proofErr w:type="spellEnd"/>
      <w:r>
        <w:t xml:space="preserve"> of the Sacred: In Place of a Preface’, for the two passages quoted; the preface describes the volume of 1988 as having dealt with the self-confirmation of philosophical thinking and the volume of 2012 as continuing that theme.</w:t>
      </w:r>
    </w:p>
  </w:footnote>
  <w:footnote w:id="17">
    <w:p w14:paraId="6523E557" w14:textId="77777777" w:rsidR="0095720F" w:rsidRDefault="00000000">
      <w:pPr>
        <w:pStyle w:val="FootnoteText"/>
      </w:pPr>
      <w:r>
        <w:rPr>
          <w:rStyle w:val="FootnoteReference"/>
        </w:rPr>
        <w:footnoteRef/>
      </w:r>
      <w:r>
        <w:t xml:space="preserve"> MCCA 4–8 for the transcendental and dialectical modes of justification and the self-criticisms within each tradition, the enumeration of six positions standing at MCCA 6–7; PMT 142 for the dilemma, communicative reason freeing thought ‘from the dilemma of having to choose between Kant and Hegel’; PMT 28 for ‘a negative metaphysics’, at which Heidegger’s destruction and Adorno’s critique of the philosophy of origins are said to aim, with PMT 145 for the outsider’s standpoint negative metaphysics retains; PMT 33 for Husserl and the university tradition, in which the methodical attitude ‘was inflated into the internally justified precedence of theory over practice’; PMT 42 for the two positions of Heidegger, the existential rooting of the world-projecting subject which leaves the problem of intersubjectivity ‘unsolvable’ and the later work in which ‘the prejudicing force of linguistic world-disclosure’ devalues every learning process within the world; PMT 43 for the verdict. The grouping of the five as interlocutors of one circle is the </w:t>
      </w:r>
      <w:proofErr w:type="gramStart"/>
      <w:r>
        <w:t>chapter’s</w:t>
      </w:r>
      <w:proofErr w:type="gramEnd"/>
      <w:r>
        <w:t>.</w:t>
      </w:r>
    </w:p>
  </w:footnote>
  <w:footnote w:id="18">
    <w:p w14:paraId="2D223963" w14:textId="77777777" w:rsidR="0095720F" w:rsidRDefault="00000000">
      <w:pPr>
        <w:pStyle w:val="FootnoteText"/>
      </w:pPr>
      <w:r>
        <w:rPr>
          <w:rStyle w:val="FootnoteReference"/>
        </w:rPr>
        <w:footnoteRef/>
      </w:r>
      <w:r>
        <w:t xml:space="preserve"> MCCA 8 for the two sentences on critical rationalism and negativism, the second concluding that the two modes of justification ‘cannot be abolished except on penalty of self-contradiction’; PDM, ‘Excursus on Leveling the Genre Distinction between Philosophy and Literature’, §I, for the sentence on the </w:t>
      </w:r>
      <w:proofErr w:type="spellStart"/>
      <w:r>
        <w:t>totalising</w:t>
      </w:r>
      <w:proofErr w:type="spellEnd"/>
      <w:r>
        <w:t xml:space="preserve"> self-critique of reason, the lectures being </w:t>
      </w:r>
      <w:r>
        <w:rPr>
          <w:i/>
          <w:iCs/>
        </w:rPr>
        <w:t>The Philosophical Discourse of Modernity: Twelve Lectures</w:t>
      </w:r>
      <w:r>
        <w:t>, trans. Frederick Lawrence (Cambridge, MA: MIT Press, 1987); PMT 135 for the relativistic thesis. That the three charges convict one form is the chapter’s reading; the bounded sense of the instrument is fixed at §2.2.2 and not anticipated.</w:t>
      </w:r>
    </w:p>
  </w:footnote>
  <w:footnote w:id="19">
    <w:p w14:paraId="15004B55" w14:textId="77777777" w:rsidR="0095720F" w:rsidRDefault="00000000">
      <w:pPr>
        <w:pStyle w:val="FootnoteText"/>
      </w:pPr>
      <w:r>
        <w:rPr>
          <w:rStyle w:val="FootnoteReference"/>
        </w:rPr>
        <w:footnoteRef/>
      </w:r>
      <w:r>
        <w:t xml:space="preserve"> John Rawls, ‘Reply to Habermas’, </w:t>
      </w:r>
      <w:r>
        <w:rPr>
          <w:i/>
          <w:iCs/>
        </w:rPr>
        <w:t>Journal of Philosophy</w:t>
      </w:r>
      <w:r>
        <w:t xml:space="preserve"> 92/3 (1995), 132–80, at 135 for the comprehensive doctrine, 137 for the two sentences quoted and 137 n. 8 for the premise, which continues ‘To deny certain metaphysical doctrines is to assert another such doctrine’; the reprint in James Gordon Finlayson and Fabian </w:t>
      </w:r>
      <w:proofErr w:type="spellStart"/>
      <w:r>
        <w:t>Freyenhagen</w:t>
      </w:r>
      <w:proofErr w:type="spellEnd"/>
      <w:r>
        <w:t xml:space="preserve"> (eds), </w:t>
      </w:r>
      <w:r>
        <w:rPr>
          <w:i/>
          <w:iCs/>
        </w:rPr>
        <w:t>Habermas and Rawls: Disputing the Political</w:t>
      </w:r>
      <w:r>
        <w:t xml:space="preserve"> (New York: Routledge, 2011), ch. 2, carries the journal pagination in brackets and is the printing collated. Habermas’s own answer to the charge, in the reply of 2012, is read in the paragraph which follows.</w:t>
      </w:r>
    </w:p>
  </w:footnote>
  <w:footnote w:id="20">
    <w:p w14:paraId="4756B07A" w14:textId="77777777" w:rsidR="0095720F" w:rsidRDefault="00000000">
      <w:pPr>
        <w:pStyle w:val="FootnoteText"/>
      </w:pPr>
      <w:r>
        <w:rPr>
          <w:rStyle w:val="FootnoteReference"/>
        </w:rPr>
        <w:footnoteRef/>
      </w:r>
      <w:r>
        <w:t xml:space="preserve"> Dieter Henrich, ‘What is Metaphysics — What is Modernity? Twelve Theses against Jürgen Habermas’, in Peter Dews (ed.), </w:t>
      </w:r>
      <w:r>
        <w:rPr>
          <w:i/>
          <w:iCs/>
        </w:rPr>
        <w:t>Habermas: A Critical Reader</w:t>
      </w:r>
      <w:r>
        <w:t xml:space="preserve"> (Oxford: Blackwell, 1999), 291–319, at 296, where the sentence of the first preface (Kant, </w:t>
      </w:r>
      <w:r>
        <w:rPr>
          <w:i/>
          <w:iCs/>
        </w:rPr>
        <w:t>Critique of Pure Reason</w:t>
      </w:r>
      <w:r>
        <w:t xml:space="preserve">, A x) is quoted and applied to Habermas; the German is ‘Was </w:t>
      </w:r>
      <w:proofErr w:type="spellStart"/>
      <w:r>
        <w:t>ist</w:t>
      </w:r>
      <w:proofErr w:type="spellEnd"/>
      <w:r>
        <w:t xml:space="preserve"> </w:t>
      </w:r>
      <w:proofErr w:type="spellStart"/>
      <w:r>
        <w:t>Metaphysik</w:t>
      </w:r>
      <w:proofErr w:type="spellEnd"/>
      <w:r>
        <w:t xml:space="preserve"> — was Moderne? </w:t>
      </w:r>
      <w:proofErr w:type="spellStart"/>
      <w:r>
        <w:t>Zwölf</w:t>
      </w:r>
      <w:proofErr w:type="spellEnd"/>
      <w:r>
        <w:t xml:space="preserve"> </w:t>
      </w:r>
      <w:proofErr w:type="spellStart"/>
      <w:r>
        <w:t>Thesen</w:t>
      </w:r>
      <w:proofErr w:type="spellEnd"/>
      <w:r>
        <w:t xml:space="preserve"> </w:t>
      </w:r>
      <w:proofErr w:type="spellStart"/>
      <w:r>
        <w:t>gegen</w:t>
      </w:r>
      <w:proofErr w:type="spellEnd"/>
      <w:r>
        <w:t xml:space="preserve"> Jürgen Habermas’, in </w:t>
      </w:r>
      <w:proofErr w:type="spellStart"/>
      <w:r>
        <w:rPr>
          <w:i/>
          <w:iCs/>
        </w:rPr>
        <w:t>Konzepte</w:t>
      </w:r>
      <w:proofErr w:type="spellEnd"/>
      <w:r>
        <w:rPr>
          <w:i/>
          <w:iCs/>
        </w:rPr>
        <w:t xml:space="preserve">: Essays </w:t>
      </w:r>
      <w:proofErr w:type="spellStart"/>
      <w:r>
        <w:rPr>
          <w:i/>
          <w:iCs/>
        </w:rPr>
        <w:t>zur</w:t>
      </w:r>
      <w:proofErr w:type="spellEnd"/>
      <w:r>
        <w:rPr>
          <w:i/>
          <w:iCs/>
        </w:rPr>
        <w:t xml:space="preserve"> Philosophie der Zeit</w:t>
      </w:r>
      <w:r>
        <w:t xml:space="preserve"> (Frankfurt am Main: </w:t>
      </w:r>
      <w:proofErr w:type="spellStart"/>
      <w:r>
        <w:t>Suhrkamp</w:t>
      </w:r>
      <w:proofErr w:type="spellEnd"/>
      <w:r>
        <w:t>, 1987), 11–43, the printing Habermas cites at PMT 27 n. 2.</w:t>
      </w:r>
    </w:p>
  </w:footnote>
  <w:footnote w:id="21">
    <w:p w14:paraId="63BD25CA" w14:textId="77777777" w:rsidR="0095720F" w:rsidRDefault="00000000">
      <w:pPr>
        <w:pStyle w:val="FootnoteText"/>
      </w:pPr>
      <w:r>
        <w:rPr>
          <w:rStyle w:val="FootnoteReference"/>
        </w:rPr>
        <w:footnoteRef/>
      </w:r>
      <w:r>
        <w:t xml:space="preserve"> Kant, </w:t>
      </w:r>
      <w:r>
        <w:rPr>
          <w:i/>
          <w:iCs/>
        </w:rPr>
        <w:t>Critique of Pure Reason</w:t>
      </w:r>
      <w:r>
        <w:t xml:space="preserve">, B xxxv, in the edition the Introduction cites, reported in indirect discourse. The transposition of the criterion from a faculty to a practice is the chapter’s reading of the two passages the next note </w:t>
      </w:r>
      <w:proofErr w:type="gramStart"/>
      <w:r>
        <w:t>gives, and</w:t>
      </w:r>
      <w:proofErr w:type="gramEnd"/>
      <w:r>
        <w:t xml:space="preserve"> is offered as a reading.</w:t>
      </w:r>
    </w:p>
  </w:footnote>
  <w:footnote w:id="22">
    <w:p w14:paraId="6A5F9EAE" w14:textId="77777777" w:rsidR="0095720F" w:rsidRDefault="00000000">
      <w:pPr>
        <w:pStyle w:val="FootnoteText"/>
      </w:pPr>
      <w:r>
        <w:rPr>
          <w:rStyle w:val="FootnoteReference"/>
        </w:rPr>
        <w:footnoteRef/>
      </w:r>
      <w:r>
        <w:t xml:space="preserve"> PMT 21 for the sentence on analytic materialism; PMT II, ch. 9, ‘Rawls’s Political Liberalism: Reply to the Resumption of a Discussion’, §III, ‘</w:t>
      </w:r>
      <w:proofErr w:type="spellStart"/>
      <w:r>
        <w:t>Postmetaphysical</w:t>
      </w:r>
      <w:proofErr w:type="spellEnd"/>
      <w:r>
        <w:t>, Not Freestanding’, for the three passages quoted, the section §2.1.4 cites for its concession on weak transcendental arguments. Kenneth Baynes, ‘</w:t>
      </w:r>
      <w:proofErr w:type="spellStart"/>
      <w:r>
        <w:t>Postmetaphysical</w:t>
      </w:r>
      <w:proofErr w:type="spellEnd"/>
      <w:r>
        <w:t xml:space="preserve"> Thinking’, in </w:t>
      </w:r>
      <w:r>
        <w:rPr>
          <w:i/>
          <w:iCs/>
        </w:rPr>
        <w:t>The Habermas Handbook</w:t>
      </w:r>
      <w:r>
        <w:t>, 71–74, at 73, reads the objection to metaphysical thinking as directed at forms of inquiry which ‘isolate themselves from any sort of challenge from the empirical sciences’, a reading convergent with the second limb and not relied upon for it.</w:t>
      </w:r>
    </w:p>
  </w:footnote>
  <w:footnote w:id="23">
    <w:p w14:paraId="7157736B" w14:textId="77777777" w:rsidR="0095720F" w:rsidRDefault="00000000">
      <w:pPr>
        <w:pStyle w:val="FootnoteText"/>
      </w:pPr>
      <w:r>
        <w:rPr>
          <w:rStyle w:val="FootnoteReference"/>
        </w:rPr>
        <w:footnoteRef/>
      </w:r>
      <w:r>
        <w:t xml:space="preserve"> PMT II, ch. 5, §IV, in the paragraph which follows the sentence on the divine standpoint quoted above. That the practice inherits two properties of the court, and that the second is the claim over which Apel and Habermas divide, are the chapter’s formulations; the modal determination of ‘no alternative’ belongs to Chapter Three.</w:t>
      </w:r>
    </w:p>
  </w:footnote>
  <w:footnote w:id="24">
    <w:p w14:paraId="42F3B387" w14:textId="77777777" w:rsidR="0095720F" w:rsidRDefault="00000000">
      <w:pPr>
        <w:pStyle w:val="FootnoteText"/>
      </w:pPr>
      <w:r>
        <w:rPr>
          <w:rStyle w:val="FootnoteReference"/>
        </w:rPr>
        <w:footnoteRef/>
      </w:r>
      <w:r>
        <w:t xml:space="preserve"> PMT 10 for the metaphysics capable of enduring after Kant; PMT 11 for the definitive horizon of self-interpretation; PMT 13 for the terminological dispute; PMT 14 for the reconstructive tasks, the enlightening role, Henrich’s second thesis as Habermas quotes it, and the sentence on ethics. The debate is </w:t>
      </w:r>
      <w:proofErr w:type="spellStart"/>
      <w:r>
        <w:t>summarised</w:t>
      </w:r>
      <w:proofErr w:type="spellEnd"/>
      <w:r>
        <w:t xml:space="preserve">, under three heads, by Tilo Wesche, ‘Dieter Henrich’, in </w:t>
      </w:r>
      <w:r>
        <w:rPr>
          <w:i/>
          <w:iCs/>
        </w:rPr>
        <w:t>The Cambridge Habermas Lexicon</w:t>
      </w:r>
      <w:r>
        <w:t>, 567–69. Henrich’s metaphysics is said to begin from the subject’s relation to itself and to return to world-constituting subjectivity ‘as the definitive horizon of self-interpretation’; the terminological quarrel ‘does not lead any further into the matter itself’.</w:t>
      </w:r>
    </w:p>
  </w:footnote>
  <w:footnote w:id="25">
    <w:p w14:paraId="1A3B0BDA" w14:textId="77777777" w:rsidR="0095720F" w:rsidRDefault="00000000">
      <w:pPr>
        <w:pStyle w:val="FootnoteText"/>
      </w:pPr>
      <w:r>
        <w:rPr>
          <w:rStyle w:val="FootnoteReference"/>
        </w:rPr>
        <w:footnoteRef/>
      </w:r>
      <w:r>
        <w:t xml:space="preserve"> Henrich, ‘What is Metaphysics’, 293–94 for the two groups of </w:t>
      </w:r>
      <w:proofErr w:type="gramStart"/>
      <w:r>
        <w:t>enquiry</w:t>
      </w:r>
      <w:proofErr w:type="gramEnd"/>
      <w:r>
        <w:t xml:space="preserve"> and the sentence on thoughts of resolving closure, 295 for the two sentences on fallibility, 299 for the sentence on immediacy. The Tenth Thesis, at 311, holds that ‘the functioning of linguistic communication presupposes a self-relation on the part of the “speaker” — as one of its constitutive pre-conditions, one which is no less fundamental than the subject-predicate form of the proposition’; Habermas quotes it at PMT 23 and answers it with the pragmatic account of a self-relation established performatively (PMT 24). The thoughts of a metaphysics of closure are ‘not elementary thoughts, but thoughts of a resolving closure’ (</w:t>
      </w:r>
      <w:proofErr w:type="spellStart"/>
      <w:r>
        <w:rPr>
          <w:i/>
          <w:iCs/>
        </w:rPr>
        <w:t>Abschluß</w:t>
      </w:r>
      <w:proofErr w:type="spellEnd"/>
      <w:r>
        <w:t>); the justification of metaphysics ‘does not require the claim to possess an infallible theory’; and the theory of communicative action ‘opts — albeit unwillingly — for immediacy’.</w:t>
      </w:r>
    </w:p>
  </w:footnote>
  <w:footnote w:id="26">
    <w:p w14:paraId="66425A72" w14:textId="77777777" w:rsidR="0095720F" w:rsidRDefault="00000000">
      <w:pPr>
        <w:pStyle w:val="FootnoteText"/>
      </w:pPr>
      <w:r>
        <w:rPr>
          <w:rStyle w:val="FootnoteReference"/>
        </w:rPr>
        <w:footnoteRef/>
      </w:r>
      <w:r>
        <w:t xml:space="preserve"> Peter Dews, ‘Modernity, Self-Consciousness and the Scope of Philosophy: Jürgen Habermas and Dieter Henrich in Debate’, in </w:t>
      </w:r>
      <w:r>
        <w:rPr>
          <w:i/>
          <w:iCs/>
        </w:rPr>
        <w:t>The Limits of Disenchantment: Essays on Contemporary European Philosophy</w:t>
      </w:r>
      <w:r>
        <w:t xml:space="preserve"> (London: Verso, 1995), 169–93, at 189 for the finding that Henrich’s conception violates none of the constraints Habermas sets, and at 188 for the observation Dews attributes to Volker Gerhardt, that a critique of answers no longer plausible is equated with a demonstration that the domain of problems is obsolete. The conversion of Henrich’s charge of immediacy into a question addressed to the categorial premise and to C2 is the chapter’s and is not Dews’s.</w:t>
      </w:r>
    </w:p>
  </w:footnote>
  <w:footnote w:id="27">
    <w:p w14:paraId="1A94C6B8" w14:textId="77777777" w:rsidR="0095720F" w:rsidRDefault="00000000">
      <w:pPr>
        <w:pStyle w:val="FootnoteText"/>
      </w:pPr>
      <w:r>
        <w:rPr>
          <w:rStyle w:val="FootnoteReference"/>
        </w:rPr>
        <w:footnoteRef/>
      </w:r>
      <w:r>
        <w:t xml:space="preserve"> TP 22–23, in ‘Some Difficulties in the Attempt to Link Theory and Praxis’, the introduction of 1971 to </w:t>
      </w:r>
      <w:r>
        <w:rPr>
          <w:i/>
          <w:iCs/>
        </w:rPr>
        <w:t>Theory and Practice</w:t>
      </w:r>
      <w:r>
        <w:t xml:space="preserve">, trans. John Viertel (London: Heinemann, 1974), for the sentences quoted; the criterion of distinction, that self-reflection has practical consequences and reconstruction none, stands at 23. The assignment of the two critical tasks to the two forms, their identification as Kantian and Hegelian, and the description of the elenctic as a third form are the chapter’s; the </w:t>
      </w:r>
      <w:proofErr w:type="spellStart"/>
      <w:r>
        <w:t>licence</w:t>
      </w:r>
      <w:proofErr w:type="spellEnd"/>
      <w:r>
        <w:t xml:space="preserve"> for the third is argued at Chapter Three §3.3.1 and nothing about it is claimed here. Self-reflection, by contrast, makes conscious what was unconscious ‘in a manner rich in practical consequences’, which is the criterion of distinction.</w:t>
      </w:r>
    </w:p>
  </w:footnote>
  <w:footnote w:id="28">
    <w:p w14:paraId="58984B9F" w14:textId="77777777" w:rsidR="0095720F" w:rsidRDefault="00000000">
      <w:pPr>
        <w:pStyle w:val="FootnoteText"/>
      </w:pPr>
      <w:r>
        <w:rPr>
          <w:rStyle w:val="FootnoteReference"/>
        </w:rPr>
        <w:footnoteRef/>
      </w:r>
      <w:r>
        <w:t xml:space="preserve"> MCCA 4 for the sentence quoted on the usher, the judge, the stand-in and the interpreter; MCCA 15 for the place held for the reconstructive sciences and for the definition quoted, MCCA 16 for its completion. The essay is ‘Philosophy as Stand-In and Interpreter’ (MCCA 1–20). </w:t>
      </w:r>
      <w:proofErr w:type="spellStart"/>
      <w:r>
        <w:rPr>
          <w:i/>
          <w:iCs/>
        </w:rPr>
        <w:t>Platzhalter</w:t>
      </w:r>
      <w:proofErr w:type="spellEnd"/>
      <w:r>
        <w:t xml:space="preserve"> is Habermas’s own German, supplied in the translated text. The definition opens with the two points of departure: the reconstructive sciences proceed ‘Starting primarily from the intuitive knowledge of competent subjects … and secondarily from systematic knowledge handed down by culture’.</w:t>
      </w:r>
    </w:p>
  </w:footnote>
  <w:footnote w:id="29">
    <w:p w14:paraId="6599F73D" w14:textId="77777777" w:rsidR="0095720F" w:rsidRDefault="00000000">
      <w:pPr>
        <w:pStyle w:val="FootnoteText"/>
      </w:pPr>
      <w:r>
        <w:rPr>
          <w:rStyle w:val="FootnoteReference"/>
        </w:rPr>
        <w:footnoteRef/>
      </w:r>
      <w:r>
        <w:t xml:space="preserve"> MCCA 4, in ‘Philosophy as Stand-In and Interpreter’ (MCCA 1–20); the German terms are </w:t>
      </w:r>
      <w:proofErr w:type="spellStart"/>
      <w:r>
        <w:t>parenthesised</w:t>
      </w:r>
      <w:proofErr w:type="spellEnd"/>
      <w:r>
        <w:t xml:space="preserve"> in the Lenhardt and Nicholsen translation and are not supplied editorially. MCCA 15–16 supplies the definition of the reconstructive sciences and the adverb </w:t>
      </w:r>
      <w:r>
        <w:rPr>
          <w:i/>
          <w:iCs/>
        </w:rPr>
        <w:t>presumably</w:t>
      </w:r>
      <w:r>
        <w:t>, both used at §2.1 above. Two conventions govern the apparatus of this chapter and are stated once: material not enclosed in quotation marks is reported in paraphrase or indirect discourse; and arguments advanced in the body are made in the body’s own name unless attributed, a note recording the authorship of an inference only where a named thinker is the subject of the sentence in which it is made.</w:t>
      </w:r>
    </w:p>
  </w:footnote>
  <w:footnote w:id="30">
    <w:p w14:paraId="5EAECF40" w14:textId="77777777" w:rsidR="0095720F" w:rsidRDefault="00000000">
      <w:pPr>
        <w:pStyle w:val="FootnoteText"/>
      </w:pPr>
      <w:r>
        <w:rPr>
          <w:rStyle w:val="FootnoteReference"/>
        </w:rPr>
        <w:footnoteRef/>
      </w:r>
      <w:r>
        <w:t xml:space="preserve"> PMT 50–51 for the sentences on the affirmative theory of the good life and the lifeworld present only as horizon and background, philosophy being ‘no longer in possession of an affirmative theory of the good life’ and the lifeworld ‘now present only as horizon and background’, philosophy there making use of that knowledge only as a critical agency; PMT 51 for the surrender of the extraordinary status quoted in the body.</w:t>
      </w:r>
    </w:p>
  </w:footnote>
  <w:footnote w:id="31">
    <w:p w14:paraId="7351C042" w14:textId="77777777" w:rsidR="0095720F" w:rsidRDefault="00000000">
      <w:pPr>
        <w:pStyle w:val="FootnoteText"/>
      </w:pPr>
      <w:r>
        <w:rPr>
          <w:rStyle w:val="FootnoteReference"/>
        </w:rPr>
        <w:footnoteRef/>
      </w:r>
      <w:r>
        <w:t xml:space="preserve"> CES 8–9, McCarthy’s translation, the sentence the body quotes (CES 9). Cooke’s rendering of the same sentence, at OPC 29, has ‘observable objects and events’ and ‘those </w:t>
      </w:r>
      <w:proofErr w:type="gramStart"/>
      <w:r>
        <w:t>sciences’</w:t>
      </w:r>
      <w:proofErr w:type="gramEnd"/>
      <w:r>
        <w:t xml:space="preserve">. CES 19 for the interrogative procedure, the data being gathered by ‘a well-thought-out </w:t>
      </w:r>
      <w:proofErr w:type="spellStart"/>
      <w:r>
        <w:t>maeutic</w:t>
      </w:r>
      <w:proofErr w:type="spellEnd"/>
      <w:r>
        <w:t xml:space="preserve"> method of interrogation’ (McCarthy’s spelling, revised to ‘maieutic’ at OPC 40), and CES 15 for data ‘</w:t>
      </w:r>
      <w:proofErr w:type="spellStart"/>
      <w:r>
        <w:t>maeutically</w:t>
      </w:r>
      <w:proofErr w:type="spellEnd"/>
      <w:r>
        <w:t xml:space="preserve"> ascertained’; the maieutic locus of the 1976 essay is these two pages. MCCA 31, in ‘Reconstruction and Interpretation in the Social Sciences’ (MCCA 21–42), for the object of formal-pragmatic analysis; CES 26 for the assumption (= OPC 47). TCA I 38 for the refusal of a transcendental deduction and the sufficiency of a testing procedure; TCA I 2 for the surrendered hopes; TCA I 119 for the relinquished immunity and for the exposure of the theorist’s interpretation; OPSI 70 for the Chomsky discussion and OPSI 10 for the structures to which a true reconstruction answers. At MCCA 31 formal-pragmatic analysis ‘focuses on the general and necessary conditions for the validity of symbolic expressions and achievements’; TCA I 119 records that the theorist’s interpretation is exposed to the same criticism as the utterances he interprets.</w:t>
      </w:r>
    </w:p>
  </w:footnote>
  <w:footnote w:id="32">
    <w:p w14:paraId="2249A767" w14:textId="77777777" w:rsidR="0095720F" w:rsidRDefault="00000000">
      <w:pPr>
        <w:pStyle w:val="FootnoteText"/>
      </w:pPr>
      <w:r>
        <w:rPr>
          <w:rStyle w:val="FootnoteReference"/>
        </w:rPr>
        <w:footnoteRef/>
      </w:r>
      <w:r>
        <w:t xml:space="preserve"> MCCA 32 and 97 for the hypothetical status of rational reconstructions and for the fallibility of the reconstruction as against the practice it reconstructs, both examined at §2.1.2; OPSI 9–10 for the nearest Habermas comes to a </w:t>
      </w:r>
      <w:proofErr w:type="spellStart"/>
      <w:r>
        <w:t>defence</w:t>
      </w:r>
      <w:proofErr w:type="spellEnd"/>
      <w:r>
        <w:t xml:space="preserve"> of the locative thesis in its own right, drawn by contrast with nomological theory: ‘hypothetical reconstructions, if true, correspond not to structures of an objectified reality but to structures of the implicit know-how of competent subjects capable of judgment’ (OPSI 10). The distinction of the two theses, and the naming of the routes declined, are not Habermas’s.</w:t>
      </w:r>
    </w:p>
  </w:footnote>
  <w:footnote w:id="33">
    <w:p w14:paraId="7EA7E4D1" w14:textId="77777777" w:rsidR="0095720F" w:rsidRDefault="00000000">
      <w:pPr>
        <w:pStyle w:val="FootnoteText"/>
      </w:pPr>
      <w:r>
        <w:rPr>
          <w:rStyle w:val="FootnoteReference"/>
        </w:rPr>
        <w:footnoteRef/>
      </w:r>
      <w:r>
        <w:t xml:space="preserve"> CES 12–14, with OPC 32–33 for the same passage in Cooke’s revision of McCarthy’s translation, from which the quoted clause is taken; CES 12 has ‘he’ where OPC 32 has ‘she’. The two levels set out in the body compress a three-termed stratification: Habermas’s ‘</w:t>
      </w:r>
      <w:proofErr w:type="gramStart"/>
      <w:r>
        <w:t>first-level</w:t>
      </w:r>
      <w:proofErr w:type="gramEnd"/>
      <w:r>
        <w:t xml:space="preserve"> know-that’ is the understanding of content (CES 12; OPC 33), and the theorist’s articulation is the ‘</w:t>
      </w:r>
      <w:proofErr w:type="gramStart"/>
      <w:r>
        <w:t>second-level</w:t>
      </w:r>
      <w:proofErr w:type="gramEnd"/>
      <w:r>
        <w:t xml:space="preserve"> know-that’ (CES 13; OPC 33). The maieutic vocabulary stands at CES 15, ‘</w:t>
      </w:r>
      <w:proofErr w:type="spellStart"/>
      <w:r>
        <w:t>maeutically</w:t>
      </w:r>
      <w:proofErr w:type="spellEnd"/>
      <w:r>
        <w:t xml:space="preserve"> ascertained’, and CES 19, in the sentence on the maieutic method of interrogation quoted at §2.1.1.</w:t>
      </w:r>
    </w:p>
  </w:footnote>
  <w:footnote w:id="34">
    <w:p w14:paraId="0A02344B" w14:textId="77777777" w:rsidR="0095720F" w:rsidRDefault="00000000">
      <w:pPr>
        <w:pStyle w:val="FootnoteText"/>
      </w:pPr>
      <w:r>
        <w:rPr>
          <w:rStyle w:val="FootnoteReference"/>
        </w:rPr>
        <w:footnoteRef/>
      </w:r>
      <w:r>
        <w:t xml:space="preserve"> The consequence is drawn here and is the chapter’s own. Where what is sought is a theorist’s account of the presuppositions, and the modal standing he assigns them, there is no access to that account independent of the texts which articulate it; a speaker’s access to the presuppositions in practice is of another kind and is not in question. The texts are not a report upon a commitment held apart from them, since prose is the form in which this object is given to a second-level enquiry, and a theorist who has stated his modal commitments in prose rather than in a formalism has left no evidence of them but the wording. This fixes what may count as an objection to a reading: that a reading places more weight upon a word than its author is likely to have intended does not tell, intention not being the standard; nor does the complaint that a formulation is loose, since what it would have to be tightened to is settled only by producing the tightening. What does tell, and what is invited, is a different reading of the same words together with an account of why it is the better one. The dated series of §2.1.4 observes the </w:t>
      </w:r>
      <w:proofErr w:type="gramStart"/>
      <w:r>
        <w:t>discipline,</w:t>
      </w:r>
      <w:proofErr w:type="gramEnd"/>
      <w:r>
        <w:t xml:space="preserve"> each occurrence being cited with its year and its restrictions.</w:t>
      </w:r>
    </w:p>
  </w:footnote>
  <w:footnote w:id="35">
    <w:p w14:paraId="119CD938" w14:textId="77777777" w:rsidR="0095720F" w:rsidRDefault="00000000">
      <w:pPr>
        <w:pStyle w:val="FootnoteText"/>
      </w:pPr>
      <w:r>
        <w:rPr>
          <w:rStyle w:val="FootnoteReference"/>
        </w:rPr>
        <w:footnoteRef/>
      </w:r>
      <w:r>
        <w:t xml:space="preserve"> Apel, TTP 190, for the sentence in which such a science ‘must ultimately reconstruct its own rule-based competence in the rule-based competence of the “ideal speaker-hearer” (Chomsky)’. SE2 319 for the two-part division of the reconstructive process and for the name Apel gives the postulate, </w:t>
      </w:r>
      <w:proofErr w:type="spellStart"/>
      <w:r>
        <w:rPr>
          <w:i/>
          <w:iCs/>
        </w:rPr>
        <w:t>Selbsteinholung</w:t>
      </w:r>
      <w:proofErr w:type="spellEnd"/>
      <w:r>
        <w:t xml:space="preserve">. SE2 179 for the exemption, quoted in the body; the grammatical subject of Apel’s sentence is his self-accountability postulate taken together with the validity claims and their normative conditions, and the verb is accordingly singular. The </w:t>
      </w:r>
      <w:proofErr w:type="spellStart"/>
      <w:r>
        <w:t>characterisation</w:t>
      </w:r>
      <w:proofErr w:type="spellEnd"/>
      <w:r>
        <w:t xml:space="preserve"> is Apel’s own and is not adjudicated here.</w:t>
      </w:r>
    </w:p>
  </w:footnote>
  <w:footnote w:id="36">
    <w:p w14:paraId="4946071E" w14:textId="77777777" w:rsidR="0095720F" w:rsidRDefault="00000000">
      <w:pPr>
        <w:pStyle w:val="FootnoteText"/>
      </w:pPr>
      <w:r>
        <w:rPr>
          <w:rStyle w:val="FootnoteReference"/>
        </w:rPr>
        <w:footnoteRef/>
      </w:r>
      <w:r>
        <w:t xml:space="preserve"> MCCA 96 for the wording of step (2) in the enumeration; MCCA 97 for its maieutic method and the </w:t>
      </w:r>
      <w:proofErr w:type="spellStart"/>
      <w:r>
        <w:t>substeps</w:t>
      </w:r>
      <w:proofErr w:type="spellEnd"/>
      <w:r>
        <w:t xml:space="preserve"> 2a–2c, labelled as Habermas labels them.</w:t>
      </w:r>
    </w:p>
  </w:footnote>
  <w:footnote w:id="37">
    <w:p w14:paraId="1E8BF892" w14:textId="77777777" w:rsidR="0095720F" w:rsidRDefault="00000000">
      <w:pPr>
        <w:pStyle w:val="FootnoteText"/>
      </w:pPr>
      <w:r>
        <w:rPr>
          <w:rStyle w:val="FootnoteReference"/>
        </w:rPr>
        <w:footnoteRef/>
      </w:r>
      <w:r>
        <w:t xml:space="preserve"> MCCA 96–97, in ‘Discourse Ethics: Notes on a Program of Philosophical Justification’ (MCCA 43–115), the enumeration being examined at Chapter One §1.4.3. The four </w:t>
      </w:r>
      <w:proofErr w:type="spellStart"/>
      <w:r>
        <w:t>characterisations</w:t>
      </w:r>
      <w:proofErr w:type="spellEnd"/>
      <w:r>
        <w:t xml:space="preserve"> quoted here stand at MCCA 97; the German </w:t>
      </w:r>
      <w:proofErr w:type="spellStart"/>
      <w:r>
        <w:rPr>
          <w:i/>
          <w:iCs/>
        </w:rPr>
        <w:t>Gesetzeshypothese</w:t>
      </w:r>
      <w:proofErr w:type="spellEnd"/>
      <w:r>
        <w:t xml:space="preserve"> is supplied outside the quotation. The argument from the checking-procedure, and the concession of the parenthesis ‘(i.e., necessary and general)’, go beyond what the passage states.</w:t>
      </w:r>
    </w:p>
  </w:footnote>
  <w:footnote w:id="38">
    <w:p w14:paraId="7ACBB760" w14:textId="77777777" w:rsidR="0095720F" w:rsidRDefault="00000000">
      <w:pPr>
        <w:pStyle w:val="FootnoteText"/>
      </w:pPr>
      <w:r>
        <w:rPr>
          <w:rStyle w:val="FootnoteReference"/>
        </w:rPr>
        <w:footnoteRef/>
      </w:r>
      <w:r>
        <w:t xml:space="preserve"> CES 21 for the hypothetical proposal and CES 22 for the contingent boundary conditions, in the passage of 1976 which weakens the Kantian apriorism and is quoted for its predicate at §2.1.4. The reading that the contingency Habermas there admits is the one the checking procedure of 1983 cannot exclude is a construal and not a statement of his. The sentence at CES 22 runs: ‘We can no longer exclude the possibility that our concepts of objects of possible experience can be successfully applied only under contingent boundary conditions’.</w:t>
      </w:r>
    </w:p>
  </w:footnote>
  <w:footnote w:id="39">
    <w:p w14:paraId="7446E2DF" w14:textId="77777777" w:rsidR="0095720F" w:rsidRDefault="00000000">
      <w:pPr>
        <w:pStyle w:val="FootnoteText"/>
      </w:pPr>
      <w:r>
        <w:rPr>
          <w:rStyle w:val="FootnoteReference"/>
        </w:rPr>
        <w:footnoteRef/>
      </w:r>
      <w:r>
        <w:t xml:space="preserve"> MCCA 97. The sentence continues: the certainty of practice is said not to extend to the truth of proposed reconstructions ‘for we </w:t>
      </w:r>
      <w:proofErr w:type="gramStart"/>
      <w:r>
        <w:t>have to</w:t>
      </w:r>
      <w:proofErr w:type="gramEnd"/>
      <w:r>
        <w:t xml:space="preserve"> put our reconstructions up for discussion in the same way in which the logician or the linguist … presents his theoretical descriptions’. The German, </w:t>
      </w:r>
      <w:proofErr w:type="spellStart"/>
      <w:r>
        <w:rPr>
          <w:i/>
          <w:iCs/>
        </w:rPr>
        <w:t>Moralbewußtsein</w:t>
      </w:r>
      <w:proofErr w:type="spellEnd"/>
      <w:r>
        <w:rPr>
          <w:i/>
          <w:iCs/>
        </w:rPr>
        <w:t xml:space="preserve"> und </w:t>
      </w:r>
      <w:proofErr w:type="spellStart"/>
      <w:r>
        <w:rPr>
          <w:i/>
          <w:iCs/>
        </w:rPr>
        <w:t>kommunikatives</w:t>
      </w:r>
      <w:proofErr w:type="spellEnd"/>
      <w:r>
        <w:rPr>
          <w:i/>
          <w:iCs/>
        </w:rPr>
        <w:t xml:space="preserve"> </w:t>
      </w:r>
      <w:proofErr w:type="spellStart"/>
      <w:r>
        <w:rPr>
          <w:i/>
          <w:iCs/>
        </w:rPr>
        <w:t>Handeln</w:t>
      </w:r>
      <w:proofErr w:type="spellEnd"/>
      <w:r>
        <w:t xml:space="preserve"> (Frankfurt am Main: </w:t>
      </w:r>
      <w:proofErr w:type="spellStart"/>
      <w:r>
        <w:t>Suhrkamp</w:t>
      </w:r>
      <w:proofErr w:type="spellEnd"/>
      <w:r>
        <w:t xml:space="preserve">, 1983), hereafter </w:t>
      </w:r>
      <w:proofErr w:type="spellStart"/>
      <w:r>
        <w:t>MkH</w:t>
      </w:r>
      <w:proofErr w:type="spellEnd"/>
      <w:r>
        <w:t xml:space="preserve">, carries the concessive and the hedge at </w:t>
      </w:r>
      <w:proofErr w:type="spellStart"/>
      <w:r>
        <w:t>MkH</w:t>
      </w:r>
      <w:proofErr w:type="spellEnd"/>
      <w:r>
        <w:t xml:space="preserve"> 107: ‘</w:t>
      </w:r>
      <w:proofErr w:type="spellStart"/>
      <w:r>
        <w:t>Gewiß</w:t>
      </w:r>
      <w:proofErr w:type="spellEnd"/>
      <w:r>
        <w:t xml:space="preserve">, das intuitive </w:t>
      </w:r>
      <w:proofErr w:type="spellStart"/>
      <w:r>
        <w:t>Regelwissen</w:t>
      </w:r>
      <w:proofErr w:type="spellEnd"/>
      <w:r>
        <w:t xml:space="preserve"> … </w:t>
      </w:r>
      <w:proofErr w:type="spellStart"/>
      <w:r>
        <w:t>ist</w:t>
      </w:r>
      <w:proofErr w:type="spellEnd"/>
      <w:r>
        <w:t xml:space="preserve"> in </w:t>
      </w:r>
      <w:proofErr w:type="spellStart"/>
      <w:r>
        <w:t>gewisser</w:t>
      </w:r>
      <w:proofErr w:type="spellEnd"/>
      <w:r>
        <w:t xml:space="preserve"> Weise nicht </w:t>
      </w:r>
      <w:proofErr w:type="spellStart"/>
      <w:r>
        <w:t>fallibel</w:t>
      </w:r>
      <w:proofErr w:type="spellEnd"/>
      <w:r>
        <w:t xml:space="preserve"> — </w:t>
      </w:r>
      <w:proofErr w:type="spellStart"/>
      <w:r>
        <w:t>wohl</w:t>
      </w:r>
      <w:proofErr w:type="spellEnd"/>
      <w:r>
        <w:t xml:space="preserve"> </w:t>
      </w:r>
      <w:proofErr w:type="spellStart"/>
      <w:r>
        <w:t>aber</w:t>
      </w:r>
      <w:proofErr w:type="spellEnd"/>
      <w:r>
        <w:t xml:space="preserve"> </w:t>
      </w:r>
      <w:proofErr w:type="spellStart"/>
      <w:r>
        <w:t>unsere</w:t>
      </w:r>
      <w:proofErr w:type="spellEnd"/>
      <w:r>
        <w:t xml:space="preserve"> </w:t>
      </w:r>
      <w:proofErr w:type="spellStart"/>
      <w:r>
        <w:t>Rekonstruktion</w:t>
      </w:r>
      <w:proofErr w:type="spellEnd"/>
      <w:r>
        <w:t xml:space="preserve"> dieses </w:t>
      </w:r>
      <w:proofErr w:type="spellStart"/>
      <w:r>
        <w:t>vortheoretischen</w:t>
      </w:r>
      <w:proofErr w:type="spellEnd"/>
      <w:r>
        <w:t xml:space="preserve"> </w:t>
      </w:r>
      <w:proofErr w:type="spellStart"/>
      <w:r>
        <w:t>Wissens</w:t>
      </w:r>
      <w:proofErr w:type="spellEnd"/>
      <w:r>
        <w:t xml:space="preserve"> und der </w:t>
      </w:r>
      <w:proofErr w:type="spellStart"/>
      <w:r>
        <w:t>Universalitätsanspruch</w:t>
      </w:r>
      <w:proofErr w:type="spellEnd"/>
      <w:r>
        <w:t xml:space="preserve">, den </w:t>
      </w:r>
      <w:proofErr w:type="spellStart"/>
      <w:r>
        <w:t>wir</w:t>
      </w:r>
      <w:proofErr w:type="spellEnd"/>
      <w:r>
        <w:t xml:space="preserve"> </w:t>
      </w:r>
      <w:proofErr w:type="spellStart"/>
      <w:r>
        <w:t>damit</w:t>
      </w:r>
      <w:proofErr w:type="spellEnd"/>
      <w:r>
        <w:t xml:space="preserve"> </w:t>
      </w:r>
      <w:proofErr w:type="spellStart"/>
      <w:r>
        <w:t>verbinden</w:t>
      </w:r>
      <w:proofErr w:type="spellEnd"/>
      <w:r>
        <w:t xml:space="preserve">.’ The English participles render </w:t>
      </w:r>
      <w:proofErr w:type="spellStart"/>
      <w:r>
        <w:rPr>
          <w:i/>
          <w:iCs/>
        </w:rPr>
        <w:t>Rekonstruktionsvorschläge</w:t>
      </w:r>
      <w:proofErr w:type="spellEnd"/>
      <w:r>
        <w:t xml:space="preserve"> and </w:t>
      </w:r>
      <w:proofErr w:type="spellStart"/>
      <w:r>
        <w:rPr>
          <w:i/>
          <w:iCs/>
        </w:rPr>
        <w:t>hypothetisch</w:t>
      </w:r>
      <w:proofErr w:type="spellEnd"/>
      <w:r>
        <w:rPr>
          <w:i/>
          <w:iCs/>
        </w:rPr>
        <w:t xml:space="preserve"> </w:t>
      </w:r>
      <w:proofErr w:type="spellStart"/>
      <w:r>
        <w:rPr>
          <w:i/>
          <w:iCs/>
        </w:rPr>
        <w:t>allgemeine</w:t>
      </w:r>
      <w:proofErr w:type="spellEnd"/>
      <w:r>
        <w:t>, and the argument places no weight on them.</w:t>
      </w:r>
    </w:p>
  </w:footnote>
  <w:footnote w:id="40">
    <w:p w14:paraId="5E7A6EBC" w14:textId="77777777" w:rsidR="0095720F" w:rsidRDefault="00000000">
      <w:pPr>
        <w:pStyle w:val="FootnoteText"/>
      </w:pPr>
      <w:r>
        <w:rPr>
          <w:rStyle w:val="FootnoteReference"/>
        </w:rPr>
        <w:footnoteRef/>
      </w:r>
      <w:r>
        <w:t xml:space="preserve"> MCCA 97, the passage quoted above; </w:t>
      </w:r>
      <w:proofErr w:type="spellStart"/>
      <w:r>
        <w:t>MkH</w:t>
      </w:r>
      <w:proofErr w:type="spellEnd"/>
      <w:r>
        <w:t xml:space="preserve"> 107 for the German.</w:t>
      </w:r>
    </w:p>
  </w:footnote>
  <w:footnote w:id="41">
    <w:p w14:paraId="19F70787" w14:textId="77777777" w:rsidR="0095720F" w:rsidRDefault="00000000">
      <w:pPr>
        <w:pStyle w:val="FootnoteText"/>
      </w:pPr>
      <w:r>
        <w:rPr>
          <w:rStyle w:val="FootnoteReference"/>
        </w:rPr>
        <w:footnoteRef/>
      </w:r>
      <w:r>
        <w:t xml:space="preserve"> MCCA 32: ‘There is always the possibility that they rest on a false choice of examples, that they are obscuring and distorting correct intuitions, or, even more frequently, that they are overgeneralizing individual cases.’ The pairing of the failure-modes with the two </w:t>
      </w:r>
      <w:proofErr w:type="spellStart"/>
      <w:r>
        <w:t>substeps</w:t>
      </w:r>
      <w:proofErr w:type="spellEnd"/>
      <w:r>
        <w:t xml:space="preserve"> is not his.</w:t>
      </w:r>
    </w:p>
  </w:footnote>
  <w:footnote w:id="42">
    <w:p w14:paraId="34E888BB" w14:textId="77777777" w:rsidR="0095720F" w:rsidRDefault="00000000">
      <w:pPr>
        <w:pStyle w:val="FootnoteText"/>
      </w:pPr>
      <w:r>
        <w:rPr>
          <w:rStyle w:val="FootnoteReference"/>
        </w:rPr>
        <w:footnoteRef/>
      </w:r>
      <w:r>
        <w:t xml:space="preserve"> MCCA 95, the two sentences displayed in the body, between which stands ‘if one is to argue at all, there are no </w:t>
      </w:r>
      <w:proofErr w:type="gramStart"/>
      <w:r>
        <w:t>substitutes’</w:t>
      </w:r>
      <w:proofErr w:type="gramEnd"/>
      <w:r>
        <w:t>. The claim that neither test discriminates modality is argued here, as is the asymmetry between them in success.</w:t>
      </w:r>
    </w:p>
  </w:footnote>
  <w:footnote w:id="43">
    <w:p w14:paraId="57D23ABC" w14:textId="77777777" w:rsidR="0095720F" w:rsidRDefault="00000000">
      <w:pPr>
        <w:pStyle w:val="FootnoteText"/>
      </w:pPr>
      <w:r>
        <w:rPr>
          <w:rStyle w:val="FootnoteReference"/>
        </w:rPr>
        <w:footnoteRef/>
      </w:r>
      <w:r>
        <w:t xml:space="preserve"> Jørgen Pedersen, ‘Habermas’ Method: Rational Reconstruction’, </w:t>
      </w:r>
      <w:r>
        <w:rPr>
          <w:i/>
          <w:iCs/>
        </w:rPr>
        <w:t>Philosophy of the Social Sciences</w:t>
      </w:r>
      <w:r>
        <w:t xml:space="preserve"> 38/4 (2008), 457–85, reaching the cognate finding that it is unclear how the reconstructive hypothesis is to be tested. On whether Habermas’s arguments are transcendental at all, Michael K. Power, ‘Habermas and Transcendental Arguments: A Reappraisal’, </w:t>
      </w:r>
      <w:r>
        <w:rPr>
          <w:i/>
          <w:iCs/>
        </w:rPr>
        <w:t>Philosophy of the Social Sciences</w:t>
      </w:r>
      <w:r>
        <w:t xml:space="preserve"> 23/1 (1993), 26–49. The nearest anglophone approach is James Gordon Finlayson’s, ‘Modernity and Morality in Habermas’s Discourse Ethics’, </w:t>
      </w:r>
      <w:r>
        <w:rPr>
          <w:i/>
          <w:iCs/>
        </w:rPr>
        <w:t>Inquiry</w:t>
      </w:r>
      <w:r>
        <w:t xml:space="preserve"> 43/3 (2000), 319–40, which presses the justification question at the closest range. The claim of novelty entered in the body is bounded to this literature.</w:t>
      </w:r>
    </w:p>
  </w:footnote>
  <w:footnote w:id="44">
    <w:p w14:paraId="37241F1B" w14:textId="77777777" w:rsidR="0095720F" w:rsidRDefault="00000000">
      <w:pPr>
        <w:pStyle w:val="FootnoteText"/>
      </w:pPr>
      <w:r>
        <w:rPr>
          <w:rStyle w:val="FootnoteReference"/>
        </w:rPr>
        <w:footnoteRef/>
      </w:r>
      <w:r>
        <w:t xml:space="preserve"> OPC 47–48 and 50 for the demarcation of communicative from linguistic competence, and OPC 83–84 for the engagement with Searle by name, where Searle’s ‘essential rules’ and ‘sincerity rule’ are taken over rather than refused. The concession — that an institutional account may be granted in full without disturbing the exclusion — states the consequence in words which are not his.</w:t>
      </w:r>
    </w:p>
  </w:footnote>
  <w:footnote w:id="45">
    <w:p w14:paraId="7FCA1C5B" w14:textId="77777777" w:rsidR="0095720F" w:rsidRDefault="00000000">
      <w:pPr>
        <w:pStyle w:val="FootnoteText"/>
      </w:pPr>
      <w:r>
        <w:rPr>
          <w:rStyle w:val="FootnoteReference"/>
        </w:rPr>
        <w:footnoteRef/>
      </w:r>
      <w:r>
        <w:t xml:space="preserve"> Apel, TTP 196, for all three elements: the standing of the rules of grammar, the competent speaker’s ability to make his rule-following explicit, and Chomsky’s refusal of Ryle’s disjunction, each in the words the body quotes. The reply offered in the body goes beyond his </w:t>
      </w:r>
      <w:proofErr w:type="gramStart"/>
      <w:r>
        <w:t>text, and</w:t>
      </w:r>
      <w:proofErr w:type="gramEnd"/>
      <w:r>
        <w:t xml:space="preserve"> turns upon </w:t>
      </w:r>
      <w:proofErr w:type="spellStart"/>
      <w:r>
        <w:t>acknowledgeability</w:t>
      </w:r>
      <w:proofErr w:type="spellEnd"/>
      <w:r>
        <w:t xml:space="preserve"> rather than upon </w:t>
      </w:r>
      <w:proofErr w:type="spellStart"/>
      <w:r>
        <w:t>statability</w:t>
      </w:r>
      <w:proofErr w:type="spellEnd"/>
      <w:r>
        <w:t>.</w:t>
      </w:r>
    </w:p>
  </w:footnote>
  <w:footnote w:id="46">
    <w:p w14:paraId="07AECF31" w14:textId="77777777" w:rsidR="0095720F" w:rsidRDefault="00000000">
      <w:pPr>
        <w:pStyle w:val="FootnoteText"/>
      </w:pPr>
      <w:r>
        <w:rPr>
          <w:rStyle w:val="FootnoteReference"/>
        </w:rPr>
        <w:footnoteRef/>
      </w:r>
      <w:r>
        <w:t xml:space="preserve"> Richard Rorty, ‘Universality and Truth’, in Robert B. Brandom (ed.), </w:t>
      </w:r>
      <w:proofErr w:type="spellStart"/>
      <w:r>
        <w:rPr>
          <w:i/>
          <w:iCs/>
        </w:rPr>
        <w:t>Rorty</w:t>
      </w:r>
      <w:proofErr w:type="spellEnd"/>
      <w:r>
        <w:rPr>
          <w:i/>
          <w:iCs/>
        </w:rPr>
        <w:t xml:space="preserve"> and His Critics</w:t>
      </w:r>
      <w:r>
        <w:t xml:space="preserve"> (Oxford: Blackwell, 2000), 1–30, for the position </w:t>
      </w:r>
      <w:proofErr w:type="spellStart"/>
      <w:r>
        <w:t>summarised</w:t>
      </w:r>
      <w:proofErr w:type="spellEnd"/>
      <w:r>
        <w:t xml:space="preserve">. The methodological form of the objection is the reception’s rather than any one </w:t>
      </w:r>
      <w:proofErr w:type="gramStart"/>
      <w:r>
        <w:t>critic’s</w:t>
      </w:r>
      <w:proofErr w:type="gramEnd"/>
      <w:r>
        <w:t>.</w:t>
      </w:r>
    </w:p>
  </w:footnote>
  <w:footnote w:id="47">
    <w:p w14:paraId="584F2F24" w14:textId="77777777" w:rsidR="0095720F" w:rsidRDefault="00000000">
      <w:pPr>
        <w:pStyle w:val="FootnoteText"/>
      </w:pPr>
      <w:r>
        <w:rPr>
          <w:rStyle w:val="FootnoteReference"/>
        </w:rPr>
        <w:footnoteRef/>
      </w:r>
      <w:r>
        <w:t xml:space="preserve"> JA 83 (1991) and PSC 646 (2020) for the first two </w:t>
      </w:r>
      <w:proofErr w:type="spellStart"/>
      <w:r>
        <w:t>governings</w:t>
      </w:r>
      <w:proofErr w:type="spellEnd"/>
      <w:r>
        <w:t>, both quoted below; the third, the epistemic standing of the theorist’s specification, is drawn from MCCA 32 and MCCA 97. The threefold division is drawn here; the restrictions it records are Habermas’s.</w:t>
      </w:r>
    </w:p>
  </w:footnote>
  <w:footnote w:id="48">
    <w:p w14:paraId="70D05596" w14:textId="77777777" w:rsidR="0095720F" w:rsidRDefault="00000000">
      <w:pPr>
        <w:pStyle w:val="FootnoteText"/>
      </w:pPr>
      <w:r>
        <w:rPr>
          <w:rStyle w:val="FootnoteReference"/>
        </w:rPr>
        <w:footnoteRef/>
      </w:r>
      <w:r>
        <w:t xml:space="preserve"> CES 21–22 for the weakened predicate, the sentence straddling the page break; CES 23 for the ‘two reasons for hesitating’; CES 25 for the conclusion, that the expression is ‘unsuited to characterizing, without misunderstanding, a line of research such as universal </w:t>
      </w:r>
      <w:proofErr w:type="gramStart"/>
      <w:r>
        <w:t>pragmatics’</w:t>
      </w:r>
      <w:proofErr w:type="gramEnd"/>
      <w:r>
        <w:t>. TCA I 310 for ‘allowance for weak transcendental connotations’, and OPC 145 for the same sentence in Cooke’s rendering, ‘despite the weak transcendental connotations’, so that the concessive force is not stable across the translations. TCA I 137–38 for the lost confidence and for plausibility in place of conclusive redemption.</w:t>
      </w:r>
    </w:p>
  </w:footnote>
  <w:footnote w:id="49">
    <w:p w14:paraId="03704FB6" w14:textId="77777777" w:rsidR="0095720F" w:rsidRDefault="00000000">
      <w:pPr>
        <w:pStyle w:val="FootnoteText"/>
      </w:pPr>
      <w:r>
        <w:rPr>
          <w:rStyle w:val="FootnoteReference"/>
        </w:rPr>
        <w:footnoteRef/>
      </w:r>
      <w:r>
        <w:t xml:space="preserve"> MCCA 96 for the </w:t>
      </w:r>
      <w:proofErr w:type="spellStart"/>
      <w:r>
        <w:t>characterisation</w:t>
      </w:r>
      <w:proofErr w:type="spellEnd"/>
      <w:r>
        <w:t xml:space="preserve"> quoted in the body, in the sentence reporting </w:t>
      </w:r>
      <w:proofErr w:type="spellStart"/>
      <w:r>
        <w:t>Schönrich’s</w:t>
      </w:r>
      <w:proofErr w:type="spellEnd"/>
      <w:r>
        <w:t xml:space="preserve"> warning. OPC 233, in the essay of 1988. JA 81 (= </w:t>
      </w:r>
      <w:proofErr w:type="spellStart"/>
      <w:r>
        <w:t>EzD</w:t>
      </w:r>
      <w:proofErr w:type="spellEnd"/>
      <w:r>
        <w:t xml:space="preserve"> 191, ‘</w:t>
      </w:r>
      <w:proofErr w:type="spellStart"/>
      <w:r>
        <w:t>einer</w:t>
      </w:r>
      <w:proofErr w:type="spellEnd"/>
      <w:r>
        <w:t xml:space="preserve"> </w:t>
      </w:r>
      <w:proofErr w:type="spellStart"/>
      <w:r>
        <w:t>schwachen</w:t>
      </w:r>
      <w:proofErr w:type="spellEnd"/>
      <w:r>
        <w:t xml:space="preserve"> </w:t>
      </w:r>
      <w:proofErr w:type="spellStart"/>
      <w:r>
        <w:t>transzendentalen</w:t>
      </w:r>
      <w:proofErr w:type="spellEnd"/>
      <w:r>
        <w:t xml:space="preserve"> </w:t>
      </w:r>
      <w:proofErr w:type="spellStart"/>
      <w:r>
        <w:t>Nötigung</w:t>
      </w:r>
      <w:proofErr w:type="spellEnd"/>
      <w:r>
        <w:t xml:space="preserve">’) for the ‘must’ that is not the prescriptive ‘must’ of a rule of action; the German has </w:t>
      </w:r>
      <w:proofErr w:type="spellStart"/>
      <w:r>
        <w:rPr>
          <w:i/>
          <w:iCs/>
        </w:rPr>
        <w:t>Nötigung</w:t>
      </w:r>
      <w:proofErr w:type="spellEnd"/>
      <w:r>
        <w:t xml:space="preserve">, necessitation, and not </w:t>
      </w:r>
      <w:proofErr w:type="spellStart"/>
      <w:r>
        <w:rPr>
          <w:i/>
          <w:iCs/>
        </w:rPr>
        <w:t>Notwendigkeit</w:t>
      </w:r>
      <w:proofErr w:type="spellEnd"/>
      <w:r>
        <w:t xml:space="preserve">. BFN 4 for the same distinction in Rehg’s rendering, where </w:t>
      </w:r>
      <w:proofErr w:type="spellStart"/>
      <w:r>
        <w:rPr>
          <w:i/>
          <w:iCs/>
        </w:rPr>
        <w:t>Nötigung</w:t>
      </w:r>
      <w:proofErr w:type="spellEnd"/>
      <w:r>
        <w:t xml:space="preserve"> is ‘necessity’, in the phrases Chapter Four §4.2.3 displays, with its three-part tail.</w:t>
      </w:r>
    </w:p>
  </w:footnote>
  <w:footnote w:id="50">
    <w:p w14:paraId="06AEA21B" w14:textId="77777777" w:rsidR="0095720F" w:rsidRDefault="00000000">
      <w:pPr>
        <w:pStyle w:val="FootnoteText"/>
      </w:pPr>
      <w:r>
        <w:rPr>
          <w:rStyle w:val="FootnoteReference"/>
        </w:rPr>
        <w:footnoteRef/>
      </w:r>
      <w:r>
        <w:t xml:space="preserve"> JA 83 for the absent equivalent to Kant’s transcendental deduction, for the weak transcendental arguments in Strawson’s sense and what they can establish only, in the words the body quotes, and for the functional-equivalent sentence (</w:t>
      </w:r>
      <w:proofErr w:type="spellStart"/>
      <w:r>
        <w:t>EzD</w:t>
      </w:r>
      <w:proofErr w:type="spellEnd"/>
      <w:r>
        <w:t xml:space="preserve"> 194). Cronin’s ‘factual inescapability’ renders </w:t>
      </w:r>
      <w:proofErr w:type="spellStart"/>
      <w:r>
        <w:rPr>
          <w:i/>
          <w:iCs/>
        </w:rPr>
        <w:t>faktische</w:t>
      </w:r>
      <w:proofErr w:type="spellEnd"/>
      <w:r>
        <w:rPr>
          <w:i/>
          <w:iCs/>
        </w:rPr>
        <w:t xml:space="preserve"> </w:t>
      </w:r>
      <w:proofErr w:type="spellStart"/>
      <w:r>
        <w:rPr>
          <w:i/>
          <w:iCs/>
        </w:rPr>
        <w:t>Nichtverwerfbarkeit</w:t>
      </w:r>
      <w:proofErr w:type="spellEnd"/>
      <w:r>
        <w:t xml:space="preserve"> at </w:t>
      </w:r>
      <w:proofErr w:type="spellStart"/>
      <w:r>
        <w:t>EzD</w:t>
      </w:r>
      <w:proofErr w:type="spellEnd"/>
      <w:r>
        <w:t xml:space="preserve"> 194. Habermas’s note at that point, JA 182 n. 73, is to Marcel Niquet, </w:t>
      </w:r>
      <w:proofErr w:type="spellStart"/>
      <w:r>
        <w:rPr>
          <w:i/>
          <w:iCs/>
        </w:rPr>
        <w:t>Transzendentale</w:t>
      </w:r>
      <w:proofErr w:type="spellEnd"/>
      <w:r>
        <w:rPr>
          <w:i/>
          <w:iCs/>
        </w:rPr>
        <w:t xml:space="preserve"> </w:t>
      </w:r>
      <w:proofErr w:type="spellStart"/>
      <w:r>
        <w:rPr>
          <w:i/>
          <w:iCs/>
        </w:rPr>
        <w:t>Argumente</w:t>
      </w:r>
      <w:proofErr w:type="spellEnd"/>
      <w:r>
        <w:t xml:space="preserve"> (Frankfurt, 1991), and not to Strawson. JA 84 carries the </w:t>
      </w:r>
      <w:proofErr w:type="gramStart"/>
      <w:r>
        <w:t>counter-instance</w:t>
      </w:r>
      <w:proofErr w:type="gramEnd"/>
      <w:r>
        <w:t xml:space="preserve"> quoted below.</w:t>
      </w:r>
    </w:p>
  </w:footnote>
  <w:footnote w:id="51">
    <w:p w14:paraId="748DA6FE" w14:textId="77777777" w:rsidR="0095720F" w:rsidRDefault="00000000">
      <w:pPr>
        <w:pStyle w:val="FootnoteText"/>
      </w:pPr>
      <w:r>
        <w:rPr>
          <w:rStyle w:val="FootnoteReference"/>
        </w:rPr>
        <w:footnoteRef/>
      </w:r>
      <w:r>
        <w:t xml:space="preserve"> WuR 26 for the sentence on the change in the concept of the transcendental, ‘</w:t>
      </w:r>
      <w:proofErr w:type="spellStart"/>
      <w:r>
        <w:t>verändert</w:t>
      </w:r>
      <w:proofErr w:type="spellEnd"/>
      <w:r>
        <w:t xml:space="preserve"> </w:t>
      </w:r>
      <w:proofErr w:type="spellStart"/>
      <w:r>
        <w:t>sich</w:t>
      </w:r>
      <w:proofErr w:type="spellEnd"/>
      <w:r>
        <w:t xml:space="preserve"> der </w:t>
      </w:r>
      <w:proofErr w:type="spellStart"/>
      <w:r>
        <w:t>Begriff</w:t>
      </w:r>
      <w:proofErr w:type="spellEnd"/>
      <w:r>
        <w:t xml:space="preserve"> des </w:t>
      </w:r>
      <w:proofErr w:type="spellStart"/>
      <w:r>
        <w:t>Transzendentalen</w:t>
      </w:r>
      <w:proofErr w:type="spellEnd"/>
      <w:r>
        <w:t xml:space="preserve"> </w:t>
      </w:r>
      <w:proofErr w:type="spellStart"/>
      <w:r>
        <w:t>selber</w:t>
      </w:r>
      <w:proofErr w:type="spellEnd"/>
      <w:r>
        <w:t>’, the profane lifeworld having taken the transmundane place of the noumenal, the renderings given here. WuR 52 for the bar upon the inference: ‘</w:t>
      </w:r>
      <w:proofErr w:type="spellStart"/>
      <w:r>
        <w:t>darf</w:t>
      </w:r>
      <w:proofErr w:type="spellEnd"/>
      <w:r>
        <w:t xml:space="preserve"> </w:t>
      </w:r>
      <w:proofErr w:type="spellStart"/>
      <w:r>
        <w:t>freilich</w:t>
      </w:r>
      <w:proofErr w:type="spellEnd"/>
      <w:r>
        <w:t xml:space="preserve"> </w:t>
      </w:r>
      <w:proofErr w:type="spellStart"/>
      <w:r>
        <w:t>dieser</w:t>
      </w:r>
      <w:proofErr w:type="spellEnd"/>
      <w:r>
        <w:t xml:space="preserve"> </w:t>
      </w:r>
      <w:proofErr w:type="spellStart"/>
      <w:r>
        <w:t>epistemisch</w:t>
      </w:r>
      <w:proofErr w:type="spellEnd"/>
      <w:r>
        <w:t xml:space="preserve"> </w:t>
      </w:r>
      <w:proofErr w:type="spellStart"/>
      <w:r>
        <w:t>unhintergehbare</w:t>
      </w:r>
      <w:proofErr w:type="spellEnd"/>
      <w:r>
        <w:t xml:space="preserve"> </w:t>
      </w:r>
      <w:proofErr w:type="spellStart"/>
      <w:r>
        <w:t>Zusammenhang</w:t>
      </w:r>
      <w:proofErr w:type="spellEnd"/>
      <w:r>
        <w:t xml:space="preserve"> nicht — </w:t>
      </w:r>
      <w:proofErr w:type="spellStart"/>
      <w:r>
        <w:t>im</w:t>
      </w:r>
      <w:proofErr w:type="spellEnd"/>
      <w:r>
        <w:t xml:space="preserve"> Sinne </w:t>
      </w:r>
      <w:proofErr w:type="spellStart"/>
      <w:r>
        <w:t>eines</w:t>
      </w:r>
      <w:proofErr w:type="spellEnd"/>
      <w:r>
        <w:t xml:space="preserve"> </w:t>
      </w:r>
      <w:proofErr w:type="spellStart"/>
      <w:r>
        <w:t>epistemischen</w:t>
      </w:r>
      <w:proofErr w:type="spellEnd"/>
      <w:r>
        <w:t xml:space="preserve"> </w:t>
      </w:r>
      <w:proofErr w:type="spellStart"/>
      <w:r>
        <w:t>Wahrheitsbegriffs</w:t>
      </w:r>
      <w:proofErr w:type="spellEnd"/>
      <w:r>
        <w:t xml:space="preserve"> — </w:t>
      </w:r>
      <w:proofErr w:type="spellStart"/>
      <w:r>
        <w:t>zu</w:t>
      </w:r>
      <w:proofErr w:type="spellEnd"/>
      <w:r>
        <w:t xml:space="preserve"> </w:t>
      </w:r>
      <w:proofErr w:type="spellStart"/>
      <w:r>
        <w:t>einem</w:t>
      </w:r>
      <w:proofErr w:type="spellEnd"/>
      <w:r>
        <w:t xml:space="preserve"> </w:t>
      </w:r>
      <w:proofErr w:type="spellStart"/>
      <w:r>
        <w:t>konzeptuell</w:t>
      </w:r>
      <w:proofErr w:type="spellEnd"/>
      <w:r>
        <w:t xml:space="preserve"> </w:t>
      </w:r>
      <w:proofErr w:type="spellStart"/>
      <w:r>
        <w:t>unauflöslichen</w:t>
      </w:r>
      <w:proofErr w:type="spellEnd"/>
      <w:r>
        <w:t xml:space="preserve"> </w:t>
      </w:r>
      <w:proofErr w:type="spellStart"/>
      <w:r>
        <w:t>Zusammenhang</w:t>
      </w:r>
      <w:proofErr w:type="spellEnd"/>
      <w:r>
        <w:t xml:space="preserve"> </w:t>
      </w:r>
      <w:proofErr w:type="spellStart"/>
      <w:r>
        <w:t>stilisiert</w:t>
      </w:r>
      <w:proofErr w:type="spellEnd"/>
      <w:r>
        <w:t xml:space="preserve"> </w:t>
      </w:r>
      <w:proofErr w:type="spellStart"/>
      <w:r>
        <w:t>werden</w:t>
      </w:r>
      <w:proofErr w:type="spellEnd"/>
      <w:r>
        <w:t xml:space="preserve">’. </w:t>
      </w:r>
      <w:proofErr w:type="spellStart"/>
      <w:r>
        <w:rPr>
          <w:i/>
          <w:iCs/>
        </w:rPr>
        <w:t>Postmetaphysical</w:t>
      </w:r>
      <w:proofErr w:type="spellEnd"/>
      <w:r>
        <w:rPr>
          <w:i/>
          <w:iCs/>
        </w:rPr>
        <w:t xml:space="preserve"> Thinking II</w:t>
      </w:r>
      <w:r>
        <w:t>, ch. 9, §III ‘</w:t>
      </w:r>
      <w:proofErr w:type="spellStart"/>
      <w:r>
        <w:t>Postmetaphysical</w:t>
      </w:r>
      <w:proofErr w:type="spellEnd"/>
      <w:r>
        <w:t xml:space="preserve">, Not Freestanding’ (first printed in J. G. Finlayson and F. </w:t>
      </w:r>
      <w:proofErr w:type="spellStart"/>
      <w:r>
        <w:t>Freyenhagen</w:t>
      </w:r>
      <w:proofErr w:type="spellEnd"/>
      <w:r>
        <w:t xml:space="preserve"> (eds), </w:t>
      </w:r>
      <w:r>
        <w:rPr>
          <w:i/>
          <w:iCs/>
        </w:rPr>
        <w:t>Habermas and Rawls: Disputing the Political</w:t>
      </w:r>
      <w:r>
        <w:t xml:space="preserve"> (New York: Routledge, 2011), 283–304), for the concession; its n. 22 puts ‘unavoidable’ in Habermas’s own scare quotes. PSC 646 for the weaker sense.</w:t>
      </w:r>
    </w:p>
  </w:footnote>
  <w:footnote w:id="52">
    <w:p w14:paraId="794C5F86" w14:textId="77777777" w:rsidR="0095720F" w:rsidRDefault="00000000">
      <w:pPr>
        <w:pStyle w:val="FootnoteText"/>
      </w:pPr>
      <w:r>
        <w:rPr>
          <w:rStyle w:val="FootnoteReference"/>
        </w:rPr>
        <w:footnoteRef/>
      </w:r>
      <w:r>
        <w:t xml:space="preserve"> JA 84. The sentence which follows makes the deduction conditional, in the words the body </w:t>
      </w:r>
      <w:proofErr w:type="gramStart"/>
      <w:r>
        <w:t>quotes:</w:t>
      </w:r>
      <w:proofErr w:type="gramEnd"/>
      <w:r>
        <w:t xml:space="preserve"> were the principle so deducible, it would be shown to be unquestionable as such and questionable only in some </w:t>
      </w:r>
      <w:proofErr w:type="gramStart"/>
      <w:r>
        <w:t>particular interpretation</w:t>
      </w:r>
      <w:proofErr w:type="gramEnd"/>
      <w:r>
        <w:t>. JA 83 for the Strawson passage.</w:t>
      </w:r>
    </w:p>
  </w:footnote>
  <w:footnote w:id="53">
    <w:p w14:paraId="01F97E43" w14:textId="77777777" w:rsidR="0095720F" w:rsidRDefault="00000000">
      <w:pPr>
        <w:pStyle w:val="FootnoteText"/>
      </w:pPr>
      <w:r>
        <w:rPr>
          <w:rStyle w:val="FootnoteReference"/>
        </w:rPr>
        <w:footnoteRef/>
      </w:r>
      <w:r>
        <w:t xml:space="preserve"> MCCA 32, quoted in the body (the genitive governs ‘presuppositions’ and not ‘cast aside’); MCCA 86, quoted at Chapter One §1.4.3, for the field of argumentation; MCCA 83, for arguments called transcendental only where they deal with discourses or competences so general that no functional equivalent can replace them; MCCA 130: ‘no one has the option of escaping to alternatives. The absence of alternatives means that those conditions are, in fact, inescapable </w:t>
      </w:r>
      <w:r>
        <w:rPr>
          <w:i/>
          <w:iCs/>
        </w:rPr>
        <w:t>for us</w:t>
      </w:r>
      <w:r>
        <w:t xml:space="preserve">’, the argument being made there ‘from the reflective point of view, not from the empiricist attitude of an objectivating observer’; TJ 220, in the exposition of Putnam upon bivalence, where the inclusive ‘we’ is indexed to concrete communities; JA 83–84, the sentence running over the page break, with the proviso already at </w:t>
      </w:r>
      <w:proofErr w:type="spellStart"/>
      <w:r>
        <w:t>EzD</w:t>
      </w:r>
      <w:proofErr w:type="spellEnd"/>
      <w:r>
        <w:t xml:space="preserve"> 194 (‘</w:t>
      </w:r>
      <w:proofErr w:type="spellStart"/>
      <w:r>
        <w:t>unter</w:t>
      </w:r>
      <w:proofErr w:type="spellEnd"/>
      <w:r>
        <w:t xml:space="preserve"> dem </w:t>
      </w:r>
      <w:proofErr w:type="spellStart"/>
      <w:r>
        <w:t>Vorbehalt</w:t>
      </w:r>
      <w:proofErr w:type="spellEnd"/>
      <w:r>
        <w:t xml:space="preserve"> der Konstanz </w:t>
      </w:r>
      <w:proofErr w:type="spellStart"/>
      <w:r>
        <w:t>dieser</w:t>
      </w:r>
      <w:proofErr w:type="spellEnd"/>
      <w:r>
        <w:t xml:space="preserve"> </w:t>
      </w:r>
      <w:proofErr w:type="spellStart"/>
      <w:r>
        <w:t>Lebensform</w:t>
      </w:r>
      <w:proofErr w:type="spellEnd"/>
      <w:r>
        <w:t>’); BFN 310, which defines an unavoidable practice as one fulfilling functions vital to human life and replaceable by no other. The enumeration is not his; each restriction is. The possibility of alteration is set aside at JA 84 as one that ‘remains an empty possibility’; the temporal restriction is given of Putnam upon bivalence and is transferred here to the presuppositions of argumentation.</w:t>
      </w:r>
    </w:p>
  </w:footnote>
  <w:footnote w:id="54">
    <w:p w14:paraId="5B6D7714" w14:textId="77777777" w:rsidR="0095720F" w:rsidRDefault="00000000">
      <w:pPr>
        <w:pStyle w:val="FootnoteText"/>
      </w:pPr>
      <w:r>
        <w:rPr>
          <w:rStyle w:val="FootnoteReference"/>
        </w:rPr>
        <w:footnoteRef/>
      </w:r>
      <w:r>
        <w:t xml:space="preserve"> BNR 27 for the formula, and for the ‘must’ declared </w:t>
      </w:r>
      <w:proofErr w:type="spellStart"/>
      <w:r>
        <w:t>Wittgensteinian</w:t>
      </w:r>
      <w:proofErr w:type="spellEnd"/>
      <w:r>
        <w:t xml:space="preserve"> rather than Kantian on the same page. WuR 51 for the candidate </w:t>
      </w:r>
      <w:proofErr w:type="gramStart"/>
      <w:r>
        <w:t>counter-instance</w:t>
      </w:r>
      <w:proofErr w:type="gramEnd"/>
      <w:r>
        <w:t xml:space="preserve">: ‘Die </w:t>
      </w:r>
      <w:proofErr w:type="spellStart"/>
      <w:r>
        <w:t>normativ</w:t>
      </w:r>
      <w:proofErr w:type="spellEnd"/>
      <w:r>
        <w:t xml:space="preserve"> </w:t>
      </w:r>
      <w:proofErr w:type="spellStart"/>
      <w:r>
        <w:t>anspruchsvollen</w:t>
      </w:r>
      <w:proofErr w:type="spellEnd"/>
      <w:r>
        <w:t xml:space="preserve"> und nicht </w:t>
      </w:r>
      <w:proofErr w:type="spellStart"/>
      <w:r>
        <w:t>hintergehbaren</w:t>
      </w:r>
      <w:proofErr w:type="spellEnd"/>
      <w:r>
        <w:t xml:space="preserve"> </w:t>
      </w:r>
      <w:proofErr w:type="spellStart"/>
      <w:r>
        <w:t>Kommunikationsvoraussetzungen</w:t>
      </w:r>
      <w:proofErr w:type="spellEnd"/>
      <w:r>
        <w:t xml:space="preserve"> der </w:t>
      </w:r>
      <w:proofErr w:type="spellStart"/>
      <w:r>
        <w:t>Argumentationspraxis</w:t>
      </w:r>
      <w:proofErr w:type="spellEnd"/>
      <w:r>
        <w:t xml:space="preserve"> </w:t>
      </w:r>
      <w:proofErr w:type="spellStart"/>
      <w:r>
        <w:t>haben</w:t>
      </w:r>
      <w:proofErr w:type="spellEnd"/>
      <w:r>
        <w:t xml:space="preserve"> </w:t>
      </w:r>
      <w:proofErr w:type="spellStart"/>
      <w:r>
        <w:t>nach</w:t>
      </w:r>
      <w:proofErr w:type="spellEnd"/>
      <w:r>
        <w:t xml:space="preserve"> </w:t>
      </w:r>
      <w:proofErr w:type="spellStart"/>
      <w:r>
        <w:t>wie</w:t>
      </w:r>
      <w:proofErr w:type="spellEnd"/>
      <w:r>
        <w:t xml:space="preserve"> </w:t>
      </w:r>
      <w:proofErr w:type="spellStart"/>
      <w:r>
        <w:t>vor</w:t>
      </w:r>
      <w:proofErr w:type="spellEnd"/>
      <w:r>
        <w:t xml:space="preserve"> den Sinn </w:t>
      </w:r>
      <w:proofErr w:type="spellStart"/>
      <w:r>
        <w:t>einer</w:t>
      </w:r>
      <w:proofErr w:type="spellEnd"/>
      <w:r>
        <w:t xml:space="preserve"> </w:t>
      </w:r>
      <w:proofErr w:type="spellStart"/>
      <w:r>
        <w:t>strukturellen</w:t>
      </w:r>
      <w:proofErr w:type="spellEnd"/>
      <w:r>
        <w:t xml:space="preserve"> </w:t>
      </w:r>
      <w:proofErr w:type="spellStart"/>
      <w:r>
        <w:t>Nötigung</w:t>
      </w:r>
      <w:proofErr w:type="spellEnd"/>
      <w:r>
        <w:t xml:space="preserve"> </w:t>
      </w:r>
      <w:proofErr w:type="spellStart"/>
      <w:r>
        <w:t>zu</w:t>
      </w:r>
      <w:proofErr w:type="spellEnd"/>
      <w:r>
        <w:t xml:space="preserve"> </w:t>
      </w:r>
      <w:proofErr w:type="spellStart"/>
      <w:r>
        <w:t>unparteilicher</w:t>
      </w:r>
      <w:proofErr w:type="spellEnd"/>
      <w:r>
        <w:t xml:space="preserve"> </w:t>
      </w:r>
      <w:proofErr w:type="spellStart"/>
      <w:r>
        <w:t>Urteilsbildung</w:t>
      </w:r>
      <w:proofErr w:type="spellEnd"/>
      <w:r>
        <w:t>’; the translation offered in the body, and the reservation itself, are given here; what the reservation records are Habermas’s own restrictions. The second candidate stands in 2019, in the sentence Chapter Three §3.2.4 displays, where the word is predicated of the presuppositions a practice of enquiry must make and where, by the same sentence, they are accessible only in a reconstruction. The genitive of the first candidate indexes the presuppositions to a practice, which is the first of the five restrictions, and what those presuppositions yield in the same volume remains a reconstruction; what the sentence omits is the remainder of the indexing, and what it does not supply is the unrestricted sense.</w:t>
      </w:r>
    </w:p>
  </w:footnote>
  <w:footnote w:id="55">
    <w:p w14:paraId="117E1097" w14:textId="77777777" w:rsidR="0095720F" w:rsidRDefault="00000000">
      <w:pPr>
        <w:pStyle w:val="FootnoteText"/>
      </w:pPr>
      <w:r>
        <w:rPr>
          <w:rStyle w:val="FootnoteReference"/>
        </w:rPr>
        <w:footnoteRef/>
      </w:r>
      <w:r>
        <w:t xml:space="preserve"> MCCA 203 (‘Morality and Ethical Life’, MCCA 195–215) for ‘the quasi-transcendental necessity with which subjects involved in communicative interaction orient themselves to validity claims’, a sentence which continues ‘is reflected only in their being constrained to speak and act under idealized conditions’; </w:t>
      </w:r>
      <w:proofErr w:type="spellStart"/>
      <w:r>
        <w:t>EzD</w:t>
      </w:r>
      <w:proofErr w:type="spellEnd"/>
      <w:r>
        <w:t xml:space="preserve"> 20 for the German it renders: ‘Eine </w:t>
      </w:r>
      <w:proofErr w:type="spellStart"/>
      <w:r>
        <w:t>gleichsam</w:t>
      </w:r>
      <w:proofErr w:type="spellEnd"/>
      <w:r>
        <w:t xml:space="preserve"> </w:t>
      </w:r>
      <w:proofErr w:type="spellStart"/>
      <w:r>
        <w:t>transzendentale</w:t>
      </w:r>
      <w:proofErr w:type="spellEnd"/>
      <w:r>
        <w:t xml:space="preserve"> </w:t>
      </w:r>
      <w:proofErr w:type="spellStart"/>
      <w:r>
        <w:t>Nötigung</w:t>
      </w:r>
      <w:proofErr w:type="spellEnd"/>
      <w:r>
        <w:t xml:space="preserve"> … </w:t>
      </w:r>
      <w:proofErr w:type="spellStart"/>
      <w:r>
        <w:t>macht</w:t>
      </w:r>
      <w:proofErr w:type="spellEnd"/>
      <w:r>
        <w:t xml:space="preserve"> </w:t>
      </w:r>
      <w:proofErr w:type="spellStart"/>
      <w:r>
        <w:t>sich</w:t>
      </w:r>
      <w:proofErr w:type="spellEnd"/>
      <w:r>
        <w:t xml:space="preserve"> </w:t>
      </w:r>
      <w:proofErr w:type="spellStart"/>
      <w:r>
        <w:t>nur</w:t>
      </w:r>
      <w:proofErr w:type="spellEnd"/>
      <w:r>
        <w:t xml:space="preserve"> in dem Zwang </w:t>
      </w:r>
      <w:proofErr w:type="spellStart"/>
      <w:r>
        <w:t>bemerkbar</w:t>
      </w:r>
      <w:proofErr w:type="spellEnd"/>
      <w:r>
        <w:t xml:space="preserve">, </w:t>
      </w:r>
      <w:proofErr w:type="spellStart"/>
      <w:r>
        <w:t>unter</w:t>
      </w:r>
      <w:proofErr w:type="spellEnd"/>
      <w:r>
        <w:t xml:space="preserve"> </w:t>
      </w:r>
      <w:proofErr w:type="spellStart"/>
      <w:r>
        <w:t>idealisierenden</w:t>
      </w:r>
      <w:proofErr w:type="spellEnd"/>
      <w:r>
        <w:t xml:space="preserve"> </w:t>
      </w:r>
      <w:proofErr w:type="spellStart"/>
      <w:r>
        <w:t>Voraussetzungen</w:t>
      </w:r>
      <w:proofErr w:type="spellEnd"/>
      <w:r>
        <w:t xml:space="preserve"> </w:t>
      </w:r>
      <w:proofErr w:type="spellStart"/>
      <w:r>
        <w:t>zu</w:t>
      </w:r>
      <w:proofErr w:type="spellEnd"/>
      <w:r>
        <w:t xml:space="preserve"> </w:t>
      </w:r>
      <w:proofErr w:type="spellStart"/>
      <w:r>
        <w:t>sprechen</w:t>
      </w:r>
      <w:proofErr w:type="spellEnd"/>
      <w:r>
        <w:t xml:space="preserve"> und </w:t>
      </w:r>
      <w:proofErr w:type="spellStart"/>
      <w:r>
        <w:t>zu</w:t>
      </w:r>
      <w:proofErr w:type="spellEnd"/>
      <w:r>
        <w:t xml:space="preserve"> </w:t>
      </w:r>
      <w:proofErr w:type="spellStart"/>
      <w:r>
        <w:t>handeln</w:t>
      </w:r>
      <w:proofErr w:type="spellEnd"/>
      <w:r>
        <w:t xml:space="preserve">.’ BNR 58 for Davidson’s principle; PSC 635 and 636 for Peirce’s enabling conditions and approach. The absence from </w:t>
      </w:r>
      <w:r>
        <w:rPr>
          <w:i/>
          <w:iCs/>
        </w:rPr>
        <w:t>Between Facts and Norms</w:t>
      </w:r>
      <w:r>
        <w:t xml:space="preserve"> is recorded in the body; at JA xv the word is Cronin’s and at LC xxii McCarthy’s. Peirce’s approach is said to derive its ‘quasi-transcendental character’ from those conditions; where the word stands next to a modality, at MCCA 203, </w:t>
      </w:r>
      <w:proofErr w:type="spellStart"/>
      <w:r>
        <w:rPr>
          <w:i/>
          <w:iCs/>
        </w:rPr>
        <w:t>gleichsam</w:t>
      </w:r>
      <w:proofErr w:type="spellEnd"/>
      <w:r>
        <w:t xml:space="preserve"> hedges the predicate </w:t>
      </w:r>
      <w:proofErr w:type="spellStart"/>
      <w:r>
        <w:rPr>
          <w:i/>
          <w:iCs/>
        </w:rPr>
        <w:t>transzendental</w:t>
      </w:r>
      <w:proofErr w:type="spellEnd"/>
      <w:r>
        <w:t xml:space="preserve"> and leaves the </w:t>
      </w:r>
      <w:proofErr w:type="spellStart"/>
      <w:r>
        <w:rPr>
          <w:i/>
          <w:iCs/>
        </w:rPr>
        <w:t>Nötigung</w:t>
      </w:r>
      <w:proofErr w:type="spellEnd"/>
      <w:r>
        <w:t xml:space="preserve"> ungraded.</w:t>
      </w:r>
    </w:p>
  </w:footnote>
  <w:footnote w:id="56">
    <w:p w14:paraId="2C4F1E90" w14:textId="77777777" w:rsidR="0095720F" w:rsidRDefault="00000000">
      <w:pPr>
        <w:pStyle w:val="FootnoteText"/>
      </w:pPr>
      <w:r>
        <w:rPr>
          <w:rStyle w:val="FootnoteReference"/>
        </w:rPr>
        <w:footnoteRef/>
      </w:r>
      <w:r>
        <w:t xml:space="preserve"> Apel’s approving uses stand at TTP 88 (quoted at Chapter Three §3.2.4) and FTSPV 106, ‘the quasi-transcendental function of our preunderstanding of the lifeworld’; the pejorative use at FTSPV 95, in ‘Can an Ultimate Foundation of Knowledge Be Non-Metaphysical?’ (FTSPV 81–102; first published in </w:t>
      </w:r>
      <w:r>
        <w:rPr>
          <w:i/>
          <w:iCs/>
        </w:rPr>
        <w:t>Journal of Speculative Philosophy</w:t>
      </w:r>
      <w:r>
        <w:t xml:space="preserve"> 7/3 (1993), 171–90, trans. Benjamin Gregg), at 185 of the journal printing. The pejorative use names a philosophy ‘quasi-transcendental, yet one free of transcendental reflection’.</w:t>
      </w:r>
    </w:p>
  </w:footnote>
  <w:footnote w:id="57">
    <w:p w14:paraId="72544C82" w14:textId="77777777" w:rsidR="0095720F" w:rsidRDefault="00000000">
      <w:pPr>
        <w:pStyle w:val="FootnoteText"/>
      </w:pPr>
      <w:r>
        <w:rPr>
          <w:rStyle w:val="FootnoteReference"/>
        </w:rPr>
        <w:footnoteRef/>
      </w:r>
      <w:r>
        <w:t xml:space="preserve"> MCCA 95, where Habermas displays the passage; his own note 77 (MCCA 114) refers it to Wolfgang Kuhlmann’s essay of 1981, ‘</w:t>
      </w:r>
      <w:proofErr w:type="spellStart"/>
      <w:r>
        <w:t>Ist</w:t>
      </w:r>
      <w:proofErr w:type="spellEnd"/>
      <w:r>
        <w:t xml:space="preserve"> </w:t>
      </w:r>
      <w:proofErr w:type="spellStart"/>
      <w:r>
        <w:t>eine</w:t>
      </w:r>
      <w:proofErr w:type="spellEnd"/>
      <w:r>
        <w:t xml:space="preserve"> </w:t>
      </w:r>
      <w:proofErr w:type="spellStart"/>
      <w:r>
        <w:t>philosophische</w:t>
      </w:r>
      <w:proofErr w:type="spellEnd"/>
      <w:r>
        <w:t xml:space="preserve"> </w:t>
      </w:r>
      <w:proofErr w:type="spellStart"/>
      <w:r>
        <w:t>Letztbegründung</w:t>
      </w:r>
      <w:proofErr w:type="spellEnd"/>
      <w:r>
        <w:t xml:space="preserve"> von Normen </w:t>
      </w:r>
      <w:proofErr w:type="spellStart"/>
      <w:r>
        <w:t>möglich</w:t>
      </w:r>
      <w:proofErr w:type="spellEnd"/>
      <w:r>
        <w:t xml:space="preserve">?’, in </w:t>
      </w:r>
      <w:proofErr w:type="spellStart"/>
      <w:r>
        <w:rPr>
          <w:i/>
          <w:iCs/>
        </w:rPr>
        <w:t>Funkkolleg</w:t>
      </w:r>
      <w:proofErr w:type="spellEnd"/>
      <w:r>
        <w:rPr>
          <w:i/>
          <w:iCs/>
        </w:rPr>
        <w:t xml:space="preserve"> </w:t>
      </w:r>
      <w:proofErr w:type="spellStart"/>
      <w:r>
        <w:rPr>
          <w:i/>
          <w:iCs/>
        </w:rPr>
        <w:t>Ethik</w:t>
      </w:r>
      <w:proofErr w:type="spellEnd"/>
      <w:r>
        <w:t xml:space="preserve">, </w:t>
      </w:r>
      <w:proofErr w:type="spellStart"/>
      <w:r>
        <w:t>Studienbegleitbrief</w:t>
      </w:r>
      <w:proofErr w:type="spellEnd"/>
      <w:r>
        <w:t xml:space="preserve"> 8 (Weinheim, 1981), 57. The position is developed at length in Kuhlmann’s </w:t>
      </w:r>
      <w:r>
        <w:rPr>
          <w:i/>
          <w:iCs/>
        </w:rPr>
        <w:t xml:space="preserve">Reflexive </w:t>
      </w:r>
      <w:proofErr w:type="spellStart"/>
      <w:r>
        <w:rPr>
          <w:i/>
          <w:iCs/>
        </w:rPr>
        <w:t>Letztbegründung</w:t>
      </w:r>
      <w:proofErr w:type="spellEnd"/>
      <w:r>
        <w:rPr>
          <w:i/>
          <w:iCs/>
        </w:rPr>
        <w:t xml:space="preserve">: </w:t>
      </w:r>
      <w:proofErr w:type="spellStart"/>
      <w:r>
        <w:rPr>
          <w:i/>
          <w:iCs/>
        </w:rPr>
        <w:t>Untersuchungen</w:t>
      </w:r>
      <w:proofErr w:type="spellEnd"/>
      <w:r>
        <w:rPr>
          <w:i/>
          <w:iCs/>
        </w:rPr>
        <w:t xml:space="preserve"> </w:t>
      </w:r>
      <w:proofErr w:type="spellStart"/>
      <w:r>
        <w:rPr>
          <w:i/>
          <w:iCs/>
        </w:rPr>
        <w:t>zur</w:t>
      </w:r>
      <w:proofErr w:type="spellEnd"/>
      <w:r>
        <w:rPr>
          <w:i/>
          <w:iCs/>
        </w:rPr>
        <w:t xml:space="preserve"> </w:t>
      </w:r>
      <w:proofErr w:type="spellStart"/>
      <w:r>
        <w:rPr>
          <w:i/>
          <w:iCs/>
        </w:rPr>
        <w:t>Transzendentalpragmatik</w:t>
      </w:r>
      <w:proofErr w:type="spellEnd"/>
      <w:r>
        <w:t xml:space="preserve"> (Freiburg and Munich: Karl Alber, 1985).</w:t>
      </w:r>
    </w:p>
  </w:footnote>
  <w:footnote w:id="58">
    <w:p w14:paraId="2707FB08" w14:textId="77777777" w:rsidR="0095720F" w:rsidRDefault="00000000">
      <w:pPr>
        <w:pStyle w:val="FootnoteText"/>
      </w:pPr>
      <w:r>
        <w:rPr>
          <w:rStyle w:val="FootnoteReference"/>
        </w:rPr>
        <w:footnoteRef/>
      </w:r>
      <w:r>
        <w:t xml:space="preserve"> CES 8–9, ‘A Remark on the Procedure of Rational Reconstruction’, for the methodological attitude and for the distinction between empirical-analytic and reconstructive sciences, in the sentence §2.1.1 displays; MCCA 31, for the object, in the sentence §2.1.1 also displays: formal-pragmatic analysis concerns rational reconstructions of the know-how of subjects capable of speech and action, credited with the ability to produce valid utterances and with an at least intuitive capacity to tell valid from invalid expressions; and MCCA 97, for the grade: the clause requiring that reconstructions be put up for discussion as the logician or the linguist presents his theoretical descriptions closes the passage displayed at §2.1.2, and stands at 97 and not at 31. The argument drawn from the three, in both directions, is constructed here and is not stated by Habermas.</w:t>
      </w:r>
    </w:p>
  </w:footnote>
  <w:footnote w:id="59">
    <w:p w14:paraId="783639A5" w14:textId="77777777" w:rsidR="0095720F" w:rsidRDefault="00000000">
      <w:pPr>
        <w:pStyle w:val="FootnoteText"/>
      </w:pPr>
      <w:r>
        <w:rPr>
          <w:rStyle w:val="FootnoteReference"/>
        </w:rPr>
        <w:footnoteRef/>
      </w:r>
      <w:r>
        <w:t xml:space="preserve"> MCCA 15–16: Piaget and Chomsky are named at 15 among the seminal theories inserting a philosophical idea into a research context; the reconstructive-science </w:t>
      </w:r>
      <w:proofErr w:type="spellStart"/>
      <w:r>
        <w:t>characterisation</w:t>
      </w:r>
      <w:proofErr w:type="spellEnd"/>
      <w:r>
        <w:t xml:space="preserve"> stands at 16. The corroboration thesis stands at MCCA 32 (‘For these reasons, they require further corroboration’; ‘indirect verification by using them as inputs in empirical theories’) and at MCCA 98, where the corroboration-not-foundation thesis is stated (‘If we cease striving for the foundationalism of traditional transcendental philosophy, we acquire new corroborative possibilities’; ‘made susceptible to indirect corroboration’).</w:t>
      </w:r>
    </w:p>
  </w:footnote>
  <w:footnote w:id="60">
    <w:p w14:paraId="534E63AE" w14:textId="77777777" w:rsidR="0095720F" w:rsidRDefault="00000000">
      <w:pPr>
        <w:pStyle w:val="FootnoteText"/>
      </w:pPr>
      <w:r>
        <w:rPr>
          <w:rStyle w:val="FootnoteReference"/>
        </w:rPr>
        <w:footnoteRef/>
      </w:r>
      <w:r>
        <w:t xml:space="preserve"> The first charge descends from the critique of presence and of the self-transparency of the sign, and is reconstructed at §2.3.2, where ‘Signature Event Context’ is taken at the point at which it bears upon the parasitism thesis Chapter One §1.3.1 bounds. The second is Foucault’s, in the analyses of disciplinary subject-formation (</w:t>
      </w:r>
      <w:proofErr w:type="spellStart"/>
      <w:r>
        <w:rPr>
          <w:i/>
          <w:iCs/>
        </w:rPr>
        <w:t>Surveiller</w:t>
      </w:r>
      <w:proofErr w:type="spellEnd"/>
      <w:r>
        <w:rPr>
          <w:i/>
          <w:iCs/>
        </w:rPr>
        <w:t xml:space="preserve"> et </w:t>
      </w:r>
      <w:proofErr w:type="spellStart"/>
      <w:r>
        <w:rPr>
          <w:i/>
          <w:iCs/>
        </w:rPr>
        <w:t>punir</w:t>
      </w:r>
      <w:proofErr w:type="spellEnd"/>
      <w:r>
        <w:t>, 1975) and of the bio-political administration of populations (</w:t>
      </w:r>
      <w:r>
        <w:rPr>
          <w:i/>
          <w:iCs/>
        </w:rPr>
        <w:t xml:space="preserve">La </w:t>
      </w:r>
      <w:proofErr w:type="spellStart"/>
      <w:r>
        <w:rPr>
          <w:i/>
          <w:iCs/>
        </w:rPr>
        <w:t>volonté</w:t>
      </w:r>
      <w:proofErr w:type="spellEnd"/>
      <w:r>
        <w:rPr>
          <w:i/>
          <w:iCs/>
        </w:rPr>
        <w:t xml:space="preserve"> de savoir</w:t>
      </w:r>
      <w:r>
        <w:t>, 1976); it is met through Habermas’s own reply to the genealogical objection, at the loci given at n. 60. No single proponent of the weak form is answered, since the reply meets the form and not an author.</w:t>
      </w:r>
    </w:p>
  </w:footnote>
  <w:footnote w:id="61">
    <w:p w14:paraId="0152E3E7" w14:textId="77777777" w:rsidR="0095720F" w:rsidRDefault="00000000">
      <w:pPr>
        <w:pStyle w:val="FootnoteText"/>
      </w:pPr>
      <w:r>
        <w:rPr>
          <w:rStyle w:val="FootnoteReference"/>
        </w:rPr>
        <w:footnoteRef/>
      </w:r>
      <w:r>
        <w:t xml:space="preserve"> Habermas, </w:t>
      </w:r>
      <w:proofErr w:type="gramStart"/>
      <w:r>
        <w:rPr>
          <w:i/>
          <w:iCs/>
        </w:rPr>
        <w:t>Also</w:t>
      </w:r>
      <w:proofErr w:type="gramEnd"/>
      <w:r>
        <w:rPr>
          <w:i/>
          <w:iCs/>
        </w:rPr>
        <w:t xml:space="preserve"> a History of Philosophy</w:t>
      </w:r>
      <w:r>
        <w:t xml:space="preserve">, vol. 1: </w:t>
      </w:r>
      <w:r>
        <w:rPr>
          <w:i/>
          <w:iCs/>
        </w:rPr>
        <w:t xml:space="preserve">The Project of a Genealogy of </w:t>
      </w:r>
      <w:proofErr w:type="spellStart"/>
      <w:r>
        <w:rPr>
          <w:i/>
          <w:iCs/>
        </w:rPr>
        <w:t>Postmetaphysical</w:t>
      </w:r>
      <w:proofErr w:type="spellEnd"/>
      <w:r>
        <w:rPr>
          <w:i/>
          <w:iCs/>
        </w:rPr>
        <w:t xml:space="preserve"> Thinking</w:t>
      </w:r>
      <w:r>
        <w:t xml:space="preserve">, trans. Ciaran Cronin (Cambridge: Polity, 2023), 36 (=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 69, quoted at n. 105); all three limbs stand in one paragraph and are reported in paraphrase but for the clause displayed. The objection is Habermas’s own, entered against his own </w:t>
      </w:r>
      <w:proofErr w:type="spellStart"/>
      <w:r>
        <w:t>programme</w:t>
      </w:r>
      <w:proofErr w:type="spellEnd"/>
      <w:r>
        <w:t>; that it is also the form the criterion-objection takes in the deficit’s derivation at §2.2 is an observation made here.</w:t>
      </w:r>
    </w:p>
  </w:footnote>
  <w:footnote w:id="62">
    <w:p w14:paraId="63FDD8A7" w14:textId="77777777" w:rsidR="0095720F" w:rsidRDefault="00000000">
      <w:pPr>
        <w:pStyle w:val="FootnoteText"/>
      </w:pPr>
      <w:r>
        <w:rPr>
          <w:rStyle w:val="FootnoteReference"/>
        </w:rPr>
        <w:footnoteRef/>
      </w:r>
      <w:r>
        <w:t xml:space="preserve"> Derrida, ‘Signature Event Context’, in </w:t>
      </w:r>
      <w:r>
        <w:rPr>
          <w:i/>
          <w:iCs/>
        </w:rPr>
        <w:t>Margins of Philosophy</w:t>
      </w:r>
      <w:r>
        <w:t xml:space="preserve">, trans. Alan Bass (Chicago: University of Chicago Press, 1982), 307–30, the Austin section at 321–27; its target is expressly Austin’s </w:t>
      </w:r>
      <w:r>
        <w:rPr>
          <w:i/>
          <w:iCs/>
        </w:rPr>
        <w:t>How to Do Things with Words</w:t>
      </w:r>
      <w:r>
        <w:t>. The argument is reported here in indirect discourse and quoted at §2.3.2. The parasitism bound stated at Chapter One §1.3.1 — that the argument convicts the deceiver and does not legislate for the history of language — is the formulation on which that treatment turns.</w:t>
      </w:r>
    </w:p>
  </w:footnote>
  <w:footnote w:id="63">
    <w:p w14:paraId="1C6D604E" w14:textId="77777777" w:rsidR="0095720F" w:rsidRDefault="00000000">
      <w:pPr>
        <w:pStyle w:val="FootnoteText"/>
      </w:pPr>
      <w:r>
        <w:rPr>
          <w:rStyle w:val="FootnoteReference"/>
        </w:rPr>
        <w:footnoteRef/>
      </w:r>
      <w:r>
        <w:t xml:space="preserve"> TCA I 116, for the displayed clause and for the two-stage denial which follows it; TCA I 106–07 and 115 for the lead-in. Reported in paraphrase apart from the clause displayed. The thesis stands in Habermas’s methodological discussion of interpretive social science, where its subject is the interpretation of an action and not the reconstruction of a competence. The claim that it reaches the second by way of the first — the reconstructive datum being available only under a rational interpretation — is the premise entered in the body, and it is a premise of the reading offered there.</w:t>
      </w:r>
    </w:p>
  </w:footnote>
  <w:footnote w:id="64">
    <w:p w14:paraId="2B1442EA" w14:textId="77777777" w:rsidR="0095720F" w:rsidRDefault="00000000">
      <w:pPr>
        <w:pStyle w:val="FootnoteText"/>
      </w:pPr>
      <w:r>
        <w:rPr>
          <w:rStyle w:val="FootnoteReference"/>
        </w:rPr>
        <w:footnoteRef/>
      </w:r>
      <w:r>
        <w:t xml:space="preserve"> MCCA 96–97, where the search for performative contradictions is a guide within a maieutic procedure and not a justification of the moral principle. What the passage supplies — hypothetical elements, the status of an assumption, and a requirement of checking against individual cases — is set out at §2.1.2. The claim that maieutic confirmation is not sovereign has a further statement in Habermas’s own hand: hermeneutic self-reflection illuminates the experiences a subject undergoes in exercising his communicative competence and cannot explain that competence itself (</w:t>
      </w:r>
      <w:r>
        <w:rPr>
          <w:i/>
          <w:iCs/>
        </w:rPr>
        <w:t>On the Logic of the Social Sciences</w:t>
      </w:r>
      <w:r>
        <w:t xml:space="preserve">, trans. </w:t>
      </w:r>
      <w:proofErr w:type="spellStart"/>
      <w:r>
        <w:t>Shierry</w:t>
      </w:r>
      <w:proofErr w:type="spellEnd"/>
      <w:r>
        <w:t xml:space="preserve"> Weber Nicholsen and Jerry A. Stark (Cambridge, MA: MIT Press, 1988), where the critique of hermeneutics is conducted). A further objection to the same procedure is entered from the side of power, and the reply to it is not a move Habermas makes. The competence/performance distinction, it runs, licenses the theorist to dismiss any empirical disagreement as performance error, so that agreement counts as confirmation while disagreement is diagnosed as incompetence. The objection would be decisive if the dismissal were discretionary, and it is not: maieutic confirmation is tied to the exhibition of performative self-contradiction, which supplies a falsifiability of a second kind. The corrigibility Habermas concedes attaches to the articulation and is redeemed empirically, which is what the objection exploits, since an empirical falsifier can be deflected by redescribing the recalcitrant speaker; the elenctic condition cannot be so deflected, since where a speaker rejects a reconstructed rule the burden falls upon the theorist to demonstrate that the speaker relies upon that rule in formulating the rejection, and where the demonstration cannot be made the hypothesis is not saved by a diagnosis of incompetence but refuted in the generality it claimed, and narrows to the cases in which the demonstration can be made. The check upon the theory is thus not the theorist’s charity but the structure of the speech act, which does not admit of arbitrary imposition. The falsifiability of a second kind, and the burden it places upon the theorist, are not drawn from Habermas.</w:t>
      </w:r>
    </w:p>
  </w:footnote>
  <w:footnote w:id="65">
    <w:p w14:paraId="4357D5C9" w14:textId="77777777" w:rsidR="0095720F" w:rsidRDefault="00000000">
      <w:pPr>
        <w:pStyle w:val="FootnoteText"/>
      </w:pPr>
      <w:r>
        <w:rPr>
          <w:rStyle w:val="FootnoteReference"/>
        </w:rPr>
        <w:footnoteRef/>
      </w:r>
      <w:r>
        <w:t xml:space="preserve"> FTSPV 175–76. The first limb, the distinction of validity claims and testing methods between philosophy and the critical-reconstructive social sciences, stands at 175; the second, the incoherence of empirical testing, in the sentence quoted, and the third, the ‘rhetorical appeals to modesty’ which rest, on Apel’s view, ‘on an ideological confusion of methodological and sociological or psychological </w:t>
      </w:r>
      <w:proofErr w:type="gramStart"/>
      <w:r>
        <w:t>categories’</w:t>
      </w:r>
      <w:proofErr w:type="gramEnd"/>
      <w:r>
        <w:t xml:space="preserve">. The construal of the second limb given in the body — that what is denied is certification and not description — is entered here and is not Apel’s formulation. What Apel calls ideological is the appeals to modesty; their identification with the stand-in and interpreter contrast is made </w:t>
      </w:r>
      <w:proofErr w:type="gramStart"/>
      <w:r>
        <w:t>here, and</w:t>
      </w:r>
      <w:proofErr w:type="gramEnd"/>
      <w:r>
        <w:t xml:space="preserve"> is neither endorsed nor adjudicated as his.</w:t>
      </w:r>
    </w:p>
  </w:footnote>
  <w:footnote w:id="66">
    <w:p w14:paraId="1BB16480" w14:textId="77777777" w:rsidR="0095720F" w:rsidRDefault="00000000">
      <w:pPr>
        <w:pStyle w:val="FootnoteText"/>
      </w:pPr>
      <w:r>
        <w:rPr>
          <w:rStyle w:val="FootnoteReference"/>
        </w:rPr>
        <w:footnoteRef/>
      </w:r>
      <w:r>
        <w:t xml:space="preserve"> MCCA 32 and 98 for the corroboration thesis (n. 58). The differentiated reply is not drawn from Habermas: the second limb conceded under a restriction, the first met by the two registers though not by the letter of the </w:t>
      </w:r>
      <w:proofErr w:type="spellStart"/>
      <w:r>
        <w:t>programme</w:t>
      </w:r>
      <w:proofErr w:type="spellEnd"/>
      <w:r>
        <w:t xml:space="preserve">, the third taken at its methodological face. The claim that the two offices are separated by finality against </w:t>
      </w:r>
      <w:proofErr w:type="spellStart"/>
      <w:r>
        <w:t>provisionality</w:t>
      </w:r>
      <w:proofErr w:type="spellEnd"/>
      <w:r>
        <w:t>, and not by manner, is argued at §2.1 above.</w:t>
      </w:r>
    </w:p>
  </w:footnote>
  <w:footnote w:id="67">
    <w:p w14:paraId="7F694C3A" w14:textId="77777777" w:rsidR="0095720F" w:rsidRDefault="00000000">
      <w:pPr>
        <w:pStyle w:val="FootnoteText"/>
      </w:pPr>
      <w:r>
        <w:rPr>
          <w:rStyle w:val="FootnoteReference"/>
        </w:rPr>
        <w:footnoteRef/>
      </w:r>
      <w:r>
        <w:t xml:space="preserve"> MCCA 32, the enumeration quoted at §2.1.2, where the third failure-mode is marked ‘even more frequently’. The ranking is Habermas’s; its exploitation, that the commonest failure is of scope and not of content, is drawn here.</w:t>
      </w:r>
    </w:p>
  </w:footnote>
  <w:footnote w:id="68">
    <w:p w14:paraId="059E4316" w14:textId="77777777" w:rsidR="0095720F" w:rsidRDefault="00000000">
      <w:pPr>
        <w:pStyle w:val="FootnoteText"/>
      </w:pPr>
      <w:r>
        <w:rPr>
          <w:rStyle w:val="FootnoteReference"/>
        </w:rPr>
        <w:footnoteRef/>
      </w:r>
      <w:r>
        <w:t xml:space="preserve"> BFN 129, the clause on transcendental purity quoted and the remainder reported in indirect discourse. The singular definite article is Habermas’s, and the models named are two hundred years of European constitutional law. The two readings drawn from the passage in the body are proposed readings.</w:t>
      </w:r>
    </w:p>
  </w:footnote>
  <w:footnote w:id="69">
    <w:p w14:paraId="238059C4" w14:textId="77777777" w:rsidR="0095720F" w:rsidRDefault="00000000">
      <w:pPr>
        <w:pStyle w:val="FootnoteText"/>
      </w:pPr>
      <w:r>
        <w:rPr>
          <w:rStyle w:val="FootnoteReference"/>
        </w:rPr>
        <w:footnoteRef/>
      </w:r>
      <w:r>
        <w:t xml:space="preserve"> Hans Albert, </w:t>
      </w:r>
      <w:proofErr w:type="spellStart"/>
      <w:r>
        <w:rPr>
          <w:i/>
          <w:iCs/>
        </w:rPr>
        <w:t>Traktat</w:t>
      </w:r>
      <w:proofErr w:type="spellEnd"/>
      <w:r>
        <w:rPr>
          <w:i/>
          <w:iCs/>
        </w:rPr>
        <w:t xml:space="preserve"> </w:t>
      </w:r>
      <w:proofErr w:type="spellStart"/>
      <w:r>
        <w:rPr>
          <w:i/>
          <w:iCs/>
        </w:rPr>
        <w:t>über</w:t>
      </w:r>
      <w:proofErr w:type="spellEnd"/>
      <w:r>
        <w:rPr>
          <w:i/>
          <w:iCs/>
        </w:rPr>
        <w:t xml:space="preserve"> </w:t>
      </w:r>
      <w:proofErr w:type="spellStart"/>
      <w:r>
        <w:rPr>
          <w:i/>
          <w:iCs/>
        </w:rPr>
        <w:t>kritische</w:t>
      </w:r>
      <w:proofErr w:type="spellEnd"/>
      <w:r>
        <w:rPr>
          <w:i/>
          <w:iCs/>
        </w:rPr>
        <w:t xml:space="preserve"> Vernunft</w:t>
      </w:r>
      <w:r>
        <w:t xml:space="preserve">, 5th </w:t>
      </w:r>
      <w:proofErr w:type="spellStart"/>
      <w:r>
        <w:t>edn</w:t>
      </w:r>
      <w:proofErr w:type="spellEnd"/>
      <w:r>
        <w:t xml:space="preserve"> (Tübingen: J. C. B. Mohr [Paul Siebeck], 1991; first published 1968), ch. 1, for the global fallibilism of critical rationalism. The position is </w:t>
      </w:r>
      <w:proofErr w:type="spellStart"/>
      <w:r>
        <w:t>characterised</w:t>
      </w:r>
      <w:proofErr w:type="spellEnd"/>
      <w:r>
        <w:t xml:space="preserve"> in the form the dispute has settled into and no wording of his is relied upon.</w:t>
      </w:r>
    </w:p>
  </w:footnote>
  <w:footnote w:id="70">
    <w:p w14:paraId="0E008594" w14:textId="77777777" w:rsidR="0095720F" w:rsidRDefault="00000000">
      <w:pPr>
        <w:pStyle w:val="FootnoteText"/>
      </w:pPr>
      <w:r>
        <w:rPr>
          <w:rStyle w:val="FootnoteReference"/>
        </w:rPr>
        <w:footnoteRef/>
      </w:r>
      <w:r>
        <w:t xml:space="preserve"> JA 51; the inner quotation marks around the first phrase quoted in the body are the source’s own, and the custodian who arrogates the examination of norms on behalf of all others is quoted from the same discussion. Habermas’s own remedy is reported in paraphrase, as is his distinction between advocatory or </w:t>
      </w:r>
      <w:r>
        <w:rPr>
          <w:i/>
          <w:iCs/>
        </w:rPr>
        <w:t xml:space="preserve">in </w:t>
      </w:r>
      <w:proofErr w:type="spellStart"/>
      <w:r>
        <w:rPr>
          <w:i/>
          <w:iCs/>
        </w:rPr>
        <w:t>mente</w:t>
      </w:r>
      <w:proofErr w:type="spellEnd"/>
      <w:r>
        <w:t xml:space="preserve"> discourse and the monological examination of maxims.</w:t>
      </w:r>
    </w:p>
  </w:footnote>
  <w:footnote w:id="71">
    <w:p w14:paraId="45113C48" w14:textId="77777777" w:rsidR="0095720F" w:rsidRDefault="00000000">
      <w:pPr>
        <w:pStyle w:val="FootnoteText"/>
      </w:pPr>
      <w:r>
        <w:rPr>
          <w:rStyle w:val="FootnoteReference"/>
        </w:rPr>
        <w:footnoteRef/>
      </w:r>
      <w:r>
        <w:t xml:space="preserve"> Apel, ‘The Hermeneutic Dimension of Social Science and its Normative Foundation’, </w:t>
      </w:r>
      <w:r>
        <w:rPr>
          <w:i/>
          <w:iCs/>
        </w:rPr>
        <w:t>Man and World</w:t>
      </w:r>
      <w:r>
        <w:t xml:space="preserve"> 25 (1992), 247–70, at 253 — the essay cited from SE2 at C2 — for the parenthesis reported in the body. Paraphrased. The reply entered against it is not drawn from the literature. The claim that the refusal is confined to the conditions of argumentation, and not extended to Kant’s constitutive </w:t>
      </w:r>
      <w:r>
        <w:rPr>
          <w:i/>
          <w:iCs/>
        </w:rPr>
        <w:t>a priori</w:t>
      </w:r>
      <w:r>
        <w:t>, is Apel’s own position in ‘Can an Ultimate Foundation of Knowledge Be Non-Metaphysical?’, cited at §2.1.4, at 186–87 of the journal printing, where the constitutive conditions are exposed to ‘a fallibilistic relativization’.</w:t>
      </w:r>
    </w:p>
  </w:footnote>
  <w:footnote w:id="72">
    <w:p w14:paraId="414274DE" w14:textId="77777777" w:rsidR="0095720F" w:rsidRDefault="00000000">
      <w:pPr>
        <w:pStyle w:val="FootnoteText"/>
      </w:pPr>
      <w:r>
        <w:rPr>
          <w:rStyle w:val="FootnoteReference"/>
        </w:rPr>
        <w:footnoteRef/>
      </w:r>
      <w:r>
        <w:t xml:space="preserve"> MCCA 32, the </w:t>
      </w:r>
      <w:proofErr w:type="spellStart"/>
      <w:r>
        <w:t>characterisation</w:t>
      </w:r>
      <w:proofErr w:type="spellEnd"/>
      <w:r>
        <w:t xml:space="preserve"> displayed here, and the first limb of the indexing argument conducted at §2.1.4. The triad is a compression of the </w:t>
      </w:r>
      <w:proofErr w:type="spellStart"/>
      <w:r>
        <w:t>detranscendentalisation</w:t>
      </w:r>
      <w:proofErr w:type="spellEnd"/>
      <w:r>
        <w:t xml:space="preserve"> </w:t>
      </w:r>
      <w:proofErr w:type="spellStart"/>
      <w:r>
        <w:t>programme</w:t>
      </w:r>
      <w:proofErr w:type="spellEnd"/>
      <w:r>
        <w:t>; the page carries the weak transcendental argument and not the triad.</w:t>
      </w:r>
    </w:p>
  </w:footnote>
  <w:footnote w:id="73">
    <w:p w14:paraId="2D8A32E7" w14:textId="77777777" w:rsidR="0095720F" w:rsidRDefault="00000000">
      <w:pPr>
        <w:pStyle w:val="FootnoteText"/>
      </w:pPr>
      <w:r>
        <w:rPr>
          <w:rStyle w:val="FootnoteReference"/>
        </w:rPr>
        <w:footnoteRef/>
      </w:r>
      <w:r>
        <w:t xml:space="preserve"> TTP 32 for the impossibility of a private language and for the rule-following formulation. Apel, </w:t>
      </w:r>
      <w:r>
        <w:rPr>
          <w:i/>
          <w:iCs/>
        </w:rPr>
        <w:t xml:space="preserve">Analytic Philosophy of Language and the </w:t>
      </w:r>
      <w:proofErr w:type="spellStart"/>
      <w:r>
        <w:rPr>
          <w:i/>
          <w:iCs/>
        </w:rPr>
        <w:t>Geisteswissenschaften</w:t>
      </w:r>
      <w:proofErr w:type="spellEnd"/>
      <w:r>
        <w:t xml:space="preserve"> (1967), 43, where the argument is taken over through Winch, and 45 n. 84, where Apel says in his own voice that Wittgenstein showed the impossibility of a private language.</w:t>
      </w:r>
    </w:p>
  </w:footnote>
  <w:footnote w:id="74">
    <w:p w14:paraId="29CFA1FC" w14:textId="77777777" w:rsidR="0095720F" w:rsidRDefault="00000000">
      <w:pPr>
        <w:pStyle w:val="FootnoteText"/>
      </w:pPr>
      <w:r>
        <w:rPr>
          <w:rStyle w:val="FootnoteReference"/>
        </w:rPr>
        <w:footnoteRef/>
      </w:r>
      <w:r>
        <w:t xml:space="preserve"> TTP 33 for the displacement of methodological solipsism by participation in a language game and for the self-understanding passage; TTP 44–45, in the notes to ch. 1, for the dating ‘from Descartes’ </w:t>
      </w:r>
      <w:proofErr w:type="spellStart"/>
      <w:r>
        <w:rPr>
          <w:i/>
          <w:iCs/>
        </w:rPr>
        <w:t>Meditationes</w:t>
      </w:r>
      <w:proofErr w:type="spellEnd"/>
      <w:r>
        <w:t xml:space="preserve"> to Husserl’s </w:t>
      </w:r>
      <w:r>
        <w:rPr>
          <w:i/>
          <w:iCs/>
        </w:rPr>
        <w:t>Cartesian Meditations</w:t>
      </w:r>
      <w:r>
        <w:t xml:space="preserve">’; the 1967 monograph, 47, brackets Wittgenstein and Heidegger as both rejecting methodical solipsism, ‘the last consequence of Cartesian subject-object metaphysics’. </w:t>
      </w:r>
      <w:r>
        <w:rPr>
          <w:i/>
          <w:iCs/>
        </w:rPr>
        <w:t>Monist</w:t>
      </w:r>
      <w:r>
        <w:t xml:space="preserve"> I 394 carries the same dating independently. The gloss of the doctrine is not Apel’s.</w:t>
      </w:r>
    </w:p>
  </w:footnote>
  <w:footnote w:id="75">
    <w:p w14:paraId="1D8600C3" w14:textId="77777777" w:rsidR="0095720F" w:rsidRDefault="00000000">
      <w:pPr>
        <w:pStyle w:val="FootnoteText"/>
      </w:pPr>
      <w:r>
        <w:rPr>
          <w:rStyle w:val="FootnoteReference"/>
        </w:rPr>
        <w:footnoteRef/>
      </w:r>
      <w:r>
        <w:t xml:space="preserve"> The three questions, and the division of the verdict they yield, are not drawn from either author.</w:t>
      </w:r>
    </w:p>
  </w:footnote>
  <w:footnote w:id="76">
    <w:p w14:paraId="38D805DE" w14:textId="77777777" w:rsidR="0095720F" w:rsidRDefault="00000000">
      <w:pPr>
        <w:pStyle w:val="FootnoteText"/>
      </w:pPr>
      <w:r>
        <w:rPr>
          <w:rStyle w:val="FootnoteReference"/>
        </w:rPr>
        <w:footnoteRef/>
      </w:r>
      <w:r>
        <w:t xml:space="preserve"> TCA I 106–07 for the argument that the interpreter cannot separate questions of meaning from questions of validity; TCA I 114 for ‘the virtual participation of the interpreter’; TCA I 120–21 for the consequence quoted in the body. Reported in indirect discourse apart from the clause quoted.</w:t>
      </w:r>
    </w:p>
  </w:footnote>
  <w:footnote w:id="77">
    <w:p w14:paraId="5265E4FF" w14:textId="77777777" w:rsidR="0095720F" w:rsidRDefault="00000000">
      <w:pPr>
        <w:pStyle w:val="FootnoteText"/>
      </w:pPr>
      <w:r>
        <w:rPr>
          <w:rStyle w:val="FootnoteReference"/>
        </w:rPr>
        <w:footnoteRef/>
      </w:r>
      <w:r>
        <w:t xml:space="preserve"> Apel, ‘The Hermeneutic Dimension of Social Science’, 260, for the third person as a partial and not a complete </w:t>
      </w:r>
      <w:proofErr w:type="spellStart"/>
      <w:r>
        <w:t>objectivisation</w:t>
      </w:r>
      <w:proofErr w:type="spellEnd"/>
      <w:r>
        <w:t xml:space="preserve"> and as a possible co-subject who may join the community of discourse; 256, for the refusal of radical interpretation on the </w:t>
      </w:r>
      <w:proofErr w:type="spellStart"/>
      <w:r>
        <w:t>Quinean</w:t>
      </w:r>
      <w:proofErr w:type="spellEnd"/>
      <w:r>
        <w:t xml:space="preserve"> and </w:t>
      </w:r>
      <w:proofErr w:type="spellStart"/>
      <w:r>
        <w:t>Davidsonian</w:t>
      </w:r>
      <w:proofErr w:type="spellEnd"/>
      <w:r>
        <w:t xml:space="preserve"> model. Both paraphrased.</w:t>
      </w:r>
    </w:p>
  </w:footnote>
  <w:footnote w:id="78">
    <w:p w14:paraId="2A0EF230" w14:textId="77777777" w:rsidR="0095720F" w:rsidRDefault="00000000">
      <w:pPr>
        <w:pStyle w:val="FootnoteText"/>
      </w:pPr>
      <w:r>
        <w:rPr>
          <w:rStyle w:val="FootnoteReference"/>
        </w:rPr>
        <w:footnoteRef/>
      </w:r>
      <w:r>
        <w:t xml:space="preserve"> Apel, ‘The Problem of Philosophical Fundamental Grounding in Light of a Transcendental-Pragmatic of Language’, </w:t>
      </w:r>
      <w:r>
        <w:rPr>
          <w:i/>
          <w:iCs/>
        </w:rPr>
        <w:t>Man and World</w:t>
      </w:r>
      <w:r>
        <w:t xml:space="preserve"> 8/3 (1975), 239–75, at 262, the sentence beginning at the foot of 261, for the naming of the transcendental language game; the same sentence stands at SE2 88, within the printing of that essay cited at n. 87 as ‘The Question of Grounding: Philosophy and Transcendental Pragmatics of Language’; TTP 138–139 for the two sentences on the transcendental language-game and the basic error, the first running over the page break; TTP 119 for the ‘meta-institution’. The separation of the two claims travelling in the inference is not Apel’s. Language is on Apel’s account not only the normatively binding institution of institutions but ‘the “meta-institution” of all dogmatically established </w:t>
      </w:r>
      <w:proofErr w:type="gramStart"/>
      <w:r>
        <w:t>institutions’</w:t>
      </w:r>
      <w:proofErr w:type="gramEnd"/>
      <w:r>
        <w:t>.</w:t>
      </w:r>
    </w:p>
  </w:footnote>
  <w:footnote w:id="79">
    <w:p w14:paraId="1A6DF654" w14:textId="77777777" w:rsidR="0095720F" w:rsidRDefault="00000000">
      <w:pPr>
        <w:pStyle w:val="FootnoteText"/>
      </w:pPr>
      <w:r>
        <w:rPr>
          <w:rStyle w:val="FootnoteReference"/>
        </w:rPr>
        <w:footnoteRef/>
      </w:r>
      <w:r>
        <w:t xml:space="preserve"> PSC 636 for Peirce’s triadic relation. The reading that the refusal is a refusal of the inference and not of the unavailability of an exterior is a reading, and §2.1 states the commitments from which it follows. Habermas describes Peirce’s semiotics as taking ‘as its starting point the triadic relation of the sign to the designated object and to the interpreter’.</w:t>
      </w:r>
    </w:p>
  </w:footnote>
  <w:footnote w:id="80">
    <w:p w14:paraId="078FB4A8" w14:textId="77777777" w:rsidR="0095720F" w:rsidRDefault="00000000">
      <w:pPr>
        <w:pStyle w:val="FootnoteText"/>
      </w:pPr>
      <w:r>
        <w:rPr>
          <w:rStyle w:val="FootnoteReference"/>
        </w:rPr>
        <w:footnoteRef/>
      </w:r>
      <w:r>
        <w:t xml:space="preserve"> Heidegger’s inheritance is where the counter-</w:t>
      </w:r>
      <w:proofErr w:type="spellStart"/>
      <w:r>
        <w:t>programme</w:t>
      </w:r>
      <w:proofErr w:type="spellEnd"/>
      <w:r>
        <w:t xml:space="preserve"> enters its demand for reflection upon philosophy’s own discourse. Apel’s essay on Heidegger — ‘Meaning constitution and justification of validity: has Heidegger overcome transcendental philosophy by history of being?’ (FTSPV 103–21), first published in 1990 — turns upon a single distinction, at FTSPV 115, between ‘the conditions of the possibility of meaning constitution’ and ‘the conditions of the possibility of justifying the validity of knowledge (or of norms)’; Heidegger’s achievement lies within the first, and what is denied is the subordination of the second to it. Apel’s ground is a paradox he locates in the arguments themselves (FTSPV 115), which bears upon any </w:t>
      </w:r>
      <w:proofErr w:type="spellStart"/>
      <w:r>
        <w:t>detranscendentalisation</w:t>
      </w:r>
      <w:proofErr w:type="spellEnd"/>
      <w:r>
        <w:t xml:space="preserve"> whose own result is advanced as universally valid, and so upon Habermas and not upon Heidegger alone: ‘the universal validity claim of the </w:t>
      </w:r>
      <w:proofErr w:type="spellStart"/>
      <w:r>
        <w:t>detranscendentalization</w:t>
      </w:r>
      <w:proofErr w:type="spellEnd"/>
      <w:r>
        <w:t xml:space="preserve"> arguments themselves is not compatible with the propositional content of these arguments’. An argument concluding that no claim escapes its historical horizon is itself advanced as escaping the horizon of its advancing, or else it is one horizon-bound utterance among others and has established nothing general; how a discipline so placed conducts its reflection upon its own conditions is the constraint §2.3.1 draws from Habermas’s own account of the reversed gaze. Habermas works the same joint from the other side, in the reply to Taylor which Chapter One §1.2.2 records: an interpreting language’s power to disclose a world has first to prove itself within the world. Both </w:t>
      </w:r>
      <w:proofErr w:type="spellStart"/>
      <w:r>
        <w:t>programmes</w:t>
      </w:r>
      <w:proofErr w:type="spellEnd"/>
      <w:r>
        <w:t xml:space="preserve"> therefore hold the constitution of meaning apart from the justification of validity, and what divides them is where the holding-apart is anchored, for Apel in reflection upon philosophy’s own discourse, for Habermas in the </w:t>
      </w:r>
      <w:proofErr w:type="spellStart"/>
      <w:r>
        <w:t>innerworldly</w:t>
      </w:r>
      <w:proofErr w:type="spellEnd"/>
      <w:r>
        <w:t xml:space="preserve"> testing a disclosed world must undergo; whether that function can be accommodated within formal pragmatics on Habermas’s terms is the question Chapter One §1.2.2 takes up, and what the semiotic condition of </w:t>
      </w:r>
      <w:proofErr w:type="spellStart"/>
      <w:r>
        <w:t>assessability</w:t>
      </w:r>
      <w:proofErr w:type="spellEnd"/>
      <w:r>
        <w:t xml:space="preserve"> can be made to carry is the question of Chapter Three §3.2.4. FTSPV 115 also sets a reciprocal dependence, warranted by the hermeneutic circle, against a unilateral one, and FTSPV 119 names the deficiency charged </w:t>
      </w:r>
      <w:proofErr w:type="spellStart"/>
      <w:r>
        <w:rPr>
          <w:i/>
          <w:iCs/>
        </w:rPr>
        <w:t>Logosvergessenheit</w:t>
      </w:r>
      <w:proofErr w:type="spellEnd"/>
      <w:r>
        <w:t>. The consequence that the paradox bears upon Habermas and not upon Heidegger alone is drawn here.</w:t>
      </w:r>
    </w:p>
  </w:footnote>
  <w:footnote w:id="81">
    <w:p w14:paraId="2F125717" w14:textId="77777777" w:rsidR="0095720F" w:rsidRDefault="00000000">
      <w:pPr>
        <w:pStyle w:val="FootnoteText"/>
      </w:pPr>
      <w:r>
        <w:rPr>
          <w:rStyle w:val="FootnoteReference"/>
        </w:rPr>
        <w:footnoteRef/>
      </w:r>
      <w:r>
        <w:t xml:space="preserve"> OPC 240, the two sentences quoted, in their printed order. The reading of the verb of relocation, and of the tension so relocated, is proposed here.</w:t>
      </w:r>
    </w:p>
  </w:footnote>
  <w:footnote w:id="82">
    <w:p w14:paraId="6DA3E0D3" w14:textId="77777777" w:rsidR="0095720F" w:rsidRDefault="00000000">
      <w:pPr>
        <w:pStyle w:val="FootnoteText"/>
      </w:pPr>
      <w:r>
        <w:rPr>
          <w:rStyle w:val="FootnoteReference"/>
        </w:rPr>
        <w:footnoteRef/>
      </w:r>
      <w:r>
        <w:t xml:space="preserve"> Barry Stroud, ‘Transcendental Arguments’, </w:t>
      </w:r>
      <w:r>
        <w:rPr>
          <w:i/>
          <w:iCs/>
        </w:rPr>
        <w:t>Journal of Philosophy</w:t>
      </w:r>
      <w:r>
        <w:t xml:space="preserve"> 65/9 (1968), 241–56, for the dilemma and for the objection; no wording of his is relied upon. Habermas’s own relation to the objection is concession rather than confinement, the weak transcendental argument being what remains once the point is granted; the confinement executed in the body is a construction upon that concession. The modest/ambitious idiom is not Stroud’s but the subsequent literature’s, from Charles Taylor, ‘The Validity of Transcendental Arguments’, </w:t>
      </w:r>
      <w:r>
        <w:rPr>
          <w:i/>
          <w:iCs/>
        </w:rPr>
        <w:t>Proceedings of the Aristotelian Society</w:t>
      </w:r>
      <w:r>
        <w:t xml:space="preserve"> 79 (1979), 151–66.</w:t>
      </w:r>
    </w:p>
  </w:footnote>
  <w:footnote w:id="83">
    <w:p w14:paraId="42F4E5D4" w14:textId="77777777" w:rsidR="0095720F" w:rsidRDefault="00000000">
      <w:pPr>
        <w:pStyle w:val="FootnoteText"/>
      </w:pPr>
      <w:r>
        <w:rPr>
          <w:rStyle w:val="FootnoteReference"/>
        </w:rPr>
        <w:footnoteRef/>
      </w:r>
      <w:r>
        <w:t xml:space="preserve"> Robert Stern, ‘Silencing the Sceptic? The Prospects for Transcendental Arguments in Practical Philosophy’, in Jens Peter Brune, Robert Stern and Micha H. Werner (eds), </w:t>
      </w:r>
      <w:r>
        <w:rPr>
          <w:i/>
          <w:iCs/>
        </w:rPr>
        <w:t>Transcendental Arguments in Moral Theory</w:t>
      </w:r>
      <w:r>
        <w:t xml:space="preserve"> (Berlin: De Gruyter, 2017), 9–23, at 17, on the dilemma facing </w:t>
      </w:r>
      <w:proofErr w:type="spellStart"/>
      <w:r>
        <w:t>retorsive</w:t>
      </w:r>
      <w:proofErr w:type="spellEnd"/>
      <w:r>
        <w:t xml:space="preserve"> arguments, among whose exemplars Apel and Kuhlmann stand: that such an argument either collapses into a deductive transcendental argument, where Stroud’s weakening reaches it, or abandons its use of a transcendental claim altogether and so ceases to be a transcendental argument. The second horn is conceded here; the naming of the dilemma and the concession are entered at this place because the instrument is the chapter’s own.</w:t>
      </w:r>
    </w:p>
  </w:footnote>
  <w:footnote w:id="84">
    <w:p w14:paraId="4821D480" w14:textId="77777777" w:rsidR="0095720F" w:rsidRDefault="00000000">
      <w:pPr>
        <w:pStyle w:val="FootnoteText"/>
      </w:pPr>
      <w:r>
        <w:rPr>
          <w:rStyle w:val="FootnoteReference"/>
        </w:rPr>
        <w:footnoteRef/>
      </w:r>
      <w:r>
        <w:t xml:space="preserve"> FTSPV 175 for the naming of the principle — ‘This I have called the self-recuperative principle (</w:t>
      </w:r>
      <w:proofErr w:type="spellStart"/>
      <w:r>
        <w:t>Selbsteinholungsprinzip</w:t>
      </w:r>
      <w:proofErr w:type="spellEnd"/>
      <w:r>
        <w:t xml:space="preserve">)’ — and FTSPV 240–41 for its derivation from performative self-contradiction. The definition of performative self-contradiction given in the body is common to both </w:t>
      </w:r>
      <w:proofErr w:type="spellStart"/>
      <w:r>
        <w:t>programmes</w:t>
      </w:r>
      <w:proofErr w:type="spellEnd"/>
      <w:r>
        <w:t xml:space="preserve">; its use in the </w:t>
      </w:r>
      <w:proofErr w:type="spellStart"/>
      <w:r>
        <w:t>behaviour</w:t>
      </w:r>
      <w:proofErr w:type="spellEnd"/>
      <w:r>
        <w:t xml:space="preserve"> of denial at §2.2.2 is not drawn from either </w:t>
      </w:r>
      <w:proofErr w:type="spellStart"/>
      <w:r>
        <w:t>programme</w:t>
      </w:r>
      <w:proofErr w:type="spellEnd"/>
      <w:r>
        <w:t>.</w:t>
      </w:r>
    </w:p>
  </w:footnote>
  <w:footnote w:id="85">
    <w:p w14:paraId="54E20E36" w14:textId="77777777" w:rsidR="0095720F" w:rsidRDefault="00000000">
      <w:pPr>
        <w:pStyle w:val="FootnoteText"/>
      </w:pPr>
      <w:r>
        <w:rPr>
          <w:rStyle w:val="FootnoteReference"/>
        </w:rPr>
        <w:footnoteRef/>
      </w:r>
      <w:r>
        <w:t xml:space="preserve"> Apel’s own statement of the </w:t>
      </w:r>
      <w:proofErr w:type="spellStart"/>
      <w:r>
        <w:rPr>
          <w:i/>
          <w:iCs/>
        </w:rPr>
        <w:t>Selbsteinholungsprinzip</w:t>
      </w:r>
      <w:proofErr w:type="spellEnd"/>
      <w:r>
        <w:t xml:space="preserve"> stands at SE2 311–12, within ‘The Hermeneutic Dimension of Social Science’ (SE2 293–315), in the journal printing cited at n. 70, where the term stands at 266 as ‘self-matching-principle’ with the German supplied parenthetically by Apel himself. The principle is stated of the reconstructive social sciences, which ‘have got to reconstruct, i.e., to hermeneutically understand and to valuate, progress and regress in human history’ in the manner the body quotes (SE2 311).</w:t>
      </w:r>
    </w:p>
  </w:footnote>
  <w:footnote w:id="86">
    <w:p w14:paraId="7F48140A" w14:textId="77777777" w:rsidR="0095720F" w:rsidRDefault="00000000">
      <w:pPr>
        <w:pStyle w:val="FootnoteText"/>
      </w:pPr>
      <w:r>
        <w:rPr>
          <w:rStyle w:val="FootnoteReference"/>
        </w:rPr>
        <w:footnoteRef/>
      </w:r>
      <w:r>
        <w:t xml:space="preserve"> MCCA 95, displayed at §2.1.2; the sentence is punctuated with a semicolon, and §2.3.1 reads it in its printed sequence. The sentence secures the inescapability and the </w:t>
      </w:r>
      <w:proofErr w:type="spellStart"/>
      <w:r>
        <w:t>unjustifiedness</w:t>
      </w:r>
      <w:proofErr w:type="spellEnd"/>
      <w:r>
        <w:t xml:space="preserve"> of the conditions in one movement, and the argument of §2.2 and §2.3 turns upon the division of </w:t>
      </w:r>
      <w:proofErr w:type="spellStart"/>
      <w:r>
        <w:t>labour</w:t>
      </w:r>
      <w:proofErr w:type="spellEnd"/>
      <w:r>
        <w:t xml:space="preserve"> between its two clauses, which cannot be exhibited from one of them. The reading of the sentence’s grammar is advanced as a reading of what the sentence does, not as a report of a distinction Habermas states.</w:t>
      </w:r>
    </w:p>
  </w:footnote>
  <w:footnote w:id="87">
    <w:p w14:paraId="0B35CF74" w14:textId="77777777" w:rsidR="0095720F" w:rsidRDefault="00000000">
      <w:pPr>
        <w:pStyle w:val="FootnoteText"/>
      </w:pPr>
      <w:r>
        <w:rPr>
          <w:rStyle w:val="FootnoteReference"/>
        </w:rPr>
        <w:footnoteRef/>
      </w:r>
      <w:r>
        <w:t xml:space="preserve"> The argument of the four paragraphs above is not drawn from Habermas or from Apel. §2.2.3 draws the token/type consequence of self-application for the reconstruction of the presuppositions; what is drawn in the note is the consequence for the elenctic instrument, and the two are distinct results of one distinction.</w:t>
      </w:r>
    </w:p>
  </w:footnote>
  <w:footnote w:id="88">
    <w:p w14:paraId="2A64465F" w14:textId="77777777" w:rsidR="0095720F" w:rsidRDefault="00000000">
      <w:pPr>
        <w:pStyle w:val="FootnoteText"/>
      </w:pPr>
      <w:r>
        <w:rPr>
          <w:rStyle w:val="FootnoteReference"/>
        </w:rPr>
        <w:footnoteRef/>
      </w:r>
      <w:r>
        <w:t xml:space="preserve"> SE2 87, within ‘The Question of Grounding: Philosophy and Transcendental Pragmatics of Language’ (SE2 68–102), for the liar-structured self-application quoted in the body, italics and inverted commas as printed. Apel concludes on the same page that pan-critical rationalism is an untenable standpoint or at least an exaggeration, and enters the restriction, that ‘at least some philosophical evidence’ must be ‘excluded from possible criticism’ from the beginning. The restriction is his; at §2.2.1 it is the first of the two fronts. The inference drawn in the body — that both parties therefore require a restriction, so that neither may charge the other with </w:t>
      </w:r>
      <w:r>
        <w:rPr>
          <w:i/>
          <w:iCs/>
        </w:rPr>
        <w:t>ad hoc</w:t>
      </w:r>
      <w:r>
        <w:t xml:space="preserve"> exemption, and that what divides them is the category of the excluded item rather than the extent of the exclusion — is drawn here.</w:t>
      </w:r>
    </w:p>
  </w:footnote>
  <w:footnote w:id="89">
    <w:p w14:paraId="63EC6AF3" w14:textId="77777777" w:rsidR="0095720F" w:rsidRDefault="00000000">
      <w:pPr>
        <w:pStyle w:val="FootnoteText"/>
      </w:pPr>
      <w:r>
        <w:rPr>
          <w:rStyle w:val="FootnoteReference"/>
        </w:rPr>
        <w:footnoteRef/>
      </w:r>
      <w:r>
        <w:t xml:space="preserve"> Apel’s metacritique of critical rationalism: SE2 71 ff., within the essay cited in the preceding note. Apel there submits the sketched position of critical rationalism to </w:t>
      </w:r>
      <w:proofErr w:type="spellStart"/>
      <w:r>
        <w:t>metacritical</w:t>
      </w:r>
      <w:proofErr w:type="spellEnd"/>
      <w:r>
        <w:t xml:space="preserve"> examination — an examination ‘which at first depends on nothing other than a self-application of critical rationalism itself’ — and enters the disclaimer that his purpose ‘cannot be the questioning of the principle of “critical examination”’. The qualifier ‘at first’ is his and is retained here, since it marks the self-application as an opening move rather than a standing concession. The dilemma drawn in the body is not stated by Apel in that form.</w:t>
      </w:r>
    </w:p>
  </w:footnote>
  <w:footnote w:id="90">
    <w:p w14:paraId="7FCFCE34" w14:textId="77777777" w:rsidR="0095720F" w:rsidRDefault="00000000">
      <w:pPr>
        <w:pStyle w:val="FootnoteText"/>
      </w:pPr>
      <w:r>
        <w:rPr>
          <w:rStyle w:val="FootnoteReference"/>
        </w:rPr>
        <w:footnoteRef/>
      </w:r>
      <w:r>
        <w:t xml:space="preserve"> TCA I 9, quoted directly: ‘An expression satisfies the precondition for rationality if and insofar as it embodies fallible knowledge and… is open to objective judgment.’ TCA I 11, quoted directly: ‘It is constitutive of the rationality of the utterance that the speaker raises a criticizable validity claim for the proposition p, a claim that the hearer can accept or reject for good reason.’ Both stand at the opening of the work, before either term is glossed separately. The claim that the two are given as one thesis is a reading of the </w:t>
      </w:r>
      <w:proofErr w:type="gramStart"/>
      <w:r>
        <w:t>juxtaposition, and</w:t>
      </w:r>
      <w:proofErr w:type="gramEnd"/>
      <w:r>
        <w:t xml:space="preserve"> is what the remainder of §2.2 tests.</w:t>
      </w:r>
    </w:p>
  </w:footnote>
  <w:footnote w:id="91">
    <w:p w14:paraId="6226B09A" w14:textId="77777777" w:rsidR="0095720F" w:rsidRDefault="00000000">
      <w:pPr>
        <w:pStyle w:val="FootnoteText"/>
      </w:pPr>
      <w:r>
        <w:rPr>
          <w:rStyle w:val="FootnoteReference"/>
        </w:rPr>
        <w:footnoteRef/>
      </w:r>
      <w:r>
        <w:t xml:space="preserve"> TTP 138–39, quoted under C2 (the italics are Apel’s; the passage stands in ch. 5, ‘The communication community as the transcendental presupposition for the social sciences’); MCCA 81, where Habermas credits Apel with having gained in ‘argumentation as such’ a reference point of the standing the ‘I think’ has for the philosophy of reflection, in the sentence Chapter Three §3.2.3 displays and the body reports. Nothing in §2.2 rests upon either alone: the counterexample is carried by Apel’s two-part architecture (n. 91) and by the scope-restriction he enters in his own voice (n. 92).</w:t>
      </w:r>
    </w:p>
  </w:footnote>
  <w:footnote w:id="92">
    <w:p w14:paraId="0151ECA0" w14:textId="77777777" w:rsidR="0095720F" w:rsidRDefault="00000000">
      <w:pPr>
        <w:pStyle w:val="FootnoteText"/>
      </w:pPr>
      <w:r>
        <w:rPr>
          <w:rStyle w:val="FootnoteReference"/>
        </w:rPr>
        <w:footnoteRef/>
      </w:r>
      <w:r>
        <w:t xml:space="preserve"> Apel, </w:t>
      </w:r>
      <w:proofErr w:type="spellStart"/>
      <w:r>
        <w:rPr>
          <w:i/>
          <w:iCs/>
        </w:rPr>
        <w:t>Diskurs</w:t>
      </w:r>
      <w:proofErr w:type="spellEnd"/>
      <w:r>
        <w:rPr>
          <w:i/>
          <w:iCs/>
        </w:rPr>
        <w:t xml:space="preserve"> und </w:t>
      </w:r>
      <w:proofErr w:type="spellStart"/>
      <w:r>
        <w:rPr>
          <w:i/>
          <w:iCs/>
        </w:rPr>
        <w:t>Verantwortung</w:t>
      </w:r>
      <w:proofErr w:type="spellEnd"/>
      <w:r>
        <w:rPr>
          <w:i/>
          <w:iCs/>
        </w:rPr>
        <w:t xml:space="preserve">: Das Problem des </w:t>
      </w:r>
      <w:proofErr w:type="spellStart"/>
      <w:r>
        <w:rPr>
          <w:i/>
          <w:iCs/>
        </w:rPr>
        <w:t>Übergangs</w:t>
      </w:r>
      <w:proofErr w:type="spellEnd"/>
      <w:r>
        <w:rPr>
          <w:i/>
          <w:iCs/>
        </w:rPr>
        <w:t xml:space="preserve"> </w:t>
      </w:r>
      <w:proofErr w:type="spellStart"/>
      <w:r>
        <w:rPr>
          <w:i/>
          <w:iCs/>
        </w:rPr>
        <w:t>zur</w:t>
      </w:r>
      <w:proofErr w:type="spellEnd"/>
      <w:r>
        <w:rPr>
          <w:i/>
          <w:iCs/>
        </w:rPr>
        <w:t xml:space="preserve"> </w:t>
      </w:r>
      <w:proofErr w:type="spellStart"/>
      <w:r>
        <w:rPr>
          <w:i/>
          <w:iCs/>
        </w:rPr>
        <w:t>postkonventionellen</w:t>
      </w:r>
      <w:proofErr w:type="spellEnd"/>
      <w:r>
        <w:rPr>
          <w:i/>
          <w:iCs/>
        </w:rPr>
        <w:t xml:space="preserve"> Moral</w:t>
      </w:r>
      <w:r>
        <w:t xml:space="preserve"> (Frankfurt am Main: </w:t>
      </w:r>
      <w:proofErr w:type="spellStart"/>
      <w:r>
        <w:t>Suhrkamp</w:t>
      </w:r>
      <w:proofErr w:type="spellEnd"/>
      <w:r>
        <w:t xml:space="preserve">, 1988), cited in the German. The designation of </w:t>
      </w:r>
      <w:r>
        <w:rPr>
          <w:i/>
          <w:iCs/>
        </w:rPr>
        <w:t>Teil B</w:t>
      </w:r>
      <w:r>
        <w:t xml:space="preserve"> as a </w:t>
      </w:r>
      <w:proofErr w:type="spellStart"/>
      <w:r>
        <w:rPr>
          <w:i/>
          <w:iCs/>
        </w:rPr>
        <w:t>Begründungsteil</w:t>
      </w:r>
      <w:proofErr w:type="spellEnd"/>
      <w:r>
        <w:t>, and its distinction from the familiar application problem of moral norms, stand in the preface, DV 11. The canonical statement of the division stands at 134: ‘</w:t>
      </w:r>
      <w:proofErr w:type="spellStart"/>
      <w:r>
        <w:t>Während</w:t>
      </w:r>
      <w:proofErr w:type="spellEnd"/>
      <w:r>
        <w:t xml:space="preserve"> in Teil A der </w:t>
      </w:r>
      <w:proofErr w:type="spellStart"/>
      <w:r>
        <w:t>Ethik</w:t>
      </w:r>
      <w:proofErr w:type="spellEnd"/>
      <w:r>
        <w:t xml:space="preserve"> — </w:t>
      </w:r>
      <w:proofErr w:type="spellStart"/>
      <w:r>
        <w:t>gemäß</w:t>
      </w:r>
      <w:proofErr w:type="spellEnd"/>
      <w:r>
        <w:t xml:space="preserve"> der Intention </w:t>
      </w:r>
      <w:proofErr w:type="spellStart"/>
      <w:r>
        <w:t>einer</w:t>
      </w:r>
      <w:proofErr w:type="spellEnd"/>
      <w:r>
        <w:t xml:space="preserve"> </w:t>
      </w:r>
      <w:proofErr w:type="spellStart"/>
      <w:r>
        <w:t>transzendentalpragmatischen</w:t>
      </w:r>
      <w:proofErr w:type="spellEnd"/>
      <w:r>
        <w:t xml:space="preserve"> </w:t>
      </w:r>
      <w:proofErr w:type="spellStart"/>
      <w:r>
        <w:t>Letztbegründung</w:t>
      </w:r>
      <w:proofErr w:type="spellEnd"/>
      <w:r>
        <w:t xml:space="preserve"> — das </w:t>
      </w:r>
      <w:proofErr w:type="spellStart"/>
      <w:r>
        <w:t>Prinzip</w:t>
      </w:r>
      <w:proofErr w:type="spellEnd"/>
      <w:r>
        <w:t xml:space="preserve"> der </w:t>
      </w:r>
      <w:proofErr w:type="spellStart"/>
      <w:r>
        <w:t>Ethik</w:t>
      </w:r>
      <w:proofErr w:type="spellEnd"/>
      <w:r>
        <w:t xml:space="preserve"> in dem, </w:t>
      </w:r>
      <w:proofErr w:type="spellStart"/>
      <w:r>
        <w:t>vom</w:t>
      </w:r>
      <w:proofErr w:type="spellEnd"/>
      <w:r>
        <w:t xml:space="preserve"> </w:t>
      </w:r>
      <w:proofErr w:type="spellStart"/>
      <w:r>
        <w:t>Argumentierenden</w:t>
      </w:r>
      <w:proofErr w:type="spellEnd"/>
      <w:r>
        <w:t xml:space="preserve"> </w:t>
      </w:r>
      <w:proofErr w:type="spellStart"/>
      <w:r>
        <w:t>unbestreitbar</w:t>
      </w:r>
      <w:proofErr w:type="spellEnd"/>
      <w:r>
        <w:t xml:space="preserve"> </w:t>
      </w:r>
      <w:proofErr w:type="spellStart"/>
      <w:r>
        <w:t>vorausgesetzten</w:t>
      </w:r>
      <w:proofErr w:type="spellEnd"/>
      <w:r>
        <w:t xml:space="preserve"> und </w:t>
      </w:r>
      <w:proofErr w:type="spellStart"/>
      <w:r>
        <w:t>kontrafaktisch</w:t>
      </w:r>
      <w:proofErr w:type="spellEnd"/>
      <w:r>
        <w:t xml:space="preserve"> </w:t>
      </w:r>
      <w:proofErr w:type="spellStart"/>
      <w:r>
        <w:t>antizipierten</w:t>
      </w:r>
      <w:proofErr w:type="spellEnd"/>
      <w:r>
        <w:t xml:space="preserve"> Ideal </w:t>
      </w:r>
      <w:proofErr w:type="spellStart"/>
      <w:r>
        <w:t>einer</w:t>
      </w:r>
      <w:proofErr w:type="spellEnd"/>
      <w:r>
        <w:t xml:space="preserve"> </w:t>
      </w:r>
      <w:proofErr w:type="spellStart"/>
      <w:r>
        <w:t>idealen</w:t>
      </w:r>
      <w:proofErr w:type="spellEnd"/>
      <w:r>
        <w:t xml:space="preserve"> </w:t>
      </w:r>
      <w:proofErr w:type="spellStart"/>
      <w:r>
        <w:t>Kommunikationsgemeinschaft</w:t>
      </w:r>
      <w:proofErr w:type="spellEnd"/>
      <w:r>
        <w:t xml:space="preserve"> </w:t>
      </w:r>
      <w:proofErr w:type="spellStart"/>
      <w:r>
        <w:t>festgemacht</w:t>
      </w:r>
      <w:proofErr w:type="spellEnd"/>
      <w:r>
        <w:t xml:space="preserve"> sein </w:t>
      </w:r>
      <w:proofErr w:type="spellStart"/>
      <w:r>
        <w:t>muß</w:t>
      </w:r>
      <w:proofErr w:type="spellEnd"/>
      <w:r>
        <w:t xml:space="preserve">, </w:t>
      </w:r>
      <w:proofErr w:type="spellStart"/>
      <w:r>
        <w:t>stellt</w:t>
      </w:r>
      <w:proofErr w:type="spellEnd"/>
      <w:r>
        <w:t xml:space="preserve"> </w:t>
      </w:r>
      <w:proofErr w:type="spellStart"/>
      <w:r>
        <w:t>sich</w:t>
      </w:r>
      <w:proofErr w:type="spellEnd"/>
      <w:r>
        <w:t xml:space="preserve"> </w:t>
      </w:r>
      <w:proofErr w:type="spellStart"/>
      <w:r>
        <w:t>im</w:t>
      </w:r>
      <w:proofErr w:type="spellEnd"/>
      <w:r>
        <w:t xml:space="preserve"> Teil B die Aufgabe, den </w:t>
      </w:r>
      <w:proofErr w:type="spellStart"/>
      <w:r>
        <w:t>kontrafaktischen</w:t>
      </w:r>
      <w:proofErr w:type="spellEnd"/>
      <w:r>
        <w:t xml:space="preserve"> </w:t>
      </w:r>
      <w:proofErr w:type="spellStart"/>
      <w:r>
        <w:t>Charakter</w:t>
      </w:r>
      <w:proofErr w:type="spellEnd"/>
      <w:r>
        <w:t xml:space="preserve"> der </w:t>
      </w:r>
      <w:proofErr w:type="spellStart"/>
      <w:r>
        <w:t>gleichwohl</w:t>
      </w:r>
      <w:proofErr w:type="spellEnd"/>
      <w:r>
        <w:t xml:space="preserve"> </w:t>
      </w:r>
      <w:proofErr w:type="spellStart"/>
      <w:r>
        <w:t>notwendigen</w:t>
      </w:r>
      <w:proofErr w:type="spellEnd"/>
      <w:r>
        <w:t xml:space="preserve"> </w:t>
      </w:r>
      <w:proofErr w:type="spellStart"/>
      <w:r>
        <w:t>Antizipation</w:t>
      </w:r>
      <w:proofErr w:type="spellEnd"/>
      <w:r>
        <w:t xml:space="preserve"> des Ideals </w:t>
      </w:r>
      <w:proofErr w:type="spellStart"/>
      <w:r>
        <w:t>als</w:t>
      </w:r>
      <w:proofErr w:type="spellEnd"/>
      <w:r>
        <w:t xml:space="preserve"> Problem </w:t>
      </w:r>
      <w:proofErr w:type="spellStart"/>
      <w:r>
        <w:t>einer</w:t>
      </w:r>
      <w:proofErr w:type="spellEnd"/>
      <w:r>
        <w:t xml:space="preserve"> </w:t>
      </w:r>
      <w:proofErr w:type="spellStart"/>
      <w:r>
        <w:t>geschichtsbezogenen</w:t>
      </w:r>
      <w:proofErr w:type="spellEnd"/>
      <w:r>
        <w:t xml:space="preserve"> </w:t>
      </w:r>
      <w:proofErr w:type="spellStart"/>
      <w:r>
        <w:t>Verantwortungsethik</w:t>
      </w:r>
      <w:proofErr w:type="spellEnd"/>
      <w:r>
        <w:t xml:space="preserve"> </w:t>
      </w:r>
      <w:proofErr w:type="spellStart"/>
      <w:r>
        <w:t>eigens</w:t>
      </w:r>
      <w:proofErr w:type="spellEnd"/>
      <w:r>
        <w:t xml:space="preserve"> </w:t>
      </w:r>
      <w:proofErr w:type="spellStart"/>
      <w:r>
        <w:t>zu</w:t>
      </w:r>
      <w:proofErr w:type="spellEnd"/>
      <w:r>
        <w:t xml:space="preserve"> </w:t>
      </w:r>
      <w:proofErr w:type="spellStart"/>
      <w:r>
        <w:t>berücksichtigen</w:t>
      </w:r>
      <w:proofErr w:type="spellEnd"/>
      <w:r>
        <w:t xml:space="preserve">.’ The English rendering in the body is made from the German for this chapter. Apel’s terms are </w:t>
      </w:r>
      <w:r>
        <w:rPr>
          <w:i/>
          <w:iCs/>
        </w:rPr>
        <w:t>Teil A</w:t>
      </w:r>
      <w:r>
        <w:t>/</w:t>
      </w:r>
      <w:r>
        <w:rPr>
          <w:i/>
          <w:iCs/>
        </w:rPr>
        <w:t>Teil B</w:t>
      </w:r>
      <w:r>
        <w:t xml:space="preserve"> and </w:t>
      </w:r>
      <w:proofErr w:type="spellStart"/>
      <w:r>
        <w:rPr>
          <w:i/>
          <w:iCs/>
        </w:rPr>
        <w:t>Begründungsteil</w:t>
      </w:r>
      <w:proofErr w:type="spellEnd"/>
      <w:r>
        <w:rPr>
          <w:i/>
          <w:iCs/>
        </w:rPr>
        <w:t xml:space="preserve"> A</w:t>
      </w:r>
      <w:r>
        <w:t>/</w:t>
      </w:r>
      <w:proofErr w:type="spellStart"/>
      <w:r>
        <w:rPr>
          <w:i/>
          <w:iCs/>
        </w:rPr>
        <w:t>Begründungsteil</w:t>
      </w:r>
      <w:proofErr w:type="spellEnd"/>
      <w:r>
        <w:rPr>
          <w:i/>
          <w:iCs/>
        </w:rPr>
        <w:t xml:space="preserve"> B</w:t>
      </w:r>
      <w:r>
        <w:t>.</w:t>
      </w:r>
    </w:p>
  </w:footnote>
  <w:footnote w:id="93">
    <w:p w14:paraId="3EEF6016" w14:textId="77777777" w:rsidR="0095720F" w:rsidRDefault="00000000">
      <w:pPr>
        <w:pStyle w:val="FootnoteText"/>
      </w:pPr>
      <w:r>
        <w:rPr>
          <w:rStyle w:val="FootnoteReference"/>
        </w:rPr>
        <w:footnoteRef/>
      </w:r>
      <w:r>
        <w:t xml:space="preserve"> </w:t>
      </w:r>
      <w:r>
        <w:rPr>
          <w:i/>
          <w:iCs/>
        </w:rPr>
        <w:t>Understanding and Explanation</w:t>
      </w:r>
      <w:r>
        <w:t>, 91, running to 92, in the discussion which follows the reply to Stroud, displayed at Chapter Three §3.3.2: ‘With regard to von Wright’s discussion of the certainty of the margin of freedom in experimental action, we cannot, of course, secure the certainty of a transcendental-pragmatic reflection that has the same quality of not-being-able-to-be-gone-behind, as we can in the case of the existence of language.’ The withholding is entered by Apel in his own voice.</w:t>
      </w:r>
    </w:p>
  </w:footnote>
  <w:footnote w:id="94">
    <w:p w14:paraId="0045FB0C" w14:textId="77777777" w:rsidR="0095720F" w:rsidRDefault="00000000">
      <w:pPr>
        <w:pStyle w:val="FootnoteText"/>
      </w:pPr>
      <w:r>
        <w:rPr>
          <w:rStyle w:val="FootnoteReference"/>
        </w:rPr>
        <w:footnoteRef/>
      </w:r>
      <w:r>
        <w:t xml:space="preserve"> MCCA 32, for the three characteristics and the connective. The three characteristics are given in Habermas’s wording; the emphasis upon ‘for this reason’ is added. The reading that the connective shows C3 to be a warning and no conclusion is the one proposed of the passage, and it is offered as corroboration of a thesis established independently by the two preceding arguments, the sentence which the connective governs following one which names the temptation to ultimate justification.</w:t>
      </w:r>
    </w:p>
  </w:footnote>
  <w:footnote w:id="95">
    <w:p w14:paraId="17BCAC24" w14:textId="77777777" w:rsidR="0095720F" w:rsidRDefault="00000000">
      <w:pPr>
        <w:pStyle w:val="FootnoteText"/>
      </w:pPr>
      <w:r>
        <w:rPr>
          <w:rStyle w:val="FootnoteReference"/>
        </w:rPr>
        <w:footnoteRef/>
      </w:r>
      <w:r>
        <w:t xml:space="preserve"> Kuhlmann, </w:t>
      </w:r>
      <w:r>
        <w:rPr>
          <w:i/>
          <w:iCs/>
        </w:rPr>
        <w:t xml:space="preserve">Reflexive </w:t>
      </w:r>
      <w:proofErr w:type="spellStart"/>
      <w:r>
        <w:rPr>
          <w:i/>
          <w:iCs/>
        </w:rPr>
        <w:t>Letztbegründung</w:t>
      </w:r>
      <w:proofErr w:type="spellEnd"/>
      <w:r>
        <w:t>, cited at §2.1.4; Apel, ‘</w:t>
      </w:r>
      <w:proofErr w:type="spellStart"/>
      <w:r>
        <w:t>Fallibilismus</w:t>
      </w:r>
      <w:proofErr w:type="spellEnd"/>
      <w:r>
        <w:t xml:space="preserve">, </w:t>
      </w:r>
      <w:proofErr w:type="spellStart"/>
      <w:r>
        <w:t>Konsenstheorie</w:t>
      </w:r>
      <w:proofErr w:type="spellEnd"/>
      <w:r>
        <w:t xml:space="preserve"> der </w:t>
      </w:r>
      <w:proofErr w:type="spellStart"/>
      <w:r>
        <w:t>Wahrheit</w:t>
      </w:r>
      <w:proofErr w:type="spellEnd"/>
      <w:r>
        <w:t xml:space="preserve"> und </w:t>
      </w:r>
      <w:proofErr w:type="spellStart"/>
      <w:r>
        <w:t>Letztbegründung</w:t>
      </w:r>
      <w:proofErr w:type="spellEnd"/>
      <w:r>
        <w:t xml:space="preserve">’, in </w:t>
      </w:r>
      <w:r>
        <w:rPr>
          <w:i/>
          <w:iCs/>
        </w:rPr>
        <w:t xml:space="preserve">Philosophie und </w:t>
      </w:r>
      <w:proofErr w:type="spellStart"/>
      <w:r>
        <w:rPr>
          <w:i/>
          <w:iCs/>
        </w:rPr>
        <w:t>Begründung</w:t>
      </w:r>
      <w:proofErr w:type="spellEnd"/>
      <w:r>
        <w:t xml:space="preserve">, ed. Forum für Philosophie Bad Homburg (Frankfurt am Main: </w:t>
      </w:r>
      <w:proofErr w:type="spellStart"/>
      <w:r>
        <w:t>Suhrkamp</w:t>
      </w:r>
      <w:proofErr w:type="spellEnd"/>
      <w:r>
        <w:t xml:space="preserve">, 1987), 116–211; and Kuhlmann’s volume is </w:t>
      </w:r>
      <w:r>
        <w:rPr>
          <w:i/>
          <w:iCs/>
        </w:rPr>
        <w:t xml:space="preserve">Reflexive </w:t>
      </w:r>
      <w:proofErr w:type="spellStart"/>
      <w:r>
        <w:rPr>
          <w:i/>
          <w:iCs/>
        </w:rPr>
        <w:t>Letztbegründung</w:t>
      </w:r>
      <w:proofErr w:type="spellEnd"/>
      <w:r>
        <w:rPr>
          <w:i/>
          <w:iCs/>
        </w:rPr>
        <w:t xml:space="preserve">: </w:t>
      </w:r>
      <w:proofErr w:type="spellStart"/>
      <w:r>
        <w:rPr>
          <w:i/>
          <w:iCs/>
        </w:rPr>
        <w:t>Untersuchungen</w:t>
      </w:r>
      <w:proofErr w:type="spellEnd"/>
      <w:r>
        <w:rPr>
          <w:i/>
          <w:iCs/>
        </w:rPr>
        <w:t xml:space="preserve"> </w:t>
      </w:r>
      <w:proofErr w:type="spellStart"/>
      <w:r>
        <w:rPr>
          <w:i/>
          <w:iCs/>
        </w:rPr>
        <w:t>zur</w:t>
      </w:r>
      <w:proofErr w:type="spellEnd"/>
      <w:r>
        <w:rPr>
          <w:i/>
          <w:iCs/>
        </w:rPr>
        <w:t xml:space="preserve"> </w:t>
      </w:r>
      <w:proofErr w:type="spellStart"/>
      <w:r>
        <w:rPr>
          <w:i/>
          <w:iCs/>
        </w:rPr>
        <w:t>Transzendentalpragmatik</w:t>
      </w:r>
      <w:proofErr w:type="spellEnd"/>
      <w:r>
        <w:t xml:space="preserve"> (Freiburg and Munich: Alber, 1985). Neither is available in English translation; the objection is accordingly stated in the form the dispute has settled into rather than in either author’s wording, </w:t>
      </w:r>
      <w:proofErr w:type="gramStart"/>
      <w:r>
        <w:t>and</w:t>
      </w:r>
      <w:proofErr w:type="gramEnd"/>
      <w:r>
        <w:t xml:space="preserve"> no wording of either is relied upon. The title of the 1987 essay is itself evidence for the framing adopted at §2.2: fallibilism and ultimate justification are posed by Apel as the alternatives between which the yield-question decides.</w:t>
      </w:r>
    </w:p>
  </w:footnote>
  <w:footnote w:id="96">
    <w:p w14:paraId="3C249E12" w14:textId="77777777" w:rsidR="0095720F" w:rsidRDefault="00000000">
      <w:pPr>
        <w:pStyle w:val="FootnoteText"/>
      </w:pPr>
      <w:r>
        <w:rPr>
          <w:rStyle w:val="FootnoteReference"/>
        </w:rPr>
        <w:footnoteRef/>
      </w:r>
      <w:r>
        <w:t xml:space="preserve"> Heath 295 for the contrast the body reports in indirect discourse; and Heath 295–96, where Apel is charged with confusing the rules of discourse, which on Habermas’s account need no justification, with his own reconstruction of them, which does. The volume is Joseph Heath, </w:t>
      </w:r>
      <w:r>
        <w:rPr>
          <w:i/>
          <w:iCs/>
        </w:rPr>
        <w:t>Communicative Action and Rational Choice</w:t>
      </w:r>
      <w:r>
        <w:t xml:space="preserve"> (Cambridge, MA: MIT Press, 2001) — a distinction cognate with the operative–propositional asymmetry, though Heath does not draw it in those terms. The primary-text anchors are two: Apel’s analysis of the rules of argumentation is offered as a transcendental-pragmatic grounding of the basic norm of ethics (TTP 280–82), which he identifies with a principle of </w:t>
      </w:r>
      <w:proofErr w:type="spellStart"/>
      <w:r>
        <w:t>universalisation</w:t>
      </w:r>
      <w:proofErr w:type="spellEnd"/>
      <w:r>
        <w:t xml:space="preserve"> in Habermas’s sense (DV 122; the designation is Apel’s own, at the locus n. 91 gives), and Habermas holds that the obligatory meaning of the moral ‘ought’ cannot be derived from what participants must presuppose (PSC 630). The tracing to the yield-question is made in the body and is not Heath’s.</w:t>
      </w:r>
    </w:p>
  </w:footnote>
  <w:footnote w:id="97">
    <w:p w14:paraId="63D0FB33" w14:textId="77777777" w:rsidR="0095720F" w:rsidRDefault="00000000">
      <w:pPr>
        <w:pStyle w:val="FootnoteText"/>
      </w:pPr>
      <w:r>
        <w:rPr>
          <w:rStyle w:val="FootnoteReference"/>
        </w:rPr>
        <w:footnoteRef/>
      </w:r>
      <w:r>
        <w:t xml:space="preserve"> The distinction has its ancestry in transcendental pragmatics, which holds the performative evidence of arguing apart from the explication which states it (SE2 87, displayed at C3), and the use made of it below runs against the school which drew the line. The argument from the </w:t>
      </w:r>
      <w:proofErr w:type="spellStart"/>
      <w:r>
        <w:t>behaviour</w:t>
      </w:r>
      <w:proofErr w:type="spellEnd"/>
      <w:r>
        <w:t xml:space="preserve"> of denial by which it is grounded is entered at Chapter Three §3.2.1, with the page of MCCA 32 on which Habermas keeps the two predicates to either side of the line; the principle of non-contradiction, whose negation can be written but not asserted, is treated there as the paradigm case and not as a counterexample, at Chapter Three §3.3.1 and §3.3.2.</w:t>
      </w:r>
    </w:p>
  </w:footnote>
  <w:footnote w:id="98">
    <w:p w14:paraId="6341BDB3" w14:textId="77777777" w:rsidR="0095720F" w:rsidRDefault="00000000">
      <w:pPr>
        <w:pStyle w:val="FootnoteText"/>
      </w:pPr>
      <w:r>
        <w:rPr>
          <w:rStyle w:val="FootnoteReference"/>
        </w:rPr>
        <w:footnoteRef/>
      </w:r>
      <w:r>
        <w:t xml:space="preserve"> MCCA 32, the clause quoted: ‘all rational reconstructions, like other types of knowledge, have only hypothetical status’. The sentence it closes is read at §2.2.1 for its connective.</w:t>
      </w:r>
    </w:p>
  </w:footnote>
  <w:footnote w:id="99">
    <w:p w14:paraId="6C1764A0" w14:textId="77777777" w:rsidR="0095720F" w:rsidRDefault="00000000">
      <w:pPr>
        <w:pStyle w:val="FootnoteText"/>
      </w:pPr>
      <w:r>
        <w:rPr>
          <w:rStyle w:val="FootnoteReference"/>
        </w:rPr>
        <w:footnoteRef/>
      </w:r>
      <w:r>
        <w:t xml:space="preserve"> MCCA 96 for the diagnosis, in the sentence §2.2.1 quotes, where Habermas credits Apel with the paradigm shift he there charges him with abandoning; FTSPV 21 for Apel’s disclaimer, which sees in his own procedure the possibility of renewing the problematic of transcendental self-reflection in the manner quoted, and continues that Habermas ‘has recently appeared to consider any renewal of the problematic of reflection with the aid of language pragmatics as a relapse into the obsolete paradigm of the transcendental philosophy of consciousness’. The </w:t>
      </w:r>
      <w:proofErr w:type="spellStart"/>
      <w:r>
        <w:t>localisation</w:t>
      </w:r>
      <w:proofErr w:type="spellEnd"/>
      <w:r>
        <w:t xml:space="preserve"> of the dispute at the reflexive face of the performative is not Habermas’s move; it is proposed here, and Chapter Three adjudicates it.</w:t>
      </w:r>
    </w:p>
  </w:footnote>
  <w:footnote w:id="100">
    <w:p w14:paraId="587C3DD8" w14:textId="77777777" w:rsidR="0095720F" w:rsidRDefault="00000000">
      <w:pPr>
        <w:pStyle w:val="FootnoteText"/>
      </w:pPr>
      <w:r>
        <w:rPr>
          <w:rStyle w:val="FootnoteReference"/>
        </w:rPr>
        <w:footnoteRef/>
      </w:r>
      <w:r>
        <w:t xml:space="preserve"> PSC 645, both sentences quoted, in their printed order; the first follows the sentence in which a norm’s claim to validity is said to be </w:t>
      </w:r>
      <w:proofErr w:type="spellStart"/>
      <w:r>
        <w:t>thematised</w:t>
      </w:r>
      <w:proofErr w:type="spellEnd"/>
      <w:r>
        <w:t xml:space="preserve"> in discourse only after being imported into it from the lifeworld. The reading which sets these sentences against the sentence of 1991 displayed at §2.1.</w:t>
      </w:r>
      <w:proofErr w:type="gramStart"/>
      <w:r>
        <w:t>4, and</w:t>
      </w:r>
      <w:proofErr w:type="gramEnd"/>
      <w:r>
        <w:t xml:space="preserve"> finds the two on either side of one interval, is proposed here.</w:t>
      </w:r>
    </w:p>
  </w:footnote>
  <w:footnote w:id="101">
    <w:p w14:paraId="315D5AB7" w14:textId="77777777" w:rsidR="0095720F" w:rsidRDefault="00000000">
      <w:pPr>
        <w:pStyle w:val="FootnoteText"/>
      </w:pPr>
      <w:r>
        <w:rPr>
          <w:rStyle w:val="FootnoteReference"/>
        </w:rPr>
        <w:footnoteRef/>
      </w:r>
      <w:r>
        <w:t xml:space="preserve"> MCCA 95, the three sentences in their printed order, the first displayed at §2.1.2 and the second and third quoted here, italics as printed; the sentence immediately preceding the three, on the identification of the rules necessary for any argumentation game, is quoted there too. The reading of the sequence advanced in the body is offered as a reading. The German </w:t>
      </w:r>
      <w:proofErr w:type="spellStart"/>
      <w:r>
        <w:rPr>
          <w:i/>
          <w:iCs/>
        </w:rPr>
        <w:t>Faktum</w:t>
      </w:r>
      <w:proofErr w:type="spellEnd"/>
      <w:r>
        <w:rPr>
          <w:i/>
          <w:iCs/>
        </w:rPr>
        <w:t xml:space="preserve"> der Vernunft</w:t>
      </w:r>
      <w:r>
        <w:t xml:space="preserve"> is not supplied at this locus: the translation reads ‘fact of reason’ in quotation marks.</w:t>
      </w:r>
    </w:p>
  </w:footnote>
  <w:footnote w:id="102">
    <w:p w14:paraId="656DF0C0" w14:textId="77777777" w:rsidR="0095720F" w:rsidRDefault="00000000">
      <w:pPr>
        <w:pStyle w:val="FootnoteText"/>
      </w:pPr>
      <w:r>
        <w:rPr>
          <w:rStyle w:val="FootnoteReference"/>
        </w:rPr>
        <w:footnoteRef/>
      </w:r>
      <w:r>
        <w:t xml:space="preserve"> MCCA 130, both sentences quoted directly; Chapter One §1.4.3 records the second in its notes among the statements of what the argument establishes. The same passage grants that ‘this thrust of discourse ethics has a naturalistic ring to it, but it is by no means a naturalistic fallacy’, which bears upon the </w:t>
      </w:r>
      <w:r>
        <w:rPr>
          <w:i/>
          <w:iCs/>
        </w:rPr>
        <w:t>quaestio juris</w:t>
      </w:r>
      <w:r>
        <w:t xml:space="preserve"> discipline of §2.1.3.</w:t>
      </w:r>
    </w:p>
  </w:footnote>
  <w:footnote w:id="103">
    <w:p w14:paraId="45B9E086" w14:textId="77777777" w:rsidR="0095720F" w:rsidRDefault="00000000">
      <w:pPr>
        <w:pStyle w:val="FootnoteText"/>
      </w:pPr>
      <w:r>
        <w:rPr>
          <w:rStyle w:val="FootnoteReference"/>
        </w:rPr>
        <w:footnoteRef/>
      </w:r>
      <w:r>
        <w:t xml:space="preserve"> Matthias Kettner, ‘Pragmatism and Ultimate Justification’, in </w:t>
      </w:r>
      <w:r>
        <w:rPr>
          <w:i/>
          <w:iCs/>
        </w:rPr>
        <w:t>The Habermas Handbook</w:t>
      </w:r>
      <w:r>
        <w:t xml:space="preserve">, ed. Brunkhorst, </w:t>
      </w:r>
      <w:proofErr w:type="spellStart"/>
      <w:r>
        <w:t>Kreide</w:t>
      </w:r>
      <w:proofErr w:type="spellEnd"/>
      <w:r>
        <w:t xml:space="preserve"> and Lafont (New York: Columbia University Press, 2018), 43–48, at 45–46: Apel holds Habermas able to ‘eschew strictly reflexive transcendental arguments only at the price of inconsistency’; such claims ‘admit proof only superficially, and they founder entirely with respect to cases of openly strategic action’, the derivative status of purely strategic bargaining being provable only within argumentative discourse. Kettner’s own citation for the Apelian argument, </w:t>
      </w:r>
      <w:proofErr w:type="spellStart"/>
      <w:r>
        <w:rPr>
          <w:i/>
          <w:iCs/>
        </w:rPr>
        <w:t>Auseinandersetzungen</w:t>
      </w:r>
      <w:proofErr w:type="spellEnd"/>
      <w:r>
        <w:rPr>
          <w:i/>
          <w:iCs/>
        </w:rPr>
        <w:t xml:space="preserve"> in </w:t>
      </w:r>
      <w:proofErr w:type="spellStart"/>
      <w:r>
        <w:rPr>
          <w:i/>
          <w:iCs/>
        </w:rPr>
        <w:t>Erprobung</w:t>
      </w:r>
      <w:proofErr w:type="spellEnd"/>
      <w:r>
        <w:rPr>
          <w:i/>
          <w:iCs/>
        </w:rPr>
        <w:t xml:space="preserve"> des </w:t>
      </w:r>
      <w:proofErr w:type="spellStart"/>
      <w:r>
        <w:rPr>
          <w:i/>
          <w:iCs/>
        </w:rPr>
        <w:t>transzendentalpragmatischen</w:t>
      </w:r>
      <w:proofErr w:type="spellEnd"/>
      <w:r>
        <w:rPr>
          <w:i/>
          <w:iCs/>
        </w:rPr>
        <w:t xml:space="preserve"> Ansatzes</w:t>
      </w:r>
      <w:r>
        <w:t xml:space="preserve"> (Frankfurt am Main, 1998), 701–26, is recorded as his and not adopted.</w:t>
      </w:r>
    </w:p>
  </w:footnote>
  <w:footnote w:id="104">
    <w:p w14:paraId="06E7484E" w14:textId="77777777" w:rsidR="0095720F" w:rsidRDefault="00000000">
      <w:pPr>
        <w:pStyle w:val="FootnoteText"/>
      </w:pPr>
      <w:r>
        <w:rPr>
          <w:rStyle w:val="FootnoteReference"/>
        </w:rPr>
        <w:footnoteRef/>
      </w:r>
      <w:r>
        <w:t xml:space="preserve"> The requirement, its naming at FTSPV 175 — where the rendering is ‘self-recuperative principle (</w:t>
      </w:r>
      <w:proofErr w:type="spellStart"/>
      <w:r>
        <w:rPr>
          <w:i/>
          <w:iCs/>
        </w:rPr>
        <w:t>Selbsteinholungsprinzip</w:t>
      </w:r>
      <w:proofErr w:type="spellEnd"/>
      <w:r>
        <w:t>)’ — and its derivation from performative self-contradiction stand at C2 with its notes, where Apel’s alternative English, ‘self-matching-principle’, is also recorded. The application to the confutative method’s own employment is made in the body.</w:t>
      </w:r>
    </w:p>
  </w:footnote>
  <w:footnote w:id="105">
    <w:p w14:paraId="71CD80B8" w14:textId="77777777" w:rsidR="0095720F" w:rsidRDefault="00000000">
      <w:pPr>
        <w:pStyle w:val="FootnoteText"/>
      </w:pPr>
      <w:r>
        <w:rPr>
          <w:rStyle w:val="FootnoteReference"/>
        </w:rPr>
        <w:footnoteRef/>
      </w:r>
      <w:r>
        <w:t xml:space="preserve"> Apel, TTP 140, in the essay cited under C2, the sentence the body quotes in two parts; the parenthesis is Apel’s. The inference that a scope so drawn would discharge the debt entered in the preceding paragraph is drawn in the body, and whether the scope can be made good is the question Chapter Three leaves open at §3.3.6.</w:t>
      </w:r>
    </w:p>
  </w:footnote>
  <w:footnote w:id="106">
    <w:p w14:paraId="73D00F5F" w14:textId="77777777" w:rsidR="0095720F" w:rsidRDefault="00000000">
      <w:pPr>
        <w:pStyle w:val="FootnoteText"/>
      </w:pPr>
      <w:r>
        <w:rPr>
          <w:rStyle w:val="FootnoteReference"/>
        </w:rPr>
        <w:footnoteRef/>
      </w:r>
      <w:r>
        <w:t xml:space="preserve">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 (Berlin: </w:t>
      </w:r>
      <w:proofErr w:type="spellStart"/>
      <w:r>
        <w:t>Suhrkamp</w:t>
      </w:r>
      <w:proofErr w:type="spellEnd"/>
      <w:r>
        <w:t xml:space="preserve">, 2019), 69. All three limbs stand in a single paragraph. The passage runs: ‘Aber </w:t>
      </w:r>
      <w:proofErr w:type="spellStart"/>
      <w:r>
        <w:t>auch</w:t>
      </w:r>
      <w:proofErr w:type="spellEnd"/>
      <w:r>
        <w:t xml:space="preserve"> </w:t>
      </w:r>
      <w:proofErr w:type="spellStart"/>
      <w:r>
        <w:t>dann</w:t>
      </w:r>
      <w:proofErr w:type="spellEnd"/>
      <w:r>
        <w:t xml:space="preserve">, </w:t>
      </w:r>
      <w:proofErr w:type="spellStart"/>
      <w:r>
        <w:t>wenn</w:t>
      </w:r>
      <w:proofErr w:type="spellEnd"/>
      <w:r>
        <w:t xml:space="preserve"> es </w:t>
      </w:r>
      <w:proofErr w:type="spellStart"/>
      <w:r>
        <w:t>keine</w:t>
      </w:r>
      <w:proofErr w:type="spellEnd"/>
      <w:r>
        <w:t xml:space="preserve"> </w:t>
      </w:r>
      <w:proofErr w:type="spellStart"/>
      <w:r>
        <w:t>grundsätzliche</w:t>
      </w:r>
      <w:proofErr w:type="spellEnd"/>
      <w:r>
        <w:t xml:space="preserve"> </w:t>
      </w:r>
      <w:proofErr w:type="spellStart"/>
      <w:r>
        <w:t>Kontroverse</w:t>
      </w:r>
      <w:proofErr w:type="spellEnd"/>
      <w:r>
        <w:t xml:space="preserve"> </w:t>
      </w:r>
      <w:proofErr w:type="spellStart"/>
      <w:r>
        <w:t>über</w:t>
      </w:r>
      <w:proofErr w:type="spellEnd"/>
      <w:r>
        <w:t xml:space="preserve"> den </w:t>
      </w:r>
      <w:proofErr w:type="spellStart"/>
      <w:r>
        <w:rPr>
          <w:i/>
          <w:iCs/>
        </w:rPr>
        <w:t>Umfang</w:t>
      </w:r>
      <w:proofErr w:type="spellEnd"/>
      <w:r>
        <w:t xml:space="preserve"> … </w:t>
      </w:r>
      <w:proofErr w:type="spellStart"/>
      <w:r>
        <w:t>gäbe</w:t>
      </w:r>
      <w:proofErr w:type="spellEnd"/>
      <w:r>
        <w:t xml:space="preserve">, </w:t>
      </w:r>
      <w:proofErr w:type="spellStart"/>
      <w:r>
        <w:t>müssten</w:t>
      </w:r>
      <w:proofErr w:type="spellEnd"/>
      <w:r>
        <w:t xml:space="preserve"> </w:t>
      </w:r>
      <w:proofErr w:type="spellStart"/>
      <w:r>
        <w:t>wir</w:t>
      </w:r>
      <w:proofErr w:type="spellEnd"/>
      <w:r>
        <w:t xml:space="preserve"> </w:t>
      </w:r>
      <w:proofErr w:type="spellStart"/>
      <w:r>
        <w:t>uns</w:t>
      </w:r>
      <w:proofErr w:type="spellEnd"/>
      <w:r>
        <w:t xml:space="preserve"> dem </w:t>
      </w:r>
      <w:proofErr w:type="spellStart"/>
      <w:r>
        <w:t>Einwand</w:t>
      </w:r>
      <w:proofErr w:type="spellEnd"/>
      <w:r>
        <w:t xml:space="preserve"> </w:t>
      </w:r>
      <w:proofErr w:type="spellStart"/>
      <w:r>
        <w:t>stellen</w:t>
      </w:r>
      <w:proofErr w:type="spellEnd"/>
      <w:r>
        <w:t xml:space="preserve">, </w:t>
      </w:r>
      <w:proofErr w:type="spellStart"/>
      <w:r>
        <w:t>dass</w:t>
      </w:r>
      <w:proofErr w:type="spellEnd"/>
      <w:r>
        <w:t xml:space="preserve"> </w:t>
      </w:r>
      <w:proofErr w:type="spellStart"/>
      <w:r>
        <w:t>wir</w:t>
      </w:r>
      <w:proofErr w:type="spellEnd"/>
      <w:r>
        <w:t xml:space="preserve"> </w:t>
      </w:r>
      <w:proofErr w:type="spellStart"/>
      <w:r>
        <w:t>uns</w:t>
      </w:r>
      <w:proofErr w:type="spellEnd"/>
      <w:r>
        <w:t xml:space="preserve"> </w:t>
      </w:r>
      <w:proofErr w:type="spellStart"/>
      <w:r>
        <w:t>narzisstisch</w:t>
      </w:r>
      <w:proofErr w:type="spellEnd"/>
      <w:r>
        <w:t xml:space="preserve"> </w:t>
      </w:r>
      <w:proofErr w:type="spellStart"/>
      <w:r>
        <w:t>im</w:t>
      </w:r>
      <w:proofErr w:type="spellEnd"/>
      <w:r>
        <w:t xml:space="preserve"> </w:t>
      </w:r>
      <w:proofErr w:type="spellStart"/>
      <w:r>
        <w:t>jeweils</w:t>
      </w:r>
      <w:proofErr w:type="spellEnd"/>
      <w:r>
        <w:t xml:space="preserve"> </w:t>
      </w:r>
      <w:proofErr w:type="spellStart"/>
      <w:r>
        <w:t>eigenen</w:t>
      </w:r>
      <w:proofErr w:type="spellEnd"/>
      <w:r>
        <w:t xml:space="preserve"> </w:t>
      </w:r>
      <w:proofErr w:type="spellStart"/>
      <w:r>
        <w:t>Argumentationshorizont</w:t>
      </w:r>
      <w:proofErr w:type="spellEnd"/>
      <w:r>
        <w:t xml:space="preserve"> </w:t>
      </w:r>
      <w:proofErr w:type="spellStart"/>
      <w:r>
        <w:t>bewegen</w:t>
      </w:r>
      <w:proofErr w:type="spellEnd"/>
      <w:r>
        <w:t xml:space="preserve"> und die </w:t>
      </w:r>
      <w:proofErr w:type="spellStart"/>
      <w:r>
        <w:t>eigentlich</w:t>
      </w:r>
      <w:proofErr w:type="spellEnd"/>
      <w:r>
        <w:t xml:space="preserve"> </w:t>
      </w:r>
      <w:proofErr w:type="spellStart"/>
      <w:r>
        <w:t>kontroverse</w:t>
      </w:r>
      <w:proofErr w:type="spellEnd"/>
      <w:r>
        <w:t xml:space="preserve"> Frage </w:t>
      </w:r>
      <w:proofErr w:type="spellStart"/>
      <w:r>
        <w:t>präjudizieren</w:t>
      </w:r>
      <w:proofErr w:type="spellEnd"/>
      <w:r>
        <w:t xml:space="preserve">. … </w:t>
      </w:r>
      <w:proofErr w:type="spellStart"/>
      <w:r>
        <w:t>dass</w:t>
      </w:r>
      <w:proofErr w:type="spellEnd"/>
      <w:r>
        <w:t xml:space="preserve"> </w:t>
      </w:r>
      <w:proofErr w:type="spellStart"/>
      <w:r>
        <w:t>solche</w:t>
      </w:r>
      <w:proofErr w:type="spellEnd"/>
      <w:r>
        <w:t xml:space="preserve"> </w:t>
      </w:r>
      <w:proofErr w:type="spellStart"/>
      <w:r>
        <w:t>eingrenzenden</w:t>
      </w:r>
      <w:proofErr w:type="spellEnd"/>
      <w:r>
        <w:t xml:space="preserve"> </w:t>
      </w:r>
      <w:proofErr w:type="spellStart"/>
      <w:r>
        <w:t>Rationalitätsbestimmungen</w:t>
      </w:r>
      <w:proofErr w:type="spellEnd"/>
      <w:r>
        <w:t xml:space="preserve"> </w:t>
      </w:r>
      <w:proofErr w:type="spellStart"/>
      <w:r>
        <w:t>entweder</w:t>
      </w:r>
      <w:proofErr w:type="spellEnd"/>
      <w:r>
        <w:t xml:space="preserve"> </w:t>
      </w:r>
      <w:proofErr w:type="spellStart"/>
      <w:r>
        <w:t>als</w:t>
      </w:r>
      <w:proofErr w:type="spellEnd"/>
      <w:r>
        <w:t xml:space="preserve"> </w:t>
      </w:r>
      <w:proofErr w:type="spellStart"/>
      <w:r>
        <w:rPr>
          <w:i/>
          <w:iCs/>
        </w:rPr>
        <w:t>Definitionsvorschläge</w:t>
      </w:r>
      <w:proofErr w:type="spellEnd"/>
      <w:r>
        <w:t xml:space="preserve"> </w:t>
      </w:r>
      <w:proofErr w:type="spellStart"/>
      <w:r>
        <w:t>oder</w:t>
      </w:r>
      <w:proofErr w:type="spellEnd"/>
      <w:r>
        <w:t xml:space="preserve"> </w:t>
      </w:r>
      <w:proofErr w:type="spellStart"/>
      <w:r>
        <w:t>als</w:t>
      </w:r>
      <w:proofErr w:type="spellEnd"/>
      <w:r>
        <w:t xml:space="preserve"> </w:t>
      </w:r>
      <w:proofErr w:type="spellStart"/>
      <w:r>
        <w:rPr>
          <w:i/>
          <w:iCs/>
        </w:rPr>
        <w:t>Beschreibungen</w:t>
      </w:r>
      <w:proofErr w:type="spellEnd"/>
      <w:r>
        <w:t xml:space="preserve"> von </w:t>
      </w:r>
      <w:proofErr w:type="spellStart"/>
      <w:r>
        <w:t>empirisch</w:t>
      </w:r>
      <w:proofErr w:type="spellEnd"/>
      <w:r>
        <w:t xml:space="preserve"> </w:t>
      </w:r>
      <w:proofErr w:type="spellStart"/>
      <w:r>
        <w:t>verbreiteten</w:t>
      </w:r>
      <w:proofErr w:type="spellEnd"/>
      <w:r>
        <w:t xml:space="preserve"> </w:t>
      </w:r>
      <w:proofErr w:type="spellStart"/>
      <w:r>
        <w:t>diskursiven</w:t>
      </w:r>
      <w:proofErr w:type="spellEnd"/>
      <w:r>
        <w:t xml:space="preserve"> </w:t>
      </w:r>
      <w:proofErr w:type="spellStart"/>
      <w:r>
        <w:t>Verhaltensweisen</w:t>
      </w:r>
      <w:proofErr w:type="spellEnd"/>
      <w:r>
        <w:t xml:space="preserve"> </w:t>
      </w:r>
      <w:proofErr w:type="spellStart"/>
      <w:r>
        <w:t>verstanden</w:t>
      </w:r>
      <w:proofErr w:type="spellEnd"/>
      <w:r>
        <w:t xml:space="preserve"> </w:t>
      </w:r>
      <w:proofErr w:type="spellStart"/>
      <w:r>
        <w:t>werden</w:t>
      </w:r>
      <w:proofErr w:type="spellEnd"/>
      <w:r>
        <w:t xml:space="preserve"> </w:t>
      </w:r>
      <w:proofErr w:type="spellStart"/>
      <w:r>
        <w:t>müssten</w:t>
      </w:r>
      <w:proofErr w:type="spellEnd"/>
      <w:r>
        <w:t xml:space="preserve">.’ Note that </w:t>
      </w:r>
      <w:proofErr w:type="spellStart"/>
      <w:r>
        <w:rPr>
          <w:i/>
          <w:iCs/>
        </w:rPr>
        <w:t>Definitionsvorschläge</w:t>
      </w:r>
      <w:proofErr w:type="spellEnd"/>
      <w:r>
        <w:t xml:space="preserve"> are </w:t>
      </w:r>
      <w:r>
        <w:rPr>
          <w:i/>
          <w:iCs/>
        </w:rPr>
        <w:t>proposals</w:t>
      </w:r>
      <w:r>
        <w:t xml:space="preserve"> for definitions, and that Habermas’s point turns upon their being no more than proposals.</w:t>
      </w:r>
    </w:p>
  </w:footnote>
  <w:footnote w:id="107">
    <w:p w14:paraId="0FEAAB5F" w14:textId="77777777" w:rsidR="0095720F" w:rsidRDefault="00000000">
      <w:pPr>
        <w:pStyle w:val="FootnoteText"/>
      </w:pPr>
      <w:r>
        <w:rPr>
          <w:rStyle w:val="FootnoteReference"/>
        </w:rPr>
        <w:footnoteRef/>
      </w:r>
      <w:r>
        <w:t xml:space="preserve"> AHP, Bd. I, 71: ‘Die </w:t>
      </w:r>
      <w:proofErr w:type="spellStart"/>
      <w:r>
        <w:rPr>
          <w:i/>
          <w:iCs/>
        </w:rPr>
        <w:t>genealogische</w:t>
      </w:r>
      <w:proofErr w:type="spellEnd"/>
      <w:r>
        <w:t xml:space="preserve"> </w:t>
      </w:r>
      <w:proofErr w:type="spellStart"/>
      <w:r>
        <w:t>Betrachtung</w:t>
      </w:r>
      <w:proofErr w:type="spellEnd"/>
      <w:r>
        <w:t xml:space="preserve"> von </w:t>
      </w:r>
      <w:proofErr w:type="spellStart"/>
      <w:r>
        <w:rPr>
          <w:i/>
          <w:iCs/>
        </w:rPr>
        <w:t>Lern</w:t>
      </w:r>
      <w:r>
        <w:t>prozessen</w:t>
      </w:r>
      <w:proofErr w:type="spellEnd"/>
      <w:r>
        <w:t xml:space="preserve"> </w:t>
      </w:r>
      <w:proofErr w:type="spellStart"/>
      <w:r>
        <w:t>wäre</w:t>
      </w:r>
      <w:proofErr w:type="spellEnd"/>
      <w:r>
        <w:t xml:space="preserve"> </w:t>
      </w:r>
      <w:proofErr w:type="spellStart"/>
      <w:r>
        <w:t>freilich</w:t>
      </w:r>
      <w:proofErr w:type="spellEnd"/>
      <w:r>
        <w:t xml:space="preserve"> in </w:t>
      </w:r>
      <w:proofErr w:type="spellStart"/>
      <w:r>
        <w:t>sich</w:t>
      </w:r>
      <w:proofErr w:type="spellEnd"/>
      <w:r>
        <w:t xml:space="preserve"> </w:t>
      </w:r>
      <w:proofErr w:type="spellStart"/>
      <w:r>
        <w:t>ein</w:t>
      </w:r>
      <w:proofErr w:type="spellEnd"/>
      <w:r>
        <w:t xml:space="preserve"> </w:t>
      </w:r>
      <w:proofErr w:type="spellStart"/>
      <w:r>
        <w:t>Widerspruch</w:t>
      </w:r>
      <w:proofErr w:type="spellEnd"/>
      <w:r>
        <w:t xml:space="preserve">, </w:t>
      </w:r>
      <w:proofErr w:type="spellStart"/>
      <w:r>
        <w:t>wenn</w:t>
      </w:r>
      <w:proofErr w:type="spellEnd"/>
      <w:r>
        <w:t xml:space="preserve"> </w:t>
      </w:r>
      <w:proofErr w:type="spellStart"/>
      <w:r>
        <w:t>sie</w:t>
      </w:r>
      <w:proofErr w:type="spellEnd"/>
      <w:r>
        <w:t xml:space="preserve"> nicht so </w:t>
      </w:r>
      <w:proofErr w:type="spellStart"/>
      <w:r>
        <w:t>ansetzte</w:t>
      </w:r>
      <w:proofErr w:type="spellEnd"/>
      <w:r>
        <w:t xml:space="preserve">, </w:t>
      </w:r>
      <w:proofErr w:type="spellStart"/>
      <w:r>
        <w:t>dass</w:t>
      </w:r>
      <w:proofErr w:type="spellEnd"/>
      <w:r>
        <w:t xml:space="preserve"> auf der </w:t>
      </w:r>
      <w:proofErr w:type="spellStart"/>
      <w:r>
        <w:t>logisch-semantischen</w:t>
      </w:r>
      <w:proofErr w:type="spellEnd"/>
      <w:r>
        <w:t xml:space="preserve"> Ebene die </w:t>
      </w:r>
      <w:proofErr w:type="spellStart"/>
      <w:r>
        <w:t>Unabhängigkeit</w:t>
      </w:r>
      <w:proofErr w:type="spellEnd"/>
      <w:r>
        <w:t xml:space="preserve"> der </w:t>
      </w:r>
      <w:proofErr w:type="spellStart"/>
      <w:r>
        <w:t>Geltung</w:t>
      </w:r>
      <w:proofErr w:type="spellEnd"/>
      <w:r>
        <w:t xml:space="preserve"> von der Genesis der </w:t>
      </w:r>
      <w:proofErr w:type="spellStart"/>
      <w:r>
        <w:t>Aussagen</w:t>
      </w:r>
      <w:proofErr w:type="spellEnd"/>
      <w:r>
        <w:t xml:space="preserve"> </w:t>
      </w:r>
      <w:proofErr w:type="spellStart"/>
      <w:r>
        <w:t>gewahrt</w:t>
      </w:r>
      <w:proofErr w:type="spellEnd"/>
      <w:r>
        <w:t xml:space="preserve"> </w:t>
      </w:r>
      <w:proofErr w:type="spellStart"/>
      <w:r>
        <w:t>bleiben</w:t>
      </w:r>
      <w:proofErr w:type="spellEnd"/>
      <w:r>
        <w:t xml:space="preserve"> </w:t>
      </w:r>
      <w:proofErr w:type="spellStart"/>
      <w:r>
        <w:t>kann</w:t>
      </w:r>
      <w:proofErr w:type="spellEnd"/>
      <w:r>
        <w:t>.’ English rendering made for this chapter.</w:t>
      </w:r>
    </w:p>
  </w:footnote>
  <w:footnote w:id="108">
    <w:p w14:paraId="38BD18BB" w14:textId="77777777" w:rsidR="0095720F" w:rsidRDefault="00000000">
      <w:pPr>
        <w:pStyle w:val="FootnoteText"/>
      </w:pPr>
      <w:r>
        <w:rPr>
          <w:rStyle w:val="FootnoteReference"/>
        </w:rPr>
        <w:footnoteRef/>
      </w:r>
      <w:r>
        <w:t xml:space="preserve"> AHP, Bd. I, 70: ‘Amy Allen hat </w:t>
      </w:r>
      <w:proofErr w:type="spellStart"/>
      <w:r>
        <w:t>mich</w:t>
      </w:r>
      <w:proofErr w:type="spellEnd"/>
      <w:r>
        <w:t xml:space="preserve"> auf die </w:t>
      </w:r>
      <w:proofErr w:type="spellStart"/>
      <w:r>
        <w:t>Unterscheidung</w:t>
      </w:r>
      <w:proofErr w:type="spellEnd"/>
      <w:r>
        <w:t xml:space="preserve"> </w:t>
      </w:r>
      <w:proofErr w:type="spellStart"/>
      <w:r>
        <w:t>zwischen</w:t>
      </w:r>
      <w:proofErr w:type="spellEnd"/>
      <w:r>
        <w:t xml:space="preserve"> </w:t>
      </w:r>
      <w:proofErr w:type="spellStart"/>
      <w:r>
        <w:t>einer</w:t>
      </w:r>
      <w:proofErr w:type="spellEnd"/>
      <w:r>
        <w:t xml:space="preserve"> »</w:t>
      </w:r>
      <w:proofErr w:type="spellStart"/>
      <w:r>
        <w:t>subversiven</w:t>
      </w:r>
      <w:proofErr w:type="spellEnd"/>
      <w:r>
        <w:t xml:space="preserve">«, </w:t>
      </w:r>
      <w:proofErr w:type="spellStart"/>
      <w:r>
        <w:t>einer</w:t>
      </w:r>
      <w:proofErr w:type="spellEnd"/>
      <w:r>
        <w:t xml:space="preserve"> »</w:t>
      </w:r>
      <w:proofErr w:type="spellStart"/>
      <w:r>
        <w:t>problematisierenden</w:t>
      </w:r>
      <w:proofErr w:type="spellEnd"/>
      <w:r>
        <w:t xml:space="preserve">« und </w:t>
      </w:r>
      <w:proofErr w:type="spellStart"/>
      <w:r>
        <w:t>einer</w:t>
      </w:r>
      <w:proofErr w:type="spellEnd"/>
      <w:r>
        <w:t xml:space="preserve"> »</w:t>
      </w:r>
      <w:proofErr w:type="spellStart"/>
      <w:r>
        <w:t>vindikatorischen</w:t>
      </w:r>
      <w:proofErr w:type="spellEnd"/>
      <w:r>
        <w:t xml:space="preserve">« </w:t>
      </w:r>
      <w:proofErr w:type="spellStart"/>
      <w:r>
        <w:t>Genealogie</w:t>
      </w:r>
      <w:proofErr w:type="spellEnd"/>
      <w:r>
        <w:t xml:space="preserve"> </w:t>
      </w:r>
      <w:proofErr w:type="spellStart"/>
      <w:r>
        <w:t>aufmerksam</w:t>
      </w:r>
      <w:proofErr w:type="spellEnd"/>
      <w:r>
        <w:t xml:space="preserve"> </w:t>
      </w:r>
      <w:proofErr w:type="spellStart"/>
      <w:r>
        <w:t>gemacht</w:t>
      </w:r>
      <w:proofErr w:type="spellEnd"/>
      <w:r>
        <w:t xml:space="preserve">’, Habermas’s endnote recording that Allen draws upon Bernard Williams and Colin Koopman (A. Allen, ‘Having One’s Cake and Eating it too’, in C. Calhoun et al. (eds), </w:t>
      </w:r>
      <w:r>
        <w:rPr>
          <w:i/>
          <w:iCs/>
        </w:rPr>
        <w:t>Habermas and Religion</w:t>
      </w:r>
      <w:r>
        <w:t xml:space="preserve"> (Cambridge, 2013), 132–53). Habermas’s order is subversive, </w:t>
      </w:r>
      <w:proofErr w:type="spellStart"/>
      <w:r>
        <w:t>problematising</w:t>
      </w:r>
      <w:proofErr w:type="spellEnd"/>
      <w:r>
        <w:t>, vindicatory. Allen’s essay deploys the distinction critically, as its title announces, against the genealogy Habermas undertakes; the contest is recorded and not entered.</w:t>
      </w:r>
    </w:p>
  </w:footnote>
  <w:footnote w:id="109">
    <w:p w14:paraId="496A80C5" w14:textId="77777777" w:rsidR="0095720F" w:rsidRDefault="00000000">
      <w:pPr>
        <w:pStyle w:val="FootnoteText"/>
      </w:pPr>
      <w:r>
        <w:rPr>
          <w:rStyle w:val="FootnoteReference"/>
        </w:rPr>
        <w:footnoteRef/>
      </w:r>
      <w:r>
        <w:t xml:space="preserve"> MCCA 87, rule (1.3), quoted; the rule stands at the logical-semantic level beside ‘(1.1) No speaker may contradict himself’ and ‘(1.2) Every speaker who applies predicate </w:t>
      </w:r>
      <w:r>
        <w:rPr>
          <w:i/>
          <w:iCs/>
        </w:rPr>
        <w:t>F</w:t>
      </w:r>
      <w:r>
        <w:t xml:space="preserve"> to object </w:t>
      </w:r>
      <w:r>
        <w:rPr>
          <w:i/>
          <w:iCs/>
        </w:rPr>
        <w:t>A</w:t>
      </w:r>
      <w:r>
        <w:t xml:space="preserve"> must be prepared to apply </w:t>
      </w:r>
      <w:r>
        <w:rPr>
          <w:i/>
          <w:iCs/>
        </w:rPr>
        <w:t>F</w:t>
      </w:r>
      <w:r>
        <w:t xml:space="preserve"> to all other objects resembling </w:t>
      </w:r>
      <w:r>
        <w:rPr>
          <w:i/>
          <w:iCs/>
        </w:rPr>
        <w:t>A</w:t>
      </w:r>
      <w:r>
        <w:t xml:space="preserve"> in all relevant </w:t>
      </w:r>
      <w:proofErr w:type="gramStart"/>
      <w:r>
        <w:t>aspects’</w:t>
      </w:r>
      <w:proofErr w:type="gramEnd"/>
      <w:r>
        <w:t xml:space="preserve">. The borrowing of the catalogue from Alexy ‘for simplicity’ and the exclusion of the level: MCCA 87, the sentences being displayed at §2.3.2 and reported at Chapter One §1.4.3. The direction of borrowing reverses at MCCA 89, where Alexy is said to have suggested the rules of discourse ‘Following my analysis’; the constancy rule is Alexy’s, adopted, and the discourse rules are Habermas’s, adapted by Alexy. That the concession must be staged upon the exhibition’s own requirement of </w:t>
      </w:r>
      <w:proofErr w:type="spellStart"/>
      <w:r>
        <w:t>recognisability</w:t>
      </w:r>
      <w:proofErr w:type="spellEnd"/>
      <w:r>
        <w:t xml:space="preserve"> and not upon rule (1.3) is a decision taken in the body.</w:t>
      </w:r>
    </w:p>
  </w:footnote>
  <w:footnote w:id="110">
    <w:p w14:paraId="15DAE04F" w14:textId="77777777" w:rsidR="0095720F" w:rsidRDefault="00000000">
      <w:pPr>
        <w:pStyle w:val="FootnoteText"/>
      </w:pPr>
      <w:r>
        <w:rPr>
          <w:rStyle w:val="FootnoteReference"/>
        </w:rPr>
        <w:footnoteRef/>
      </w:r>
      <w:r>
        <w:t xml:space="preserve"> SEC 315 for the two quoted sentences on the absence of the addressee and on the identity of the mark; 316 for the extension to the sender; 318 for the unity of the signifying form constituted only by its iterability; 320–21 for the sentence on the normal/abnormal, which runs over the page break, ‘this iterability of the mark is not an accident or an anomaly, but is that (normal/abnormal) without which a mark could no longer even have a so-called “normal” functioning’; 326 for the intention which will never be completely present.</w:t>
      </w:r>
    </w:p>
  </w:footnote>
  <w:footnote w:id="111">
    <w:p w14:paraId="08DBE8E8" w14:textId="77777777" w:rsidR="0095720F" w:rsidRDefault="00000000">
      <w:pPr>
        <w:pStyle w:val="FootnoteText"/>
      </w:pPr>
      <w:r>
        <w:rPr>
          <w:rStyle w:val="FootnoteReference"/>
        </w:rPr>
        <w:footnoteRef/>
      </w:r>
      <w:r>
        <w:t xml:space="preserve"> SEC 324–25 for Austin’s exclusion, quoted by Derrida from </w:t>
      </w:r>
      <w:r>
        <w:rPr>
          <w:i/>
          <w:iCs/>
        </w:rPr>
        <w:t>How to Do Things with Words</w:t>
      </w:r>
      <w:r>
        <w:t xml:space="preserve">, 21–22, the italics on ‘not seriously’ marked by Derrida as his own; SEC 325 for the possibility to which every utterance is open and for the impure performative; SEC 326 for the coded or </w:t>
      </w:r>
      <w:proofErr w:type="spellStart"/>
      <w:r>
        <w:t>iterable</w:t>
      </w:r>
      <w:proofErr w:type="spellEnd"/>
      <w:r>
        <w:t xml:space="preserve"> statement, a performative being unable to succeed ‘if its formulation did not repeat a “coded” or </w:t>
      </w:r>
      <w:proofErr w:type="spellStart"/>
      <w:r>
        <w:t>iterable</w:t>
      </w:r>
      <w:proofErr w:type="spellEnd"/>
      <w:r>
        <w:t xml:space="preserve"> statement’, for the relative purity, for the differential typology — entered ‘supposing that this is a tenable project that can give rise to an exhaustive program, a question I am holding off on here’ — and for the place of intention. Austin’s text is cited only as Derrida cites it.</w:t>
      </w:r>
    </w:p>
  </w:footnote>
  <w:footnote w:id="112">
    <w:p w14:paraId="7782B437" w14:textId="77777777" w:rsidR="0095720F" w:rsidRDefault="00000000">
      <w:pPr>
        <w:pStyle w:val="FootnoteText"/>
      </w:pPr>
      <w:r>
        <w:rPr>
          <w:rStyle w:val="FootnoteReference"/>
        </w:rPr>
        <w:footnoteRef/>
      </w:r>
      <w:r>
        <w:t xml:space="preserve"> SEC 327, for the disclaimer quoted in the body, which opens ‘Above all, I will not conclude from this’ and declines first to conclude ‘that there is no relative specificity of the effects of consciousness’. The elision removes one adverbial phrase. Searle’s reply (‘Reiterating the Differences: A Reply to Derrida’, </w:t>
      </w:r>
      <w:r>
        <w:rPr>
          <w:i/>
          <w:iCs/>
        </w:rPr>
        <w:t>Glyph</w:t>
      </w:r>
      <w:r>
        <w:t xml:space="preserve"> 1 (1977), 198–208) is not engaged; the use made of the disclaimer does not depend upon the exchange.</w:t>
      </w:r>
    </w:p>
  </w:footnote>
  <w:footnote w:id="113">
    <w:p w14:paraId="6C489B10" w14:textId="77777777" w:rsidR="0095720F" w:rsidRDefault="00000000">
      <w:pPr>
        <w:pStyle w:val="FootnoteText"/>
      </w:pPr>
      <w:r>
        <w:rPr>
          <w:rStyle w:val="FootnoteReference"/>
        </w:rPr>
        <w:footnoteRef/>
      </w:r>
      <w:r>
        <w:t xml:space="preserve"> Habermas, </w:t>
      </w:r>
      <w:r>
        <w:rPr>
          <w:i/>
          <w:iCs/>
        </w:rPr>
        <w:t>The Philosophical Discourse of Modernity</w:t>
      </w:r>
      <w:r>
        <w:t xml:space="preserve">, trans. Frederick Lawrence (Cambridge, MA: MIT Press, 1987), the excursus on levelling the genre distinction between philosophy and literature, §II, for all six quoted phrases; 195–96 for the passage, within the excursus at 185–210. The observation that ‘different from’ is not ‘different in kind’ is made in the body. The excursus quotes no sentence of ‘Signature Event Context’ directly; the position it attacks is taken from Jonathan Culler’s exposition in </w:t>
      </w:r>
      <w:r>
        <w:rPr>
          <w:i/>
          <w:iCs/>
        </w:rPr>
        <w:t>On Deconstruction: Theory and Criticism after Structuralism</w:t>
      </w:r>
      <w:r>
        <w:t xml:space="preserve"> (Ithaca: Cornell University Press, 1982), which Habermas cites, and he announces that he will examine the argument in the form Derrida’s disciples give it. What the reply can be credited with establishing against the argument of SEC itself is bounded accordingly, and the concession made at §2.3.2 is made to Derrida’s text and not to the reception Habermas answers.</w:t>
      </w:r>
    </w:p>
  </w:footnote>
  <w:footnote w:id="114">
    <w:p w14:paraId="3871A308" w14:textId="77777777" w:rsidR="0095720F" w:rsidRDefault="00000000">
      <w:pPr>
        <w:pStyle w:val="FootnoteText"/>
      </w:pPr>
      <w:r>
        <w:rPr>
          <w:rStyle w:val="FootnoteReference"/>
        </w:rPr>
        <w:footnoteRef/>
      </w:r>
      <w:r>
        <w:t xml:space="preserve"> BNR 88 for the sentence quoted and for the </w:t>
      </w:r>
      <w:proofErr w:type="spellStart"/>
      <w:r>
        <w:t>nondeductive</w:t>
      </w:r>
      <w:proofErr w:type="spellEnd"/>
      <w:r>
        <w:t xml:space="preserve"> model followed; BNR 97 for the status of the transcendental-pragmatic argument and for the sentence on facets; both in ‘On the Architectonics of Discursive Differentiation’ (2003). Habermas’s sentence is a conditional and denies that the argument, in the role Apel accords it, is an argument at all; the reading of the conditional as preparing the concession to Derrida is proposed in the body.</w:t>
      </w:r>
    </w:p>
  </w:footnote>
  <w:footnote w:id="115">
    <w:p w14:paraId="7A884B3C" w14:textId="77777777" w:rsidR="0095720F" w:rsidRDefault="00000000">
      <w:pPr>
        <w:pStyle w:val="FootnoteText"/>
      </w:pPr>
      <w:r>
        <w:rPr>
          <w:rStyle w:val="FootnoteReference"/>
        </w:rPr>
        <w:footnoteRef/>
      </w:r>
      <w:r>
        <w:t xml:space="preserve"> Derrida, ‘Faith and Knowledge: The Two Sources of “Religion” at the Limits of Reason Alone’, trans. Samuel Weber, in </w:t>
      </w:r>
      <w:r>
        <w:rPr>
          <w:i/>
          <w:iCs/>
        </w:rPr>
        <w:t>Acts of Religion</w:t>
      </w:r>
      <w:r>
        <w:t xml:space="preserve">, ed. Gil </w:t>
      </w:r>
      <w:proofErr w:type="spellStart"/>
      <w:r>
        <w:t>Anidjar</w:t>
      </w:r>
      <w:proofErr w:type="spellEnd"/>
      <w:r>
        <w:t xml:space="preserve"> (New York: Routledge, 2002), 42–101, at 80, the essay being of 1996, for the ‘irreducible “faith”’ of a ‘“sworn faith”’ which is ‘a performative of promising at work even in lying or perjury and without which no address to the other would be possible’. The structure is the </w:t>
      </w:r>
      <w:proofErr w:type="spellStart"/>
      <w:proofErr w:type="gramStart"/>
      <w:r>
        <w:t>warranty’s</w:t>
      </w:r>
      <w:proofErr w:type="spellEnd"/>
      <w:proofErr w:type="gramEnd"/>
      <w:r>
        <w:t xml:space="preserve"> of TCA I 302 (Chapter One §1.3.2): a pledge entered with the utterance, prior to any redemption, binding the exchange before anything in it is made good. The difference is in what the pledge is a pledge of: for Habermas the speaker warrants that reasons can be produced, and the bond rests upon the offer of redemption; for Derrida the pledge is entered beyond all proof and demonstration. The parallel and the difference are drawn here.</w:t>
      </w:r>
    </w:p>
  </w:footnote>
  <w:footnote w:id="116">
    <w:p w14:paraId="59BB3B20" w14:textId="77777777" w:rsidR="0095720F" w:rsidRDefault="00000000">
      <w:pPr>
        <w:pStyle w:val="FootnoteText"/>
      </w:pPr>
      <w:r>
        <w:rPr>
          <w:rStyle w:val="FootnoteReference"/>
        </w:rPr>
        <w:footnoteRef/>
      </w:r>
      <w:r>
        <w:t xml:space="preserve"> On the retraction and its critics, Cristina Lafont, </w:t>
      </w:r>
      <w:r>
        <w:rPr>
          <w:i/>
          <w:iCs/>
        </w:rPr>
        <w:t>The Linguistic Turn in Hermeneutic Philosophy</w:t>
      </w:r>
      <w:r>
        <w:t xml:space="preserve">, trans. José Medina (Cambridge, MA: MIT Press, 1999); </w:t>
      </w:r>
      <w:proofErr w:type="spellStart"/>
      <w:r>
        <w:t>Wellmer</w:t>
      </w:r>
      <w:proofErr w:type="spellEnd"/>
      <w:r>
        <w:t xml:space="preserve">, ‘Ethics and Dialogue’; and the </w:t>
      </w:r>
      <w:proofErr w:type="spellStart"/>
      <w:r>
        <w:t>Rorty</w:t>
      </w:r>
      <w:proofErr w:type="spellEnd"/>
      <w:r>
        <w:t xml:space="preserve">–Habermas exchange in </w:t>
      </w:r>
      <w:proofErr w:type="spellStart"/>
      <w:r>
        <w:rPr>
          <w:i/>
          <w:iCs/>
        </w:rPr>
        <w:t>Rorty</w:t>
      </w:r>
      <w:proofErr w:type="spellEnd"/>
      <w:r>
        <w:rPr>
          <w:i/>
          <w:iCs/>
        </w:rPr>
        <w:t xml:space="preserve"> and His Critics</w:t>
      </w:r>
      <w:r>
        <w:t>, ed. Robert B. Brandom (Oxford: Blackwell, 2000). The retraction is independently attested; that these critics produced it is the finding of Chapter One §1.4.5 and is not re-argued here.</w:t>
      </w:r>
    </w:p>
  </w:footnote>
  <w:footnote w:id="117">
    <w:p w14:paraId="7ED81DE7" w14:textId="77777777" w:rsidR="0095720F" w:rsidRDefault="00000000">
      <w:pPr>
        <w:pStyle w:val="FootnoteText"/>
      </w:pPr>
      <w:r>
        <w:rPr>
          <w:rStyle w:val="FootnoteReference"/>
        </w:rPr>
        <w:footnoteRef/>
      </w:r>
      <w:r>
        <w:t xml:space="preserve"> MCCA 96–97, displayed with the German at §2.1.2, where the four numbered steps, the </w:t>
      </w:r>
      <w:proofErr w:type="spellStart"/>
      <w:r>
        <w:t>substeps</w:t>
      </w:r>
      <w:proofErr w:type="spellEnd"/>
      <w:r>
        <w:t xml:space="preserve"> (2a)–(2c) of the maieutic method, the ‘unmistakable hypothetical elements’ and the </w:t>
      </w:r>
      <w:proofErr w:type="spellStart"/>
      <w:r>
        <w:rPr>
          <w:i/>
          <w:iCs/>
        </w:rPr>
        <w:t>Gesetzeshypothese</w:t>
      </w:r>
      <w:proofErr w:type="spellEnd"/>
      <w:r>
        <w:t xml:space="preserve"> comparison are quoted in full. The volume’s vocabulary of falsification stands at MCCA 54, where ‘normative statements cannot be verified or falsified’ is said of normative statements generally. A claim which must be checked against individual cases is falsifiable in the ordinary sense, and the historical component of the thesis needs only that.</w:t>
      </w:r>
    </w:p>
  </w:footnote>
  <w:footnote w:id="118">
    <w:p w14:paraId="44001A9B" w14:textId="77777777" w:rsidR="0095720F" w:rsidRDefault="00000000">
      <w:pPr>
        <w:pStyle w:val="FootnoteText"/>
      </w:pPr>
      <w:r>
        <w:rPr>
          <w:rStyle w:val="FootnoteReference"/>
        </w:rPr>
        <w:footnoteRef/>
      </w:r>
      <w:r>
        <w:t xml:space="preserve"> SE2 88, all three elements quoted directly, in the essay cited at C3. Apel names Stegmüller and Popper as exponents of the </w:t>
      </w:r>
      <w:proofErr w:type="spellStart"/>
      <w:r>
        <w:t>decisionist</w:t>
      </w:r>
      <w:proofErr w:type="spellEnd"/>
      <w:r>
        <w:t xml:space="preserve"> solution and refers it to Albert’s trilemma. The ethical-political variant, in which the existentialist situational ethics of the young Sartre and the political decisionism of Carl Schmitt are said to follow ‘the </w:t>
      </w:r>
      <w:r>
        <w:rPr>
          <w:i/>
          <w:iCs/>
        </w:rPr>
        <w:t>logic of the alternative between objective-science and subjective value-decision</w:t>
      </w:r>
      <w:r>
        <w:t xml:space="preserve">’, stands at TTP 237, in the main clauses of two consecutive sentences and with the operative phrase </w:t>
      </w:r>
      <w:proofErr w:type="spellStart"/>
      <w:r>
        <w:t>italicised</w:t>
      </w:r>
      <w:proofErr w:type="spellEnd"/>
      <w:r>
        <w:t>. The attributions there retained are Apel’s and are not endorsed here.</w:t>
      </w:r>
    </w:p>
  </w:footnote>
  <w:footnote w:id="119">
    <w:p w14:paraId="53099788" w14:textId="77777777" w:rsidR="0095720F" w:rsidRDefault="00000000">
      <w:pPr>
        <w:pStyle w:val="FootnoteText"/>
      </w:pPr>
      <w:r>
        <w:rPr>
          <w:rStyle w:val="FootnoteReference"/>
        </w:rPr>
        <w:footnoteRef/>
      </w:r>
      <w:r>
        <w:t xml:space="preserve"> MCCA 99–101 and SE2 94, quoted at Chapter One §1.5.3, where the dropout is examined. The reading that the two replies divide over scope and not over the existence of an exit is the one proposed.</w:t>
      </w:r>
    </w:p>
  </w:footnote>
  <w:footnote w:id="120">
    <w:p w14:paraId="32071379" w14:textId="77777777" w:rsidR="0095720F" w:rsidRDefault="00000000">
      <w:pPr>
        <w:pStyle w:val="FootnoteText"/>
      </w:pPr>
      <w:r>
        <w:rPr>
          <w:rStyle w:val="FootnoteReference"/>
        </w:rPr>
        <w:footnoteRef/>
      </w:r>
      <w:r>
        <w:t xml:space="preserve"> Derrida, ‘Force of Law: The “Mystical Foundation of Authority”’, trans. Mary Quaintance, in Drucilla Cornell, Michel Rosenfeld and David Gray Carlson (eds), </w:t>
      </w:r>
      <w:r>
        <w:rPr>
          <w:i/>
          <w:iCs/>
        </w:rPr>
        <w:t>Deconstruction and the Possibility of Justice</w:t>
      </w:r>
      <w:r>
        <w:t xml:space="preserve"> (New York: Routledge, 1992), 3–67, at 13 for the performative force, the coup de force and the sentence on metalanguage, and at 14 for the violence without ground, the opposition exceeded, and the limit which reappears at the supposed origin of the conditions, rules or conventions invoked.</w:t>
      </w:r>
    </w:p>
  </w:footnote>
  <w:footnote w:id="121">
    <w:p w14:paraId="5482E558" w14:textId="77777777" w:rsidR="0095720F" w:rsidRDefault="00000000">
      <w:pPr>
        <w:pStyle w:val="FootnoteText"/>
      </w:pPr>
      <w:r>
        <w:rPr>
          <w:rStyle w:val="FootnoteReference"/>
        </w:rPr>
        <w:footnoteRef/>
      </w:r>
      <w:r>
        <w:t xml:space="preserve"> ‘Force of Law’, 15 for ‘It is possible as an experience of the impossible’, said of deconstruction, and 16 for ‘Justice is an experience of the impossible’ and for the moments quoted in the body. The two claims, that the exhibition asserts no metalanguage and that the mystical limit locates the legitimacy question, are claims of the body; the distinction between a limit of justice and a limit of grounding is drawn at §2.3.4.</w:t>
      </w:r>
    </w:p>
  </w:footnote>
  <w:footnote w:id="122">
    <w:p w14:paraId="3CA53962" w14:textId="77777777" w:rsidR="0095720F" w:rsidRDefault="00000000">
      <w:pPr>
        <w:pStyle w:val="FootnoteText"/>
      </w:pPr>
      <w:r>
        <w:rPr>
          <w:rStyle w:val="FootnoteReference"/>
        </w:rPr>
        <w:footnoteRef/>
      </w:r>
      <w:r>
        <w:t xml:space="preserve"> FTSPV 176, quoted at C1, where Apel objects that an empirical test of the presuppositions of argumentation could not be understood without their validity being already presupposed. The charge is entered here as the target of the first circularity.</w:t>
      </w:r>
    </w:p>
  </w:footnote>
  <w:footnote w:id="123">
    <w:p w14:paraId="29974B54" w14:textId="77777777" w:rsidR="0095720F" w:rsidRDefault="00000000">
      <w:pPr>
        <w:pStyle w:val="FootnoteText"/>
      </w:pPr>
      <w:r>
        <w:rPr>
          <w:rStyle w:val="FootnoteReference"/>
        </w:rPr>
        <w:footnoteRef/>
      </w:r>
      <w:r>
        <w:t xml:space="preserve"> Albrecht Wellmer, </w:t>
      </w:r>
      <w:proofErr w:type="spellStart"/>
      <w:r>
        <w:rPr>
          <w:i/>
          <w:iCs/>
        </w:rPr>
        <w:t>Ethik</w:t>
      </w:r>
      <w:proofErr w:type="spellEnd"/>
      <w:r>
        <w:rPr>
          <w:i/>
          <w:iCs/>
        </w:rPr>
        <w:t xml:space="preserve"> und Dialog</w:t>
      </w:r>
      <w:r>
        <w:t xml:space="preserve"> (Frankfurt am Main: </w:t>
      </w:r>
      <w:proofErr w:type="spellStart"/>
      <w:r>
        <w:t>Suhrkamp</w:t>
      </w:r>
      <w:proofErr w:type="spellEnd"/>
      <w:r>
        <w:t xml:space="preserve">, 1986), 102, reported in indirect discourse; in David Midgley’s translation, ‘Ethics and Dialogue’, in </w:t>
      </w:r>
      <w:r>
        <w:rPr>
          <w:i/>
          <w:iCs/>
        </w:rPr>
        <w:t>The Persistence of Modernity</w:t>
      </w:r>
      <w:r>
        <w:t xml:space="preserve">, trans. David Midgley (Cambridge: Polity, 1991), 113–231, §II, ‘A Critique of Discourse Ethics’. The </w:t>
      </w:r>
      <w:proofErr w:type="spellStart"/>
      <w:r>
        <w:t>generalisation</w:t>
      </w:r>
      <w:proofErr w:type="spellEnd"/>
      <w:r>
        <w:t xml:space="preserve"> to any justification which presupposes its own result is the chapter’s; the charge in the form directed at the discourse principle is examined in Chapter Four.</w:t>
      </w:r>
    </w:p>
  </w:footnote>
  <w:footnote w:id="124">
    <w:p w14:paraId="2C31B07B" w14:textId="77777777" w:rsidR="0095720F" w:rsidRDefault="00000000">
      <w:pPr>
        <w:pStyle w:val="FootnoteText"/>
      </w:pPr>
      <w:r>
        <w:rPr>
          <w:rStyle w:val="FootnoteReference"/>
        </w:rPr>
        <w:footnoteRef/>
      </w:r>
      <w:r>
        <w:t xml:space="preserve"> Aristotle, </w:t>
      </w:r>
      <w:r>
        <w:rPr>
          <w:i/>
          <w:iCs/>
        </w:rPr>
        <w:t>Metaphysics</w:t>
      </w:r>
      <w:r>
        <w:t xml:space="preserve"> Β.1, 995a27–33, in W. D. Ross’s translation as revised in </w:t>
      </w:r>
      <w:r>
        <w:rPr>
          <w:i/>
          <w:iCs/>
        </w:rPr>
        <w:t>The Complete Works of Aristotle: The Revised Oxford Translation</w:t>
      </w:r>
      <w:r>
        <w:t xml:space="preserve">, ed. Jonathan Barnes (Princeton: Princeton University Press, 1984), vol. 2, 1572, reported in indirect discourse; the passage is quoted at Chapter Three §3.3.1. Derrida, </w:t>
      </w:r>
      <w:r>
        <w:rPr>
          <w:i/>
          <w:iCs/>
        </w:rPr>
        <w:t>Aporias</w:t>
      </w:r>
      <w:r>
        <w:t xml:space="preserve">, trans. Thomas Dutoit (Stanford: Stanford University Press, 1993), 12 for the </w:t>
      </w:r>
      <w:proofErr w:type="spellStart"/>
      <w:r>
        <w:t>nonpassage</w:t>
      </w:r>
      <w:proofErr w:type="spellEnd"/>
      <w:r>
        <w:t xml:space="preserve">, 13 for the word’s appearance in </w:t>
      </w:r>
      <w:r>
        <w:rPr>
          <w:i/>
          <w:iCs/>
        </w:rPr>
        <w:t>Physics</w:t>
      </w:r>
      <w:r>
        <w:t xml:space="preserve"> IV, 16 for the three negations and ‘an interminable experience’, 20–21 for the plural logic. That the aporia of §2.3.4 is neither the Aristotelian nor the Derridean, and the two criteria offered for that, are claims of the body.</w:t>
      </w:r>
    </w:p>
  </w:footnote>
  <w:footnote w:id="125">
    <w:p w14:paraId="094C25CB" w14:textId="77777777" w:rsidR="0095720F" w:rsidRDefault="00000000">
      <w:pPr>
        <w:pStyle w:val="FootnoteText"/>
      </w:pPr>
      <w:r>
        <w:rPr>
          <w:rStyle w:val="FootnoteReference"/>
        </w:rPr>
        <w:footnoteRef/>
      </w:r>
      <w:r>
        <w:t xml:space="preserve"> </w:t>
      </w:r>
      <w:r>
        <w:rPr>
          <w:i/>
          <w:iCs/>
        </w:rPr>
        <w:t>Aporias</w:t>
      </w:r>
      <w:r>
        <w:t>, 15, for iterability as the conditions of possibility as conditions of impossibility, in the words the body quotes, ‘which recurs almost everywhere, in particular in “Signature Event Context” (</w:t>
      </w:r>
      <w:r>
        <w:rPr>
          <w:i/>
          <w:iCs/>
        </w:rPr>
        <w:t>Margins</w:t>
      </w:r>
      <w:r>
        <w:t xml:space="preserve">) and in </w:t>
      </w:r>
      <w:r>
        <w:rPr>
          <w:i/>
          <w:iCs/>
        </w:rPr>
        <w:t>Limited Inc.</w:t>
      </w:r>
      <w:r>
        <w:t>’; 16 for ‘a sort of nonpassive endurance of the aporia was the condition of responsibility and of decision’. The application of the gloss to the orientation to truth is made in the body.</w:t>
      </w:r>
    </w:p>
  </w:footnote>
  <w:footnote w:id="126">
    <w:p w14:paraId="49529EAF" w14:textId="77777777" w:rsidR="0095720F" w:rsidRDefault="00000000">
      <w:pPr>
        <w:pStyle w:val="FootnoteText"/>
      </w:pPr>
      <w:r>
        <w:rPr>
          <w:rStyle w:val="FootnoteReference"/>
        </w:rPr>
        <w:footnoteRef/>
      </w:r>
      <w:r>
        <w:t xml:space="preserve"> Steven Levine, ‘Habermas, Kantian Pragmatism, and Truth’, </w:t>
      </w:r>
      <w:r>
        <w:rPr>
          <w:i/>
          <w:iCs/>
        </w:rPr>
        <w:t>Philosophy and Social Criticism</w:t>
      </w:r>
      <w:r>
        <w:t xml:space="preserve"> 36/6 (2010), 677–95, which argues that the mature conception of objectivity is inconsistent with the pragmatic transformation the </w:t>
      </w:r>
      <w:proofErr w:type="spellStart"/>
      <w:r>
        <w:t>programme</w:t>
      </w:r>
      <w:proofErr w:type="spellEnd"/>
      <w:r>
        <w:t xml:space="preserve"> elsewhere carries through. The convergence corroborates and carries nothing, the route taken here running through the three commitments and the asymmetry. Nor is it unanimous: Axel Seemann, ‘Lifeworld, Discourse and Realism: On Habermas’s </w:t>
      </w:r>
      <w:r>
        <w:rPr>
          <w:i/>
          <w:iCs/>
        </w:rPr>
        <w:t>Truth and Justification</w:t>
      </w:r>
      <w:r>
        <w:t xml:space="preserve">’, </w:t>
      </w:r>
      <w:r>
        <w:rPr>
          <w:i/>
          <w:iCs/>
        </w:rPr>
        <w:t>Philosophy and Social Criticism</w:t>
      </w:r>
      <w:r>
        <w:t xml:space="preserve"> 30/4 (2004), 503–14, takes the mature position in a different direction.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BEE3A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599925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720F"/>
    <w:rsid w:val="00356D22"/>
    <w:rsid w:val="007E1873"/>
    <w:rsid w:val="0095720F"/>
    <w:rsid w:val="00A30F5D"/>
    <w:rsid w:val="00B27488"/>
    <w:rsid w:val="00C77C06"/>
    <w:rsid w:val="00D36BE1"/>
    <w:rsid w:val="00DC659E"/>
    <w:rsid w:val="00EC3D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565EA"/>
  <w15:docId w15:val="{FC6C7E61-CBF1-D74A-81D5-95D4323A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eastAsia="Garamond" w:hAnsi="Garamond" w:cs="Garamond"/>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Cs/>
      <w:smallCap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Cs/>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36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Garamond" w:eastAsia="Garamond" w:hAnsi="Garamond" w:cs="Garamond"/>
    </w:rPr>
  </w:style>
  <w:style w:type="character" w:customStyle="1" w:styleId="VerbatimChar">
    <w:name w:val="Verbatim Char"/>
    <w:basedOn w:val="CaptionChar"/>
    <w:link w:val="SourceCode"/>
    <w:rPr>
      <w:rFonts w:ascii="Garamond" w:eastAsia="Garamond" w:hAnsi="Garamond" w:cs="Garamond"/>
      <w:sz w:val="22"/>
    </w:rPr>
  </w:style>
  <w:style w:type="character" w:customStyle="1" w:styleId="SectionNumber">
    <w:name w:val="Section Number"/>
    <w:basedOn w:val="CaptionChar"/>
    <w:rPr>
      <w:rFonts w:ascii="Garamond" w:eastAsia="Garamond" w:hAnsi="Garamond" w:cs="Garamond"/>
    </w:rPr>
  </w:style>
  <w:style w:type="character" w:styleId="FootnoteReference">
    <w:name w:val="footnote reference"/>
    <w:basedOn w:val="CaptionChar"/>
    <w:rPr>
      <w:rFonts w:ascii="Garamond" w:eastAsia="Garamond" w:hAnsi="Garamond" w:cs="Garamond"/>
      <w:vertAlign w:val="superscript"/>
    </w:rPr>
  </w:style>
  <w:style w:type="character" w:styleId="Hyperlink">
    <w:name w:val="Hyperlink"/>
    <w:basedOn w:val="CaptionChar"/>
    <w:rPr>
      <w:rFonts w:ascii="Garamond" w:eastAsia="Garamond" w:hAnsi="Garamond" w:cs="Garamond"/>
      <w:color w:val="4F81BD" w:themeColor="accent1"/>
    </w:rPr>
  </w:style>
  <w:style w:type="paragraph" w:styleId="TOCHeading">
    <w:name w:val="TOC Heading"/>
    <w:basedOn w:val="Heading1"/>
    <w:next w:val="BodyText"/>
    <w:uiPriority w:val="39"/>
    <w:unhideWhenUsed/>
    <w:qFormat/>
    <w:pPr>
      <w:spacing w:before="240" w:line="259" w:lineRule="auto"/>
      <w:outlineLvl w:val="9"/>
    </w:pPr>
    <w:rPr>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Garamond" w:eastAsia="Garamond" w:hAnsi="Garamond" w:cs="Garamond"/>
      <w:b/>
      <w:color w:val="007020"/>
      <w:sz w:val="22"/>
    </w:rPr>
  </w:style>
  <w:style w:type="character" w:customStyle="1" w:styleId="DataTypeTok">
    <w:name w:val="DataTypeTok"/>
    <w:basedOn w:val="VerbatimChar"/>
    <w:rPr>
      <w:rFonts w:ascii="Garamond" w:eastAsia="Garamond" w:hAnsi="Garamond" w:cs="Garamond"/>
      <w:color w:val="902000"/>
      <w:sz w:val="22"/>
    </w:rPr>
  </w:style>
  <w:style w:type="character" w:customStyle="1" w:styleId="DecValTok">
    <w:name w:val="DecValTok"/>
    <w:basedOn w:val="VerbatimChar"/>
    <w:rPr>
      <w:rFonts w:ascii="Garamond" w:eastAsia="Garamond" w:hAnsi="Garamond" w:cs="Garamond"/>
      <w:color w:val="40A070"/>
      <w:sz w:val="22"/>
    </w:rPr>
  </w:style>
  <w:style w:type="character" w:customStyle="1" w:styleId="BaseNTok">
    <w:name w:val="BaseNTok"/>
    <w:basedOn w:val="VerbatimChar"/>
    <w:rPr>
      <w:rFonts w:ascii="Garamond" w:eastAsia="Garamond" w:hAnsi="Garamond" w:cs="Garamond"/>
      <w:color w:val="40A070"/>
      <w:sz w:val="22"/>
    </w:rPr>
  </w:style>
  <w:style w:type="character" w:customStyle="1" w:styleId="FloatTok">
    <w:name w:val="FloatTok"/>
    <w:basedOn w:val="VerbatimChar"/>
    <w:rPr>
      <w:rFonts w:ascii="Garamond" w:eastAsia="Garamond" w:hAnsi="Garamond" w:cs="Garamond"/>
      <w:color w:val="40A070"/>
      <w:sz w:val="22"/>
    </w:rPr>
  </w:style>
  <w:style w:type="character" w:customStyle="1" w:styleId="ConstantTok">
    <w:name w:val="ConstantTok"/>
    <w:basedOn w:val="VerbatimChar"/>
    <w:rPr>
      <w:rFonts w:ascii="Garamond" w:eastAsia="Garamond" w:hAnsi="Garamond" w:cs="Garamond"/>
      <w:color w:val="880000"/>
      <w:sz w:val="22"/>
    </w:rPr>
  </w:style>
  <w:style w:type="character" w:customStyle="1" w:styleId="CharTok">
    <w:name w:val="CharTok"/>
    <w:basedOn w:val="VerbatimChar"/>
    <w:rPr>
      <w:rFonts w:ascii="Garamond" w:eastAsia="Garamond" w:hAnsi="Garamond" w:cs="Garamond"/>
      <w:color w:val="4070A0"/>
      <w:sz w:val="22"/>
    </w:rPr>
  </w:style>
  <w:style w:type="character" w:customStyle="1" w:styleId="SpecialCharTok">
    <w:name w:val="SpecialCharTok"/>
    <w:basedOn w:val="VerbatimChar"/>
    <w:rPr>
      <w:rFonts w:ascii="Garamond" w:eastAsia="Garamond" w:hAnsi="Garamond" w:cs="Garamond"/>
      <w:color w:val="4070A0"/>
      <w:sz w:val="22"/>
    </w:rPr>
  </w:style>
  <w:style w:type="character" w:customStyle="1" w:styleId="StringTok">
    <w:name w:val="StringTok"/>
    <w:basedOn w:val="VerbatimChar"/>
    <w:rPr>
      <w:rFonts w:ascii="Garamond" w:eastAsia="Garamond" w:hAnsi="Garamond" w:cs="Garamond"/>
      <w:color w:val="4070A0"/>
      <w:sz w:val="22"/>
    </w:rPr>
  </w:style>
  <w:style w:type="character" w:customStyle="1" w:styleId="VerbatimStringTok">
    <w:name w:val="VerbatimStringTok"/>
    <w:basedOn w:val="VerbatimChar"/>
    <w:rPr>
      <w:rFonts w:ascii="Garamond" w:eastAsia="Garamond" w:hAnsi="Garamond" w:cs="Garamond"/>
      <w:color w:val="4070A0"/>
      <w:sz w:val="22"/>
    </w:rPr>
  </w:style>
  <w:style w:type="character" w:customStyle="1" w:styleId="SpecialStringTok">
    <w:name w:val="SpecialStringTok"/>
    <w:basedOn w:val="VerbatimChar"/>
    <w:rPr>
      <w:rFonts w:ascii="Garamond" w:eastAsia="Garamond" w:hAnsi="Garamond" w:cs="Garamond"/>
      <w:color w:val="BB6688"/>
      <w:sz w:val="22"/>
    </w:rPr>
  </w:style>
  <w:style w:type="character" w:customStyle="1" w:styleId="ImportTok">
    <w:name w:val="ImportTok"/>
    <w:basedOn w:val="VerbatimChar"/>
    <w:rPr>
      <w:rFonts w:ascii="Garamond" w:eastAsia="Garamond" w:hAnsi="Garamond" w:cs="Garamond"/>
      <w:b/>
      <w:color w:val="008000"/>
      <w:sz w:val="22"/>
    </w:rPr>
  </w:style>
  <w:style w:type="character" w:customStyle="1" w:styleId="CommentTok">
    <w:name w:val="CommentTok"/>
    <w:basedOn w:val="VerbatimChar"/>
    <w:rPr>
      <w:rFonts w:ascii="Garamond" w:eastAsia="Garamond" w:hAnsi="Garamond" w:cs="Garamond"/>
      <w:i/>
      <w:color w:val="60A0B0"/>
      <w:sz w:val="22"/>
    </w:rPr>
  </w:style>
  <w:style w:type="character" w:customStyle="1" w:styleId="DocumentationTok">
    <w:name w:val="DocumentationTok"/>
    <w:basedOn w:val="VerbatimChar"/>
    <w:rPr>
      <w:rFonts w:ascii="Garamond" w:eastAsia="Garamond" w:hAnsi="Garamond" w:cs="Garamond"/>
      <w:i/>
      <w:color w:val="BA2121"/>
      <w:sz w:val="22"/>
    </w:rPr>
  </w:style>
  <w:style w:type="character" w:customStyle="1" w:styleId="AnnotationTok">
    <w:name w:val="AnnotationTok"/>
    <w:basedOn w:val="VerbatimChar"/>
    <w:rPr>
      <w:rFonts w:ascii="Garamond" w:eastAsia="Garamond" w:hAnsi="Garamond" w:cs="Garamond"/>
      <w:b/>
      <w:i/>
      <w:color w:val="60A0B0"/>
      <w:sz w:val="22"/>
    </w:rPr>
  </w:style>
  <w:style w:type="character" w:customStyle="1" w:styleId="CommentVarTok">
    <w:name w:val="CommentVarTok"/>
    <w:basedOn w:val="VerbatimChar"/>
    <w:rPr>
      <w:rFonts w:ascii="Garamond" w:eastAsia="Garamond" w:hAnsi="Garamond" w:cs="Garamond"/>
      <w:b/>
      <w:i/>
      <w:color w:val="60A0B0"/>
      <w:sz w:val="22"/>
    </w:rPr>
  </w:style>
  <w:style w:type="character" w:customStyle="1" w:styleId="OtherTok">
    <w:name w:val="OtherTok"/>
    <w:basedOn w:val="VerbatimChar"/>
    <w:rPr>
      <w:rFonts w:ascii="Garamond" w:eastAsia="Garamond" w:hAnsi="Garamond" w:cs="Garamond"/>
      <w:color w:val="007020"/>
      <w:sz w:val="22"/>
    </w:rPr>
  </w:style>
  <w:style w:type="character" w:customStyle="1" w:styleId="FunctionTok">
    <w:name w:val="FunctionTok"/>
    <w:basedOn w:val="VerbatimChar"/>
    <w:rPr>
      <w:rFonts w:ascii="Garamond" w:eastAsia="Garamond" w:hAnsi="Garamond" w:cs="Garamond"/>
      <w:color w:val="06287E"/>
      <w:sz w:val="22"/>
    </w:rPr>
  </w:style>
  <w:style w:type="character" w:customStyle="1" w:styleId="VariableTok">
    <w:name w:val="VariableTok"/>
    <w:basedOn w:val="VerbatimChar"/>
    <w:rPr>
      <w:rFonts w:ascii="Garamond" w:eastAsia="Garamond" w:hAnsi="Garamond" w:cs="Garamond"/>
      <w:color w:val="19177C"/>
      <w:sz w:val="22"/>
    </w:rPr>
  </w:style>
  <w:style w:type="character" w:customStyle="1" w:styleId="ControlFlowTok">
    <w:name w:val="ControlFlowTok"/>
    <w:basedOn w:val="VerbatimChar"/>
    <w:rPr>
      <w:rFonts w:ascii="Garamond" w:eastAsia="Garamond" w:hAnsi="Garamond" w:cs="Garamond"/>
      <w:b/>
      <w:color w:val="007020"/>
      <w:sz w:val="22"/>
    </w:rPr>
  </w:style>
  <w:style w:type="character" w:customStyle="1" w:styleId="OperatorTok">
    <w:name w:val="OperatorTok"/>
    <w:basedOn w:val="VerbatimChar"/>
    <w:rPr>
      <w:rFonts w:ascii="Garamond" w:eastAsia="Garamond" w:hAnsi="Garamond" w:cs="Garamond"/>
      <w:color w:val="666666"/>
      <w:sz w:val="22"/>
    </w:rPr>
  </w:style>
  <w:style w:type="character" w:customStyle="1" w:styleId="BuiltInTok">
    <w:name w:val="BuiltInTok"/>
    <w:basedOn w:val="VerbatimChar"/>
    <w:rPr>
      <w:rFonts w:ascii="Garamond" w:eastAsia="Garamond" w:hAnsi="Garamond" w:cs="Garamond"/>
      <w:color w:val="008000"/>
      <w:sz w:val="22"/>
    </w:rPr>
  </w:style>
  <w:style w:type="character" w:customStyle="1" w:styleId="ExtensionTok">
    <w:name w:val="ExtensionTok"/>
    <w:basedOn w:val="VerbatimChar"/>
    <w:rPr>
      <w:rFonts w:ascii="Garamond" w:eastAsia="Garamond" w:hAnsi="Garamond" w:cs="Garamond"/>
      <w:sz w:val="22"/>
    </w:rPr>
  </w:style>
  <w:style w:type="character" w:customStyle="1" w:styleId="PreprocessorTok">
    <w:name w:val="PreprocessorTok"/>
    <w:basedOn w:val="VerbatimChar"/>
    <w:rPr>
      <w:rFonts w:ascii="Garamond" w:eastAsia="Garamond" w:hAnsi="Garamond" w:cs="Garamond"/>
      <w:color w:val="BC7A00"/>
      <w:sz w:val="22"/>
    </w:rPr>
  </w:style>
  <w:style w:type="character" w:customStyle="1" w:styleId="AttributeTok">
    <w:name w:val="AttributeTok"/>
    <w:basedOn w:val="VerbatimChar"/>
    <w:rPr>
      <w:rFonts w:ascii="Garamond" w:eastAsia="Garamond" w:hAnsi="Garamond" w:cs="Garamond"/>
      <w:color w:val="7D9029"/>
      <w:sz w:val="22"/>
    </w:rPr>
  </w:style>
  <w:style w:type="character" w:customStyle="1" w:styleId="RegionMarkerTok">
    <w:name w:val="RegionMarkerTok"/>
    <w:basedOn w:val="VerbatimChar"/>
    <w:rPr>
      <w:rFonts w:ascii="Garamond" w:eastAsia="Garamond" w:hAnsi="Garamond" w:cs="Garamond"/>
      <w:sz w:val="22"/>
    </w:rPr>
  </w:style>
  <w:style w:type="character" w:customStyle="1" w:styleId="InformationTok">
    <w:name w:val="InformationTok"/>
    <w:basedOn w:val="VerbatimChar"/>
    <w:rPr>
      <w:rFonts w:ascii="Garamond" w:eastAsia="Garamond" w:hAnsi="Garamond" w:cs="Garamond"/>
      <w:b/>
      <w:i/>
      <w:color w:val="60A0B0"/>
      <w:sz w:val="22"/>
    </w:rPr>
  </w:style>
  <w:style w:type="character" w:customStyle="1" w:styleId="WarningTok">
    <w:name w:val="WarningTok"/>
    <w:basedOn w:val="VerbatimChar"/>
    <w:rPr>
      <w:rFonts w:ascii="Garamond" w:eastAsia="Garamond" w:hAnsi="Garamond" w:cs="Garamond"/>
      <w:b/>
      <w:i/>
      <w:color w:val="60A0B0"/>
      <w:sz w:val="22"/>
    </w:rPr>
  </w:style>
  <w:style w:type="character" w:customStyle="1" w:styleId="AlertTok">
    <w:name w:val="AlertTok"/>
    <w:basedOn w:val="VerbatimChar"/>
    <w:rPr>
      <w:rFonts w:ascii="Garamond" w:eastAsia="Garamond" w:hAnsi="Garamond" w:cs="Garamond"/>
      <w:b/>
      <w:color w:val="FF0000"/>
      <w:sz w:val="22"/>
    </w:rPr>
  </w:style>
  <w:style w:type="character" w:customStyle="1" w:styleId="ErrorTok">
    <w:name w:val="ErrorTok"/>
    <w:basedOn w:val="VerbatimChar"/>
    <w:rPr>
      <w:rFonts w:ascii="Garamond" w:eastAsia="Garamond" w:hAnsi="Garamond" w:cs="Garamond"/>
      <w:b/>
      <w:color w:val="FF0000"/>
      <w:sz w:val="22"/>
    </w:rPr>
  </w:style>
  <w:style w:type="character" w:customStyle="1" w:styleId="NormalTok">
    <w:name w:val="NormalTok"/>
    <w:basedOn w:val="VerbatimChar"/>
    <w:rPr>
      <w:rFonts w:ascii="Garamond" w:eastAsia="Garamond" w:hAnsi="Garamond" w:cs="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26350</Words>
  <Characters>141502</Characters>
  <Application>Microsoft Office Word</Application>
  <DocSecurity>0</DocSecurity>
  <Lines>1791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Pio De Mattia</cp:lastModifiedBy>
  <cp:revision>4</cp:revision>
  <dcterms:created xsi:type="dcterms:W3CDTF">2026-09-26T21:19:00Z</dcterms:created>
  <dcterms:modified xsi:type="dcterms:W3CDTF">2026-09-28T13:10:00Z</dcterms:modified>
</cp:coreProperties>
</file>