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A3C8" w14:textId="298A303A" w:rsidR="00650093" w:rsidRDefault="00650093" w:rsidP="00650093">
      <w:r>
        <w:t>&lt;paperaj-title&gt;</w:t>
      </w:r>
    </w:p>
    <w:p w14:paraId="05BC0739" w14:textId="15157AD9" w:rsidR="00650093" w:rsidRDefault="00650093" w:rsidP="00650093">
      <w:pPr>
        <w:pStyle w:val="ArticleTitle"/>
        <w:jc w:val="center"/>
      </w:pPr>
      <w:r>
        <w:t>Computational Triangulation for Mixed-Methods Research: A Demonstration Study</w:t>
      </w:r>
    </w:p>
    <w:p w14:paraId="76A23090" w14:textId="472DF920" w:rsidR="00650093" w:rsidRDefault="00650093" w:rsidP="00650093">
      <w:r>
        <w:t>&lt;/paperaj-title&gt;</w:t>
      </w:r>
    </w:p>
    <w:p w14:paraId="49BB215B" w14:textId="08CC66AB" w:rsidR="00650093" w:rsidRDefault="00650093" w:rsidP="00650093">
      <w:r>
        <w:t>&lt;paperaj-authors&gt;</w:t>
      </w:r>
    </w:p>
    <w:p w14:paraId="143E330C" w14:textId="77777777" w:rsidR="00650093" w:rsidRDefault="00650093" w:rsidP="00650093">
      <w:pPr>
        <w:pStyle w:val="ArticleTitle"/>
      </w:pPr>
    </w:p>
    <w:p w14:paraId="196DD014" w14:textId="780C540B" w:rsidR="00650093" w:rsidRDefault="00650093" w:rsidP="00650093">
      <w:pPr>
        <w:pStyle w:val="AuthorLine"/>
        <w:jc w:val="center"/>
      </w:pPr>
      <w:r>
        <w:t>Bell Eapen1*, Jane Q. Researcher2, Arun K. Data3</w:t>
      </w:r>
    </w:p>
    <w:p w14:paraId="24D455DA" w14:textId="77777777" w:rsidR="00650093" w:rsidRDefault="00650093" w:rsidP="00650093">
      <w:pPr>
        <w:pStyle w:val="AuthorLine"/>
        <w:jc w:val="center"/>
      </w:pPr>
      <w:r>
        <w:t>1 Institute of Health Informatics, 2 School of Social Sciences, 3 Center for Data Science</w:t>
      </w:r>
    </w:p>
    <w:p w14:paraId="00EE43B9" w14:textId="3EB0861A" w:rsidR="00650093" w:rsidRDefault="00650093" w:rsidP="00650093">
      <w:pPr>
        <w:pStyle w:val="AuthorLine"/>
        <w:jc w:val="center"/>
      </w:pPr>
      <w:r>
        <w:t>Corresponding author: bell@example.edu</w:t>
      </w:r>
    </w:p>
    <w:p w14:paraId="5C32E2B3" w14:textId="272FCA77" w:rsidR="00650093" w:rsidRDefault="00650093" w:rsidP="00650093">
      <w:r>
        <w:t>&lt;/paperaj-authors&gt;</w:t>
      </w:r>
    </w:p>
    <w:p w14:paraId="093344BE" w14:textId="77777777" w:rsidR="00650093" w:rsidRDefault="00650093" w:rsidP="00650093">
      <w:pPr>
        <w:pStyle w:val="AuthorLine"/>
        <w:jc w:val="center"/>
      </w:pPr>
    </w:p>
    <w:p w14:paraId="42FF71EE" w14:textId="17C75952" w:rsidR="00650093" w:rsidRDefault="00650093" w:rsidP="00650093">
      <w:r>
        <w:t>&lt;paperaj-abstract&gt;</w:t>
      </w:r>
    </w:p>
    <w:p w14:paraId="4FA8B42C" w14:textId="77777777" w:rsidR="00650093" w:rsidRDefault="00650093" w:rsidP="00650093">
      <w:pPr>
        <w:pStyle w:val="Heading1"/>
      </w:pPr>
      <w:r>
        <w:t>Abstract</w:t>
      </w:r>
    </w:p>
    <w:p w14:paraId="1614DD05" w14:textId="77777777" w:rsidR="00650093" w:rsidRDefault="00650093" w:rsidP="00650093">
      <w:r>
        <w:t>Objective: To illustrate a reproducible workflow that integrates qualitative and quantitative data using computational triangulation. Methods: We developed a synthetic dataset combining survey responses (n=240) and interview excerpts (n=30). We applied topic modeling, sentiment analysis, and thematic coding, then triangulated findings via concordance indices. Results: Topic prevalence correlated with quantitative scale scores (r=0.42), and cross-modal agreement reached 78% across three thematic domains. Conclusions: The workflow enhances validity in mixed-methods studies and can be operationalized with open-source tools. The protocol and templates are shared for reuse.</w:t>
      </w:r>
    </w:p>
    <w:p w14:paraId="42A1B673" w14:textId="7063D8A0" w:rsidR="00650093" w:rsidRDefault="00650093" w:rsidP="00650093">
      <w:r>
        <w:t>&lt;/paperaj-abstract&gt;</w:t>
      </w:r>
    </w:p>
    <w:p w14:paraId="6B3746BD" w14:textId="77777777" w:rsidR="00650093" w:rsidRDefault="00650093" w:rsidP="00650093"/>
    <w:p w14:paraId="417A6331" w14:textId="079FE5AA" w:rsidR="00650093" w:rsidRDefault="00650093" w:rsidP="00650093">
      <w:r>
        <w:t>&lt;paperaj-keywords&gt;</w:t>
      </w:r>
    </w:p>
    <w:p w14:paraId="396FD060" w14:textId="77777777" w:rsidR="00650093" w:rsidRDefault="00650093" w:rsidP="00650093">
      <w:pPr>
        <w:pStyle w:val="Heading1"/>
      </w:pPr>
      <w:r>
        <w:t>Keywords</w:t>
      </w:r>
    </w:p>
    <w:p w14:paraId="1199B843" w14:textId="77777777" w:rsidR="00650093" w:rsidRDefault="00650093" w:rsidP="00650093">
      <w:r>
        <w:t>mixed methods; computational triangulation; qualitative analysis; topic modeling; sentiment analysis</w:t>
      </w:r>
    </w:p>
    <w:p w14:paraId="2009C113" w14:textId="1E29EA58" w:rsidR="00650093" w:rsidRDefault="00650093" w:rsidP="00650093">
      <w:r>
        <w:lastRenderedPageBreak/>
        <w:t>&lt;/paperaj-keywords&gt;</w:t>
      </w:r>
    </w:p>
    <w:p w14:paraId="04B14752" w14:textId="77777777" w:rsidR="00650093" w:rsidRDefault="00650093" w:rsidP="00650093"/>
    <w:p w14:paraId="02945012" w14:textId="36F9BC6D" w:rsidR="00650093" w:rsidRDefault="00650093" w:rsidP="00650093">
      <w:r>
        <w:t>&lt;paperaj-introduction&gt;</w:t>
      </w:r>
    </w:p>
    <w:p w14:paraId="513E9D75" w14:textId="1F45C40B" w:rsidR="00650093" w:rsidRDefault="00650093" w:rsidP="00650093">
      <w:pPr>
        <w:pStyle w:val="Heading1"/>
      </w:pPr>
      <w:r>
        <w:t>Introduction</w:t>
      </w:r>
    </w:p>
    <w:p w14:paraId="3A64D9BF" w14:textId="52C6FD8C" w:rsidR="00650093" w:rsidRDefault="00650093" w:rsidP="00650093">
      <w:r>
        <w:t>Mixed-methods research combines qualitative depth with quantitative breadth. Yet, integrating modalities often lacks transparency and reproducibility. Computational triangulation provides a principled bridge by aligning textual themes with numerical indicators. This article presents a compact demonstration, including data preparation, analytic steps, and reporting templates. We focus on practical decisions—preprocessing, model selection, and validation—so that researchers can adapt the workflow to diverse domains.</w:t>
      </w:r>
    </w:p>
    <w:p w14:paraId="16FD36A6" w14:textId="0B26372E" w:rsidR="00650093" w:rsidRDefault="00650093" w:rsidP="00650093">
      <w:r>
        <w:t>&lt;/paperaj-introduction&gt;</w:t>
      </w:r>
    </w:p>
    <w:p w14:paraId="54DC001D" w14:textId="634B62E9" w:rsidR="00650093" w:rsidRDefault="00650093" w:rsidP="00650093">
      <w:r>
        <w:t>&lt;paperaj-methods&gt;</w:t>
      </w:r>
    </w:p>
    <w:p w14:paraId="2090ABD2" w14:textId="3A1F031B" w:rsidR="00650093" w:rsidRDefault="00650093" w:rsidP="00650093">
      <w:pPr>
        <w:pStyle w:val="Heading1"/>
      </w:pPr>
      <w:r>
        <w:t>Methods</w:t>
      </w:r>
    </w:p>
    <w:p w14:paraId="44FCE722" w14:textId="77777777" w:rsidR="00CC2880" w:rsidRDefault="00650093" w:rsidP="00CC2880">
      <w:pPr>
        <w:keepNext/>
      </w:pPr>
      <w:r>
        <w:t xml:space="preserve">2.1 Dataset: We constructed a synthetic corpus of 30 semi-structured interview excerpts and a survey of 240 respondents with five Likert-scale items (1–5). Demographics were limited to age bracket and occupation class to minimize identifiability. 2.2 Preprocessing: Text was lowercased, de-noised, and tokenized; stopwords were removed. Numerical scales were z-standardized. 2.3 Analyses: (a) Topic modeling (LDA, k=5) on interview excerpts; (b) Sentiment analysis using lexicon-based polarity; (c) Thematic coding with a three-code scheme (Access, Usability, Trust). 2.4 Triangulation: We computed concordance between topic prevalence and survey scale scores using </w:t>
      </w:r>
      <w:r>
        <w:lastRenderedPageBreak/>
        <w:t xml:space="preserve">Pearson correlation and mapped themes to quantitative constructs via a predefined codebook. </w:t>
      </w:r>
      <w:r w:rsidR="00CC2880">
        <w:rPr>
          <w:noProof/>
          <w14:ligatures w14:val="standardContextual"/>
        </w:rPr>
        <w:drawing>
          <wp:inline distT="0" distB="0" distL="0" distR="0" wp14:anchorId="1C4CCBF5" wp14:editId="4B938F36">
            <wp:extent cx="3251200" cy="3251200"/>
            <wp:effectExtent l="0" t="0" r="0" b="0"/>
            <wp:docPr id="500086295" name="Picture 1" descr="A black sca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6295" name="Picture 1" descr="A black scale with numbers and letter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251200" cy="3251200"/>
                    </a:xfrm>
                    <a:prstGeom prst="rect">
                      <a:avLst/>
                    </a:prstGeom>
                  </pic:spPr>
                </pic:pic>
              </a:graphicData>
            </a:graphic>
          </wp:inline>
        </w:drawing>
      </w:r>
    </w:p>
    <w:p w14:paraId="691C655D" w14:textId="24ED93B2" w:rsidR="00650093" w:rsidRDefault="00CC2880" w:rsidP="00CC2880">
      <w:pPr>
        <w:pStyle w:val="Caption"/>
      </w:pPr>
      <w:r>
        <w:t xml:space="preserve">Figure </w:t>
      </w:r>
      <w:fldSimple w:instr=" SEQ Figure \* ARABIC ">
        <w:r>
          <w:rPr>
            <w:noProof/>
          </w:rPr>
          <w:t>1</w:t>
        </w:r>
      </w:fldSimple>
      <w:r>
        <w:t>: CRISP-T python package</w:t>
      </w:r>
    </w:p>
    <w:p w14:paraId="139AF216" w14:textId="7373E045" w:rsidR="00650093" w:rsidRDefault="00650093" w:rsidP="00650093">
      <w:r>
        <w:t>&lt;/paperaj-methods&gt;</w:t>
      </w:r>
    </w:p>
    <w:p w14:paraId="76FFC6EA" w14:textId="0D8EF1F4" w:rsidR="00650093" w:rsidRDefault="00650093" w:rsidP="00650093">
      <w:r>
        <w:t>&lt;paperaj-results&gt;</w:t>
      </w:r>
    </w:p>
    <w:p w14:paraId="016984F8" w14:textId="6838B2B7" w:rsidR="00650093" w:rsidRDefault="00650093" w:rsidP="00650093">
      <w:pPr>
        <w:pStyle w:val="Heading1"/>
      </w:pPr>
      <w:r>
        <w:t>Results</w:t>
      </w:r>
    </w:p>
    <w:p w14:paraId="481ECBF3" w14:textId="77777777" w:rsidR="00650093" w:rsidRDefault="00650093" w:rsidP="00650093">
      <w:r>
        <w:t>3.1 Descriptive Statistics: Mean Likert scores ranged from 3.4 to 4.1 (SD 0.7–0.9). Interview excerpts averaged 120 words (SD 38). 3.2 Topic–Scale Associations: The “Usability” topic prevalence correlated with the usability scale (r=0.42, p&lt;0.01). Access-related themes showed weaker associations (r=0.18, ns). 3.3 Sentiment: Overall polarity skewed positive (mean 0.21), aligning with higher trust scores. 3.4 Concordance: Cross-modal agreement reached 78% when mapping themes to constructs via the codebook; disagreements clustered around ambiguous excerpts.</w:t>
      </w:r>
    </w:p>
    <w:p w14:paraId="487F1A56" w14:textId="77777777" w:rsidR="00650093" w:rsidRDefault="00650093" w:rsidP="00650093"/>
    <w:p w14:paraId="60830969" w14:textId="77777777" w:rsidR="00650093" w:rsidRDefault="00650093" w:rsidP="00650093">
      <w:pPr>
        <w:pStyle w:val="Heading1"/>
      </w:pPr>
      <w:r>
        <w:t>Table 1. Summary of Survey Scales</w:t>
      </w:r>
    </w:p>
    <w:tbl>
      <w:tblPr>
        <w:tblW w:w="0" w:type="auto"/>
        <w:tblLook w:val="04A0" w:firstRow="1" w:lastRow="0" w:firstColumn="1" w:lastColumn="0" w:noHBand="0" w:noVBand="1"/>
      </w:tblPr>
      <w:tblGrid>
        <w:gridCol w:w="2160"/>
        <w:gridCol w:w="2160"/>
        <w:gridCol w:w="2160"/>
        <w:gridCol w:w="2160"/>
      </w:tblGrid>
      <w:tr w:rsidR="00650093" w14:paraId="61056B3F" w14:textId="77777777" w:rsidTr="000F2A12">
        <w:tc>
          <w:tcPr>
            <w:tcW w:w="2160" w:type="dxa"/>
          </w:tcPr>
          <w:p w14:paraId="1E0CE82C" w14:textId="77777777" w:rsidR="00650093" w:rsidRDefault="00650093" w:rsidP="000F2A12">
            <w:r>
              <w:t>Scale</w:t>
            </w:r>
          </w:p>
        </w:tc>
        <w:tc>
          <w:tcPr>
            <w:tcW w:w="2160" w:type="dxa"/>
          </w:tcPr>
          <w:p w14:paraId="7033B074" w14:textId="77777777" w:rsidR="00650093" w:rsidRDefault="00650093" w:rsidP="000F2A12">
            <w:r>
              <w:t>Mean</w:t>
            </w:r>
          </w:p>
        </w:tc>
        <w:tc>
          <w:tcPr>
            <w:tcW w:w="2160" w:type="dxa"/>
          </w:tcPr>
          <w:p w14:paraId="0A05557E" w14:textId="77777777" w:rsidR="00650093" w:rsidRDefault="00650093" w:rsidP="000F2A12">
            <w:r>
              <w:t>SD</w:t>
            </w:r>
          </w:p>
        </w:tc>
        <w:tc>
          <w:tcPr>
            <w:tcW w:w="2160" w:type="dxa"/>
          </w:tcPr>
          <w:p w14:paraId="09AD864A" w14:textId="77777777" w:rsidR="00650093" w:rsidRDefault="00650093" w:rsidP="000F2A12">
            <w:r>
              <w:t>Alpha reliability</w:t>
            </w:r>
          </w:p>
        </w:tc>
      </w:tr>
      <w:tr w:rsidR="00650093" w14:paraId="6070358C" w14:textId="77777777" w:rsidTr="000F2A12">
        <w:tc>
          <w:tcPr>
            <w:tcW w:w="2160" w:type="dxa"/>
          </w:tcPr>
          <w:p w14:paraId="27F029BA" w14:textId="77777777" w:rsidR="00650093" w:rsidRDefault="00650093" w:rsidP="000F2A12">
            <w:r>
              <w:t>Access</w:t>
            </w:r>
          </w:p>
        </w:tc>
        <w:tc>
          <w:tcPr>
            <w:tcW w:w="2160" w:type="dxa"/>
          </w:tcPr>
          <w:p w14:paraId="437D963E" w14:textId="77777777" w:rsidR="00650093" w:rsidRDefault="00650093" w:rsidP="000F2A12">
            <w:r>
              <w:t>3.4</w:t>
            </w:r>
          </w:p>
        </w:tc>
        <w:tc>
          <w:tcPr>
            <w:tcW w:w="2160" w:type="dxa"/>
          </w:tcPr>
          <w:p w14:paraId="43F9A1EA" w14:textId="77777777" w:rsidR="00650093" w:rsidRDefault="00650093" w:rsidP="000F2A12">
            <w:r>
              <w:t>0.9</w:t>
            </w:r>
          </w:p>
        </w:tc>
        <w:tc>
          <w:tcPr>
            <w:tcW w:w="2160" w:type="dxa"/>
          </w:tcPr>
          <w:p w14:paraId="5AC55C3B" w14:textId="77777777" w:rsidR="00650093" w:rsidRDefault="00650093" w:rsidP="000F2A12">
            <w:r>
              <w:t>0.78</w:t>
            </w:r>
          </w:p>
        </w:tc>
      </w:tr>
      <w:tr w:rsidR="00650093" w14:paraId="47A7247F" w14:textId="77777777" w:rsidTr="000F2A12">
        <w:tc>
          <w:tcPr>
            <w:tcW w:w="2160" w:type="dxa"/>
          </w:tcPr>
          <w:p w14:paraId="4BC32E33" w14:textId="77777777" w:rsidR="00650093" w:rsidRDefault="00650093" w:rsidP="000F2A12">
            <w:r>
              <w:lastRenderedPageBreak/>
              <w:t>Usability</w:t>
            </w:r>
          </w:p>
        </w:tc>
        <w:tc>
          <w:tcPr>
            <w:tcW w:w="2160" w:type="dxa"/>
          </w:tcPr>
          <w:p w14:paraId="19D03B6A" w14:textId="77777777" w:rsidR="00650093" w:rsidRDefault="00650093" w:rsidP="000F2A12">
            <w:r>
              <w:t>4.1</w:t>
            </w:r>
          </w:p>
        </w:tc>
        <w:tc>
          <w:tcPr>
            <w:tcW w:w="2160" w:type="dxa"/>
          </w:tcPr>
          <w:p w14:paraId="6483FFA9" w14:textId="77777777" w:rsidR="00650093" w:rsidRDefault="00650093" w:rsidP="000F2A12">
            <w:r>
              <w:t>0.7</w:t>
            </w:r>
          </w:p>
        </w:tc>
        <w:tc>
          <w:tcPr>
            <w:tcW w:w="2160" w:type="dxa"/>
          </w:tcPr>
          <w:p w14:paraId="36F3F267" w14:textId="77777777" w:rsidR="00650093" w:rsidRDefault="00650093" w:rsidP="000F2A12">
            <w:r>
              <w:t>0.81</w:t>
            </w:r>
          </w:p>
        </w:tc>
      </w:tr>
      <w:tr w:rsidR="00650093" w14:paraId="5EF56489" w14:textId="77777777" w:rsidTr="000F2A12">
        <w:tc>
          <w:tcPr>
            <w:tcW w:w="2160" w:type="dxa"/>
          </w:tcPr>
          <w:p w14:paraId="722FF61F" w14:textId="77777777" w:rsidR="00650093" w:rsidRDefault="00650093" w:rsidP="000F2A12">
            <w:r>
              <w:t>Trust</w:t>
            </w:r>
          </w:p>
        </w:tc>
        <w:tc>
          <w:tcPr>
            <w:tcW w:w="2160" w:type="dxa"/>
          </w:tcPr>
          <w:p w14:paraId="3502093C" w14:textId="77777777" w:rsidR="00650093" w:rsidRDefault="00650093" w:rsidP="000F2A12">
            <w:r>
              <w:t>3.8</w:t>
            </w:r>
          </w:p>
        </w:tc>
        <w:tc>
          <w:tcPr>
            <w:tcW w:w="2160" w:type="dxa"/>
          </w:tcPr>
          <w:p w14:paraId="2A2913F2" w14:textId="77777777" w:rsidR="00650093" w:rsidRDefault="00650093" w:rsidP="000F2A12">
            <w:r>
              <w:t>0.8</w:t>
            </w:r>
          </w:p>
        </w:tc>
        <w:tc>
          <w:tcPr>
            <w:tcW w:w="2160" w:type="dxa"/>
          </w:tcPr>
          <w:p w14:paraId="04EEF9E4" w14:textId="77777777" w:rsidR="00650093" w:rsidRDefault="00650093" w:rsidP="00CC2880">
            <w:pPr>
              <w:keepNext/>
            </w:pPr>
            <w:r>
              <w:t>0.75</w:t>
            </w:r>
          </w:p>
        </w:tc>
      </w:tr>
    </w:tbl>
    <w:p w14:paraId="4CBFF14F" w14:textId="090DACB5" w:rsidR="00CC2880" w:rsidRDefault="00CC2880">
      <w:pPr>
        <w:pStyle w:val="Caption"/>
      </w:pPr>
      <w:r>
        <w:t xml:space="preserve">Figure </w:t>
      </w:r>
      <w:fldSimple w:instr=" SEQ Figure \* ARABIC ">
        <w:r>
          <w:rPr>
            <w:noProof/>
          </w:rPr>
          <w:t>2</w:t>
        </w:r>
      </w:fldSimple>
      <w:r>
        <w:t>: Summary of results</w:t>
      </w:r>
    </w:p>
    <w:p w14:paraId="77C06ACC" w14:textId="77777777" w:rsidR="00650093" w:rsidRDefault="00650093" w:rsidP="00650093">
      <w:r>
        <w:t>&lt;/paperaj-results&gt;</w:t>
      </w:r>
    </w:p>
    <w:p w14:paraId="3F1084B8" w14:textId="01267A20" w:rsidR="00650093" w:rsidRDefault="00650093" w:rsidP="00650093">
      <w:r>
        <w:t>&lt;paperaj-discussion&gt;</w:t>
      </w:r>
    </w:p>
    <w:p w14:paraId="071ECB44" w14:textId="48C16A1C" w:rsidR="00650093" w:rsidRDefault="00650093" w:rsidP="00650093">
      <w:pPr>
        <w:pStyle w:val="Heading1"/>
      </w:pPr>
      <w:r>
        <w:t>Discussion</w:t>
      </w:r>
    </w:p>
    <w:p w14:paraId="4368ADF8" w14:textId="77777777" w:rsidR="00650093" w:rsidRDefault="00650093" w:rsidP="00650093">
      <w:r>
        <w:t>This demonstration highlights how computational triangulation can strengthen interpretive validity by cross-checking qualitative themes against quantitative indicators. The moderate correlation between usability topics and scale scores suggests construct alignment, while weaker access associations emphasize contextual factors not captured by simple scales. Limitations include synthetic data, small qualitative sample size, and reliance on lexicon-based sentiment. Future work should test transformer-based encoders and multi-label coding with inter-rater reliability.</w:t>
      </w:r>
    </w:p>
    <w:p w14:paraId="13EB1057" w14:textId="3BDEA1B0" w:rsidR="00650093" w:rsidRDefault="00650093" w:rsidP="00650093">
      <w:r>
        <w:t>&lt;/paperaj-discussion&gt;</w:t>
      </w:r>
    </w:p>
    <w:p w14:paraId="533E3103" w14:textId="5DC50910" w:rsidR="00650093" w:rsidRDefault="00650093" w:rsidP="00650093">
      <w:r>
        <w:t>&lt;paperaj-conclusion&gt;</w:t>
      </w:r>
    </w:p>
    <w:p w14:paraId="21E6DAC3" w14:textId="1D4CC404" w:rsidR="00650093" w:rsidRDefault="00650093" w:rsidP="00650093">
      <w:pPr>
        <w:pStyle w:val="Heading1"/>
      </w:pPr>
      <w:r>
        <w:t>Conclusion</w:t>
      </w:r>
    </w:p>
    <w:p w14:paraId="3063323F" w14:textId="77777777" w:rsidR="00650093" w:rsidRDefault="00650093" w:rsidP="00650093">
      <w:r>
        <w:t>A reproducible mixed-methods workflow is feasible with accessible tools. Providing a transparent codebook, pre-registration of analysis plans, and concordance metrics supports credible integration. The included templates can be adapted to healthcare, education, and policy evaluation settings.</w:t>
      </w:r>
    </w:p>
    <w:p w14:paraId="0ED50149" w14:textId="2B7FEED2" w:rsidR="00650093" w:rsidRDefault="00650093" w:rsidP="00650093">
      <w:r>
        <w:t>&lt;/paperaj-conclusion&gt;</w:t>
      </w:r>
    </w:p>
    <w:p w14:paraId="03347765" w14:textId="77777777" w:rsidR="00650093" w:rsidRDefault="00650093" w:rsidP="00650093"/>
    <w:p w14:paraId="7685B517" w14:textId="4213C810" w:rsidR="00650093" w:rsidRDefault="00650093" w:rsidP="00650093">
      <w:r>
        <w:t>&lt;paperaj-acknowledgements&gt;</w:t>
      </w:r>
    </w:p>
    <w:p w14:paraId="1A818987" w14:textId="77777777" w:rsidR="00650093" w:rsidRDefault="00650093" w:rsidP="00650093"/>
    <w:p w14:paraId="688B78B2" w14:textId="77777777" w:rsidR="00650093" w:rsidRDefault="00650093" w:rsidP="00650093">
      <w:pPr>
        <w:pStyle w:val="Heading1"/>
      </w:pPr>
      <w:r>
        <w:t>Acknowledgements</w:t>
      </w:r>
    </w:p>
    <w:p w14:paraId="49A22E63" w14:textId="77777777" w:rsidR="00650093" w:rsidRDefault="00650093" w:rsidP="00650093">
      <w:r>
        <w:t>We thank collaborators for feedback on early drafts and acknowledge support from institutional research funds. Any errors remain our own.</w:t>
      </w:r>
    </w:p>
    <w:p w14:paraId="6D11699F" w14:textId="500DDB5E" w:rsidR="00650093" w:rsidRDefault="00650093" w:rsidP="00650093">
      <w:r>
        <w:t>&lt;/paperaj-acknowledgements&gt;</w:t>
      </w:r>
    </w:p>
    <w:p w14:paraId="304BF561" w14:textId="5CF33A3D" w:rsidR="00650093" w:rsidRDefault="00650093" w:rsidP="00650093">
      <w:r>
        <w:lastRenderedPageBreak/>
        <w:t>&lt;paperaj-references&gt;</w:t>
      </w:r>
    </w:p>
    <w:p w14:paraId="6DDA711E" w14:textId="77777777" w:rsidR="00650093" w:rsidRDefault="00650093" w:rsidP="00650093">
      <w:pPr>
        <w:pStyle w:val="Heading1"/>
      </w:pPr>
      <w:r>
        <w:t>References</w:t>
      </w:r>
    </w:p>
    <w:p w14:paraId="70326DFA" w14:textId="77777777" w:rsidR="00650093" w:rsidRDefault="00650093" w:rsidP="00650093">
      <w:r>
        <w:t>[1] Creswell JW, Plano Clark VL. Designing and Conducting Mixed Methods Research. 3rd ed. Sage; 2018.</w:t>
      </w:r>
    </w:p>
    <w:p w14:paraId="59B2072E" w14:textId="77777777" w:rsidR="00650093" w:rsidRDefault="00650093" w:rsidP="00650093">
      <w:r>
        <w:t>[2] Braun V, Clarke V. Thematic analysis: A practical guide. Sage; 2021.</w:t>
      </w:r>
    </w:p>
    <w:p w14:paraId="1DCA5730" w14:textId="77777777" w:rsidR="00650093" w:rsidRDefault="00650093" w:rsidP="00650093">
      <w:r>
        <w:t>[3] Blei DM, Ng AY, Jordan MI. Latent Dirichlet Allocation. Journal of Machine Learning Research. 2003;3:993–1022.</w:t>
      </w:r>
    </w:p>
    <w:p w14:paraId="706BF8D1" w14:textId="087396D1" w:rsidR="00650093" w:rsidRDefault="00650093" w:rsidP="00650093">
      <w:r>
        <w:t>&lt;/paperaj-references&gt;</w:t>
      </w:r>
    </w:p>
    <w:p w14:paraId="5421F6FE" w14:textId="0B37A2C4" w:rsidR="00AD221E" w:rsidRDefault="00AD221E"/>
    <w:sectPr w:rsidR="00AD22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093"/>
    <w:rsid w:val="004408FA"/>
    <w:rsid w:val="00650093"/>
    <w:rsid w:val="00AD221E"/>
    <w:rsid w:val="00C6169A"/>
    <w:rsid w:val="00CC28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B1C4F6"/>
  <w15:chartTrackingRefBased/>
  <w15:docId w15:val="{5FFB76BB-91CB-0D4E-A2FA-D7C55190B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09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65009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5009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50093"/>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50093"/>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50093"/>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50093"/>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50093"/>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50093"/>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50093"/>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0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00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00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0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0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0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0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0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093"/>
    <w:rPr>
      <w:rFonts w:eastAsiaTheme="majorEastAsia" w:cstheme="majorBidi"/>
      <w:color w:val="272727" w:themeColor="text1" w:themeTint="D8"/>
    </w:rPr>
  </w:style>
  <w:style w:type="paragraph" w:styleId="Title">
    <w:name w:val="Title"/>
    <w:basedOn w:val="Normal"/>
    <w:next w:val="Normal"/>
    <w:link w:val="TitleChar"/>
    <w:uiPriority w:val="10"/>
    <w:qFormat/>
    <w:rsid w:val="00650093"/>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500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093"/>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500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093"/>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50093"/>
    <w:rPr>
      <w:i/>
      <w:iCs/>
      <w:color w:val="404040" w:themeColor="text1" w:themeTint="BF"/>
    </w:rPr>
  </w:style>
  <w:style w:type="paragraph" w:styleId="ListParagraph">
    <w:name w:val="List Paragraph"/>
    <w:basedOn w:val="Normal"/>
    <w:uiPriority w:val="34"/>
    <w:qFormat/>
    <w:rsid w:val="00650093"/>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650093"/>
    <w:rPr>
      <w:i/>
      <w:iCs/>
      <w:color w:val="0F4761" w:themeColor="accent1" w:themeShade="BF"/>
    </w:rPr>
  </w:style>
  <w:style w:type="paragraph" w:styleId="IntenseQuote">
    <w:name w:val="Intense Quote"/>
    <w:basedOn w:val="Normal"/>
    <w:next w:val="Normal"/>
    <w:link w:val="IntenseQuoteChar"/>
    <w:uiPriority w:val="30"/>
    <w:qFormat/>
    <w:rsid w:val="0065009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50093"/>
    <w:rPr>
      <w:i/>
      <w:iCs/>
      <w:color w:val="0F4761" w:themeColor="accent1" w:themeShade="BF"/>
    </w:rPr>
  </w:style>
  <w:style w:type="character" w:styleId="IntenseReference">
    <w:name w:val="Intense Reference"/>
    <w:basedOn w:val="DefaultParagraphFont"/>
    <w:uiPriority w:val="32"/>
    <w:qFormat/>
    <w:rsid w:val="00650093"/>
    <w:rPr>
      <w:b/>
      <w:bCs/>
      <w:smallCaps/>
      <w:color w:val="0F4761" w:themeColor="accent1" w:themeShade="BF"/>
      <w:spacing w:val="5"/>
    </w:rPr>
  </w:style>
  <w:style w:type="paragraph" w:customStyle="1" w:styleId="ArticleTitle">
    <w:name w:val="ArticleTitle"/>
    <w:rsid w:val="00650093"/>
    <w:pPr>
      <w:spacing w:after="200" w:line="276" w:lineRule="auto"/>
    </w:pPr>
    <w:rPr>
      <w:rFonts w:ascii="Times New Roman" w:eastAsiaTheme="minorEastAsia" w:hAnsi="Times New Roman"/>
      <w:b/>
      <w:kern w:val="0"/>
      <w:sz w:val="32"/>
      <w:szCs w:val="22"/>
      <w14:ligatures w14:val="none"/>
    </w:rPr>
  </w:style>
  <w:style w:type="paragraph" w:customStyle="1" w:styleId="AuthorLine">
    <w:name w:val="AuthorLine"/>
    <w:rsid w:val="00650093"/>
    <w:pPr>
      <w:spacing w:after="200" w:line="276" w:lineRule="auto"/>
    </w:pPr>
    <w:rPr>
      <w:rFonts w:ascii="Times New Roman" w:eastAsiaTheme="minorEastAsia" w:hAnsi="Times New Roman"/>
      <w:kern w:val="0"/>
      <w:sz w:val="22"/>
      <w:szCs w:val="22"/>
      <w14:ligatures w14:val="none"/>
    </w:rPr>
  </w:style>
  <w:style w:type="character" w:styleId="Hyperlink">
    <w:name w:val="Hyperlink"/>
    <w:basedOn w:val="DefaultParagraphFont"/>
    <w:uiPriority w:val="99"/>
    <w:unhideWhenUsed/>
    <w:rsid w:val="00650093"/>
    <w:rPr>
      <w:color w:val="467886" w:themeColor="hyperlink"/>
      <w:u w:val="single"/>
    </w:rPr>
  </w:style>
  <w:style w:type="character" w:styleId="UnresolvedMention">
    <w:name w:val="Unresolved Mention"/>
    <w:basedOn w:val="DefaultParagraphFont"/>
    <w:uiPriority w:val="99"/>
    <w:semiHidden/>
    <w:unhideWhenUsed/>
    <w:rsid w:val="00650093"/>
    <w:rPr>
      <w:color w:val="605E5C"/>
      <w:shd w:val="clear" w:color="auto" w:fill="E1DFDD"/>
    </w:rPr>
  </w:style>
  <w:style w:type="paragraph" w:styleId="Caption">
    <w:name w:val="caption"/>
    <w:basedOn w:val="Normal"/>
    <w:next w:val="Normal"/>
    <w:uiPriority w:val="35"/>
    <w:unhideWhenUsed/>
    <w:qFormat/>
    <w:rsid w:val="00CC2880"/>
    <w:pPr>
      <w:spacing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741</Words>
  <Characters>4230</Characters>
  <Application>Microsoft Office Word</Application>
  <DocSecurity>0</DocSecurity>
  <Lines>35</Lines>
  <Paragraphs>9</Paragraphs>
  <ScaleCrop>false</ScaleCrop>
  <Company/>
  <LinksUpToDate>false</LinksUpToDate>
  <CharactersWithSpaces>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Bellraj Eapen</dc:creator>
  <cp:keywords/>
  <dc:description/>
  <cp:lastModifiedBy>Bellraj Eapen</cp:lastModifiedBy>
  <cp:revision>2</cp:revision>
  <dcterms:created xsi:type="dcterms:W3CDTF">2025-12-24T23:51:00Z</dcterms:created>
  <dcterms:modified xsi:type="dcterms:W3CDTF">2025-12-25T00:04:00Z</dcterms:modified>
</cp:coreProperties>
</file>