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i w:val="0"/>
          <w:sz w:val="36"/>
          <w:highlight w:val="green"/>
        </w:rPr>
        <w:t xml:space="preserve">Genetic Parameters and Selection Index Behaviour of Alternative Methane Trait Definitions in Pasture-Based Sheep</w:t>
      </w:r>
    </w:p>
    <w:p>
      <w:pPr>
        <w:pStyle w:val="AuthorNames"/>
        <w:jc w:val="both"/>
      </w:pPr>
      <w:r>
        <w:rPr>
          <w:b w:val="0"/>
          <w:i w:val="0"/>
        </w:rPr>
        <w:t>Dermot J. Kelly ²'³'*, Fiona McGovern ¹, Deirdre Purfield ², Patrick McCarron ¹, Eoin Dunne ¹, Thierry Pabiou ⁴, Nóirín McHugh ³</w:t>
      </w:r>
    </w:p>
    <w:p>
      <w:pPr>
        <w:pStyle w:val="Affiliations"/>
        <w:jc w:val="both"/>
      </w:pPr>
      <w:r>
        <w:rPr>
          <w:b w:val="0"/>
          <w:i w:val="0"/>
        </w:rPr>
        <w:t>¹ Teagasc, Animal &amp; Grassland Research and Innovation Centre, Mellows Campus, Athenry, Co. Galway, H65 R718, Ireland</w:t>
      </w:r>
    </w:p>
    <w:p>
      <w:pPr>
        <w:pStyle w:val="Affiliations"/>
        <w:jc w:val="both"/>
      </w:pPr>
      <w:r>
        <w:rPr>
          <w:b w:val="0"/>
          <w:i w:val="0"/>
        </w:rPr>
        <w:t>² Department of Biological Sciences, Munster Technological University, Bishopstown, Co. Cork T12 P928, Ireland</w:t>
      </w:r>
    </w:p>
    <w:p>
      <w:pPr>
        <w:pStyle w:val="Affiliations"/>
        <w:jc w:val="both"/>
      </w:pPr>
      <w:r>
        <w:rPr>
          <w:b w:val="0"/>
          <w:i w:val="0"/>
        </w:rPr>
        <w:t>³ Teagasc, Animal and Grassland Research and Innovation Centre, Fermoy, Co. Cork P61 P302, Ireland</w:t>
      </w:r>
    </w:p>
    <w:p>
      <w:pPr>
        <w:jc w:val="both"/>
      </w:pPr>
      <w:r>
        <w:rPr>
          <w:b w:val="0"/>
          <w:i w:val="0"/>
        </w:rPr>
        <w:t>⁴ Sheep Ireland, Link Road, Ballincollig, Co. Cork, P31 D452, Ireland</w:t>
      </w:r>
    </w:p>
    <w:p>
      <w:pPr>
        <w:jc w:val="both"/>
      </w:pPr>
      <w:r>
        <w:rPr>
          <w:b w:val="0"/>
          <w:i w:val="0"/>
        </w:rPr>
        <w:t>*Corresponding author. Email: dermot.kelly@teagasc.ie</w:t>
      </w:r>
    </w:p>
    <w:p/>
    <w:p>
      <w:pPr/>
      <w:r>
        <w:rPr>
          <w:b/>
          <w:i w:val="0"/>
          <w:sz w:val="36"/>
        </w:rPr>
        <w:t>Abstract</w:t>
      </w:r>
    </w:p>
    <w:p>
      <w:pPr>
        <w:pStyle w:val="Subheadings"/>
      </w:pPr>
      <w:r>
        <w:t>Background</w:t>
      </w:r>
    </w:p>
    <w:p>
      <w:pPr>
        <w:jc w:val="both"/>
      </w:pPr>
      <w:r>
        <w:rPr>
          <w:b w:val="0"/>
          <w:i w:val="0"/>
        </w:rPr>
        <w:t xml:space="preserve">Enteric methane from ruminants represents a major challenge for environmentally sustainable livestock production. Genetic selection can deliver long-term and cumulative reductions in emissions; however, methane production is positively correlated with key performance traits such as body size and growth. Alternative methane definitions, including ratio- and residual-based definitions, have therefore been proposed. </w:t>
      </w:r>
      <w:r>
        <w:rPr>
          <w:b w:val="0"/>
          <w:i w:val="0"/>
          <w:highlight w:val="yellow"/>
        </w:rPr>
        <w:t xml:space="preserve">The objective of this study was to estimate genetic parameters for a range of alternative methane trait definitions in sheep</w:t>
      </w:r>
      <w:r>
        <w:rPr>
          <w:b w:val="0"/>
          <w:i w:val="0"/>
          <w:highlight w:val="cyan"/>
        </w:rPr>
        <w:t xml:space="preserve">, to characterise the genetic and phenotypic relationships among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(CH4) records from 8,354 sheep across 132 Irish flocks were analysed. Alternative methane traits were defined as ratios of methane relative to metabolic body weight (MBW), average daily gain (ADG), muscle mass and rumen volume, and as residuals of methane regressed on these traits. </w:t>
      </w:r>
      <w:r>
        <w:rPr>
          <w:b w:val="0"/>
          <w:i w:val="0"/>
          <w:highlight w:val="cyan"/>
        </w:rPr>
        <w:t xml:space="preserve">Heritability estimates ranged from 0.10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CH4, MBW and CO2, methane could be reduced by up to 0.63 g day⁻¹ per generation (selection intensity of 1) without undesirable responses in MBW or CO2. This was achievable both with a linear index of the three traits and with the residual methane traits, when combined with appropriate index weights on MBW and CO2.</w:t>
      </w:r>
    </w:p>
    <w:p>
      <w:pPr>
        <w:pStyle w:val="Subheadings"/>
      </w:pPr>
      <w:r>
        <w:t>Conclusions</w:t>
      </w:r>
    </w:p>
    <w:p>
      <w:pPr>
        <w:jc w:val="both"/>
      </w:pPr>
      <w:r>
        <w:rPr>
          <w:b w:val="0"/>
          <w:i w:val="0"/>
        </w:rPr>
        <w:t xml:space="preserve">Methane production in sheep exhibits meaningful additive genetic variation across alternative trait definitions. </w:t>
      </w:r>
      <w:r>
        <w:rPr>
          <w:b w:val="0"/>
          <w:i w:val="0"/>
          <w:highlight w:val="cyan"/>
        </w:rPr>
        <w:t xml:space="preserve">Ratio and residual methane traits remained strongly genetically correlated with absolute methane but differed in their genetic relationships with body size and growth, and therefore in the correlated responses expected in production traits. When these relationships are understood and accounted for, alternative methane traits can be used within a selection index to reduce methane without undesirable responses in body size or CO2 production.</w:t>
      </w:r>
    </w:p>
    <w:p>
      <w:pPr/>
      <w:r>
        <w:rPr>
          <w:b/>
          <w:i w:val="0"/>
          <w:sz w:val="36"/>
        </w:rPr>
        <w:t>Background</w:t>
      </w:r>
    </w:p>
    <w:p>
      <w:pPr>
        <w:jc w:val="both"/>
      </w:pPr>
      <w:r>
        <w:rPr>
          <w:b w:val="0"/>
          <w:i w:val="0"/>
        </w:rPr>
        <w:t xml:space="preserve">Reducing greenhouse gas emissions from ruminant livestock has become a priority for </w:t>
      </w:r>
      <w:r>
        <w:rPr>
          <w:b w:val="0"/>
          <w:i w:val="0"/>
          <w:highlight w:val="yellow"/>
        </w:rPr>
        <w:t>greenhouse gas mitigation</w:t>
      </w:r>
      <w:r>
        <w:rPr>
          <w:b w:val="0"/>
          <w:i w:val="0"/>
        </w:rPr>
        <w:t xml:space="preserve"> strategies worldwide. Enteric fermentation alone contributes approximately 30% of global anthropogenic methane emissions [1], making it one of the largest and most challenging emission sources to address [2]. At the same time, rising global demand for animal-sourced protein places increasing pressure on ruminant production systems to deliver sustained reductions in emissions without compromising productivity [3]. The trade-off between </w:t>
      </w:r>
      <w:r>
        <w:rPr>
          <w:b w:val="0"/>
          <w:i w:val="0"/>
          <w:highlight w:val="yellow"/>
        </w:rPr>
        <w:t>greenhouse gas mitigation</w:t>
      </w:r>
      <w:r>
        <w:rPr>
          <w:b w:val="0"/>
          <w:i w:val="0"/>
        </w:rPr>
        <w:t xml:space="preserve"> and food production is particularly evident in grass-based systems, such as Ireland, where agriculture </w:t>
      </w:r>
      <w:r>
        <w:rPr>
          <w:b w:val="0"/>
          <w:i w:val="0"/>
          <w:highlight w:val="yellow"/>
        </w:rPr>
        <w:t>is the largest single sector source of national greenhouse gas emissions, with methane from enteric fermentation in cattle and sheep the dominant contributing gas</w:t>
      </w:r>
      <w:r>
        <w:rPr>
          <w:b w:val="0"/>
          <w:i w:val="0"/>
        </w:rPr>
        <w:t xml:space="preserve"> [4]. Concurrently, </w:t>
      </w:r>
      <w:r>
        <w:rPr>
          <w:b w:val="0"/>
          <w:i w:val="0"/>
          <w:highlight w:val="yellow"/>
        </w:rPr>
        <w:t>despite this high sectoral methane output,</w:t>
      </w:r>
      <w:r>
        <w:rPr>
          <w:b w:val="0"/>
          <w:i w:val="0"/>
        </w:rPr>
        <w:t xml:space="preserve"> Ireland ranks among the most carbon-efficient regions globally for ruminant production </w:t>
      </w:r>
      <w:r>
        <w:rPr>
          <w:b w:val="0"/>
          <w:i w:val="0"/>
          <w:highlight w:val="yellow"/>
        </w:rPr>
        <w:t>when evaluated on a per-kilogram-of-product basis</w:t>
      </w:r>
      <w:r>
        <w:rPr>
          <w:b w:val="0"/>
          <w:i w:val="0"/>
        </w:rPr>
        <w:t xml:space="preserve"> [5, 6].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Genetic selection for low-emitting animals has emerged as one of the most promising methane mitigation strategies, with moderate heritability reported for methane production [7] and the cumulative, permanent nature of genetic gain [8]. The recent development of high-throughput phenotyping technologies, most notably portable accumulation chambers (PACs), has enabled routine, large-scale collection of individual-animal methane phenotypes across both research and commercial flocks [9, 10]. However, methane production has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highlight w:val="yellow"/>
        </w:rPr>
        <w:t>Throughout this study, methane production and methane emission refer specifically to enteric methane released via eructation during rumen fermentation, as captured by PAC measurement, rather than emissions from manure management.</w:t>
      </w:r>
      <w:r>
        <w:rPr>
          <w:b w:val="0"/>
          <w:i w:val="0"/>
        </w:rPr>
        <w:t xml:space="preserve"> The development of alternative methane trait definitions -- traits expressed relative to production or as residuals, rather than as daily methane alone -- </w:t>
      </w:r>
      <w:r>
        <w:rPr>
          <w:b w:val="0"/>
          <w:i w:val="0"/>
          <w:highlight w:val="yellow"/>
        </w:rPr>
        <w:t>enables emissions to be quantified in a way that is less directly tied to an animal's body size and growth</w:t>
      </w:r>
      <w:r>
        <w:rPr>
          <w:b w:val="0"/>
          <w:i w:val="0"/>
        </w:rPr>
        <w:t xml:space="preserve">. Metrics such as methane intensity, methane yield, and residual methane express emissions relative to an animal's metabolic demands or level of performance [12, 13]. </w:t>
      </w:r>
      <w:r>
        <w:rPr>
          <w:b w:val="0"/>
          <w:i w:val="0"/>
          <w:highlight w:val="yellow"/>
        </w:rPr>
        <w:t>Portable accumulation chambers provide a short, spot measurement of methane output rather than a continuous record of an animal's true emissions, but have nonetheless been shown to rank animals for methane output effectively, which is the property most relevant for genetic selection [9].</w:t>
      </w:r>
      <w:r>
        <w:rPr>
          <w:b w:val="0"/>
          <w:i w:val="0"/>
        </w:rP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However, both ratio and residual methane traits present known theoretical limitations, and as noted by Lassen and Difford [16], </w:t>
      </w:r>
      <w:r>
        <w:rPr>
          <w:b w:val="0"/>
          <w:i w:val="0"/>
          <w:highlight w:val="yellow"/>
        </w:rPr>
        <w:t>the genetic parameters of these alternative definitions remain underexplored</w:t>
      </w:r>
      <w:r>
        <w:rPr>
          <w:b w:val="0"/>
          <w:i w:val="0"/>
        </w:rPr>
        <w:t xml:space="preserve">. </w:t>
      </w:r>
      <w:r>
        <w:rPr>
          <w:b w:val="0"/>
          <w:i w:val="0"/>
          <w:highlight w:val="yellow"/>
        </w:rPr>
        <w:t>The present study addresses this gap directly by quantifying the heritability of, and the genetic and phenotypic relationships among, alternative methane trait definitions in sheep, and their genetic relationships with key production traits.</w:t>
      </w:r>
      <w:r>
        <w:rPr>
          <w:b w:val="0"/>
          <w:i w:val="0"/>
          <w:highlight w:val="green"/>
        </w:rPr>
        <w:t xml:space="preserve"> </w:t>
      </w:r>
      <w:r>
        <w:rPr>
          <w:b w:val="0"/>
          <w:i w:val="0"/>
          <w:highlight w:val="cyan"/>
        </w:rPr>
        <w:t xml:space="preserve">As these definitions are ultimately intended for use in selection, this study also examines how methane traits behave within a selection index.</w:t>
      </w:r>
    </w:p>
    <w:p>
      <w:pPr/>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weight^0.75)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 where sire_i and dam_i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A suite of methane traits was constructed to represent alternative approaches to quantifying emissions (i.e., alternative to absolute, daily methane production), consisting of absolute traits, ratio-based traits, and residual traits (Table 1).</w:t>
      </w:r>
    </w:p>
    <w:p>
      <w:pPr>
        <w:pStyle w:val="Sub-subheading"/>
      </w:pPr>
      <w:r>
        <w:t>Absolute Gas Production</w:t>
      </w:r>
    </w:p>
    <w:p>
      <w:pPr>
        <w:jc w:val="both"/>
      </w:pPr>
      <w:r>
        <w:rPr>
          <w:b w:val="0"/>
          <w:i w:val="0"/>
        </w:rPr>
        <w:t xml:space="preserve">Methane production (CH4) measured in g day⁻¹ represented the total mass of methane emitted per animal per day based on PAC measurement. </w:t>
      </w:r>
      <w:r>
        <w:rPr>
          <w:b w:val="0"/>
          <w:i w:val="0"/>
          <w:highlight w:val="yellow"/>
        </w:rPr>
        <w:t>Carbon dioxide production (CO2), measured concurrently on the same PAC record and also expressed in g day⁻¹, was analysed as an additional trait in its own right (see Results).</w:t>
      </w:r>
    </w:p>
    <w:p>
      <w:pPr>
        <w:pStyle w:val="Sub-subheading"/>
      </w:pPr>
      <w:r>
        <w:t>Ratio-Based Methane Traits</w:t>
      </w:r>
    </w:p>
    <w:p>
      <w:pPr>
        <w:jc w:val="both"/>
      </w:pPr>
      <w:r>
        <w:rPr>
          <w:b w:val="0"/>
          <w:i w:val="0"/>
        </w:rPr>
        <w:t xml:space="preserve">For all animals two ratio traits, representing methane intensity (CH4/MBW; methane per kg metabolic body weight) and methane as a proportion of total methane and carbon dioxide production (CH4 ratio), were calculated. </w:t>
      </w:r>
      <w:r>
        <w:rPr>
          <w:b w:val="0"/>
          <w:i w:val="0"/>
          <w:highlight w:val="yellow"/>
        </w:rPr>
        <w:t>CH4 ratio was calculated as CH4/(CH4+CO2) using each gas's daily output in grams (g day⁻¹).</w:t>
      </w:r>
      <w:r>
        <w:rPr>
          <w:b w:val="0"/>
          <w:i w:val="0"/>
        </w:rPr>
        <w:t xml:space="preserve"> For growing animals only, an additional three ratio traits were also computed: methane per kg of average daily gain (CH4/ADG), methane per kg muscle mass (CH4/MM), and methane per litre rumen volume (CH4/rumen). Here, CH₄ represents methane production measured in grams per day; CO₂ represents carbon dioxide production measured in grams per day; metabolic body weight is live weight^0.75 (kg); ADG is average daily gain (kg day⁻¹); MM is muscle mass (kg) derived from CT measurements; and rumen volume (litres) is the CT-derived estimate of rumen volume.</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(RMTMBW+CO2),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 xml:space="preserve">y = </w:t>
      </w:r>
      <w:r>
        <w:rPr>
          <w:b w:val="0"/>
          <w:i/>
          <w:sz w:val="23"/>
        </w:rPr>
        <w:t>μ</w:t>
      </w:r>
      <w:r>
        <w:rPr>
          <w:b w:val="0"/>
          <w:i/>
          <w:sz w:val="23"/>
        </w:rPr>
        <w:t xml:space="preserve"> + </w:t>
      </w:r>
      <w:r>
        <w:rPr>
          <w:b w:val="0"/>
          <w:i/>
          <w:sz w:val="23"/>
        </w:rPr>
        <w:t>sex</w:t>
      </w:r>
      <w:r>
        <w:rPr>
          <w:b w:val="0"/>
          <w:i/>
          <w:sz w:val="23"/>
        </w:rPr>
        <w:t xml:space="preserve"> + </w:t>
      </w:r>
      <w:r>
        <w:rPr>
          <w:b w:val="0"/>
          <w:i/>
          <w:sz w:val="23"/>
        </w:rPr>
        <w:t>BR</w:t>
      </w:r>
      <w:r>
        <w:rPr>
          <w:b w:val="0"/>
          <w:i/>
          <w:sz w:val="23"/>
        </w:rPr>
        <w:t xml:space="preserve"> + </w:t>
      </w:r>
      <w:r>
        <w:rPr>
          <w:b w:val="0"/>
          <w:i/>
          <w:sz w:val="23"/>
        </w:rPr>
        <w:t>CL</w:t>
      </w:r>
      <w:r>
        <w:rPr>
          <w:b w:val="0"/>
          <w:i/>
          <w:sz w:val="23"/>
        </w:rPr>
        <w:t xml:space="preserve"> + </w:t>
      </w:r>
      <w:r>
        <w:rPr>
          <w:b w:val="0"/>
          <w:i/>
          <w:sz w:val="23"/>
        </w:rPr>
        <w:t>CV</w:t>
      </w:r>
      <w:r>
        <w:rPr>
          <w:b w:val="0"/>
          <w:i/>
          <w:sz w:val="23"/>
        </w:rPr>
        <w:t xml:space="preserve"> + </w:t>
      </w:r>
      <w:r>
        <w:rPr>
          <w:b w:val="0"/>
          <w:i/>
          <w:sz w:val="23"/>
        </w:rPr>
        <w:t>LY</w:t>
      </w:r>
      <w:r>
        <w:rPr>
          <w:b w:val="0"/>
          <w:i/>
          <w:sz w:val="23"/>
        </w:rPr>
        <w:t xml:space="preserve"> + </w:t>
      </w:r>
      <w:r>
        <w:rPr>
          <w:b w:val="0"/>
          <w:i/>
          <w:sz w:val="23"/>
        </w:rPr>
        <w:t>SU</w:t>
      </w:r>
      <w:r>
        <w:rPr>
          <w:b w:val="0"/>
          <w:i/>
          <w:sz w:val="23"/>
        </w:rPr>
        <w:t xml:space="preserve"> + </w:t>
      </w:r>
      <w:r>
        <w:rPr>
          <w:b w:val="0"/>
          <w:i/>
          <w:sz w:val="23"/>
        </w:rPr>
        <w:t>TX</w:t>
      </w:r>
      <w:r>
        <w:rPr>
          <w:b w:val="0"/>
          <w:i/>
          <w:sz w:val="23"/>
        </w:rPr>
        <w:t xml:space="preserve"> + </w:t>
      </w:r>
      <w:r>
        <w:rPr>
          <w:b w:val="0"/>
          <w:i/>
          <w:sz w:val="23"/>
        </w:rPr>
        <w:t>het</w:t>
      </w:r>
      <w:r>
        <w:rPr>
          <w:b w:val="0"/>
          <w:i/>
          <w:sz w:val="23"/>
        </w:rPr>
        <w:t xml:space="preserve"> + </w:t>
      </w:r>
      <w:r>
        <w:rPr>
          <w:b w:val="0"/>
          <w:i/>
          <w:sz w:val="23"/>
        </w:rPr>
        <w:t>rec</w:t>
      </w:r>
      <w:r>
        <w:rPr>
          <w:b w:val="0"/>
          <w:i/>
          <w:sz w:val="23"/>
        </w:rPr>
        <w:t xml:space="preserve"> + </w:t>
      </w:r>
      <w:r>
        <w:rPr>
          <w:b w:val="0"/>
          <w:i/>
          <w:sz w:val="23"/>
        </w:rPr>
        <w:t>age</w:t>
      </w:r>
      <w:r>
        <w:rPr>
          <w:b w:val="0"/>
          <w:i/>
          <w:sz w:val="23"/>
        </w:rPr>
        <w:t xml:space="preserve"> + </w:t>
      </w:r>
      <w:r>
        <w:rPr>
          <w:b w:val="0"/>
          <w:i/>
          <w:sz w:val="23"/>
        </w:rPr>
        <w:t>BTg</w:t>
      </w:r>
      <w:r>
        <w:rPr>
          <w:b w:val="0"/>
          <w:i/>
          <w:sz w:val="23"/>
        </w:rPr>
        <w:t xml:space="preserve"> + </w:t>
      </w:r>
      <w:r>
        <w:rPr>
          <w:b w:val="0"/>
          <w:i/>
          <w:sz w:val="23"/>
        </w:rPr>
        <w:t>RTg</w:t>
      </w:r>
      <w:r>
        <w:rPr>
          <w:b w:val="0"/>
          <w:i/>
          <w:sz w:val="23"/>
        </w:rPr>
        <w:t xml:space="preserve"> + </w:t>
      </w:r>
      <w:r>
        <w:rPr>
          <w:b w:val="0"/>
          <w:i/>
          <w:sz w:val="23"/>
        </w:rPr>
        <w:t>BTe</w:t>
      </w:r>
      <w:r>
        <w:rPr>
          <w:b w:val="0"/>
          <w:i/>
          <w:sz w:val="23"/>
        </w:rPr>
        <w:t xml:space="preserve"> + </w:t>
      </w:r>
      <w:r>
        <w:rPr>
          <w:b w:val="0"/>
          <w:i/>
          <w:sz w:val="23"/>
        </w:rPr>
        <w:t>RTe</w:t>
      </w:r>
      <w:r>
        <w:rPr>
          <w:b w:val="0"/>
          <w:i/>
          <w:sz w:val="23"/>
        </w:rPr>
        <w:t xml:space="preserve"> + </w:t>
      </w:r>
      <w:r>
        <w:rPr>
          <w:b w:val="0"/>
          <w:i/>
          <w:sz w:val="23"/>
        </w:rPr>
        <w:t>DP</w:t>
      </w:r>
      <w:r>
        <w:rPr>
          <w:b w:val="0"/>
          <w:i/>
          <w:sz w:val="23"/>
        </w:rPr>
        <w:t xml:space="preserve"> + </w:t>
      </w:r>
      <w:r>
        <w:rPr>
          <w:b w:val="0"/>
          <w:i/>
          <w:sz w:val="23"/>
        </w:rPr>
        <w:t>CG</w:t>
      </w:r>
      <w:r>
        <w:rPr>
          <w:b w:val="0"/>
          <w:i/>
          <w:sz w:val="23"/>
        </w:rPr>
        <w:t xml:space="preserve"> + </w:t>
      </w:r>
      <w:r>
        <w:rPr>
          <w:b w:val="0"/>
          <w:i/>
          <w:sz w:val="23"/>
        </w:rPr>
        <w:t>a</w:t>
      </w:r>
      <w:r>
        <w:rPr>
          <w:b w:val="0"/>
          <w:i/>
          <w:sz w:val="23"/>
        </w:rPr>
        <w:t xml:space="preserve"> + </w:t>
      </w:r>
      <w:r>
        <w:rPr>
          <w:b w:val="0"/>
          <w:i/>
          <w:sz w:val="23"/>
        </w:rPr>
        <w:t>pe</w:t>
      </w:r>
      <w:r>
        <w:rPr>
          <w:b w:val="0"/>
          <w:i/>
          <w:sz w:val="23"/>
        </w:rPr>
        <w:t xml:space="preserve"> </w:t>
      </w:r>
      <w:r>
        <w:rPr>
          <w:b w:val="0"/>
          <w:i/>
          <w:sz w:val="23"/>
          <w:highlight w:val="yellow"/>
        </w:rPr>
        <w:t xml:space="preserve">+ </w:t>
      </w:r>
      <w:r>
        <w:rPr>
          <w:b w:val="0"/>
          <w:i/>
          <w:sz w:val="23"/>
          <w:highlight w:val="yellow"/>
        </w:rPr>
        <w:t>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highlight w:val="yellow"/>
        </w:rPr>
        <w:t>e</w:t>
      </w:r>
      <w:r>
        <w:rPr>
          <w:b w:val="0"/>
          <w:i w:val="0"/>
          <w:highlight w:val="yellow"/>
        </w:rPr>
        <w:t xml:space="preserve"> was the residual random error term</w:t>
      </w:r>
      <w:r>
        <w:rPr>
          <w:b w:val="0"/>
          <w:i w:val="0"/>
        </w:rPr>
        <w:t xml:space="preserve">, where </w:t>
      </w:r>
      <w:r>
        <w:rPr>
          <w:b w:val="0"/>
          <w:i/>
        </w:rPr>
        <w:t>A</w:t>
      </w:r>
      <w:r>
        <w:rPr>
          <w:b w:val="0"/>
          <w:i w:val="0"/>
        </w:rPr>
        <w:t xml:space="preserve"> was the numerator relationship matrix, </w:t>
      </w:r>
      <w:r>
        <w:rPr>
          <w:b w:val="0"/>
          <w:i/>
        </w:rPr>
        <w:t>I</w:t>
      </w:r>
      <w:r>
        <w:rPr>
          <w:b w:val="0"/>
          <w:i w:val="0"/>
        </w:rPr>
        <w:t xml:space="preserve"> was the identity matrix, σ²ₐ was the direct additive genetic variance, σ²ₚₑ was the animal permanent environmental variance, and σ²ₑ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by physiological stage and by contemporary-group mean was examined for the five methane traits with sufficient data spanning multiple stages (CH4, CH4/MBW, CH4 ratio, RMTMBW, RMTMBW+CO2); it was not estimable for the four traits restricted to a single physiological stage or the sparse computed-tomography subset (CH4/ADG, CH4/MM, CH4/rumen, RMTADG). A young (&lt;660 days) versus mature genetic correlation for CH4 was also estimated (rg = 0.99). The genetic correlations reported below (Tables 3–5) are nonetheless from a single homogeneous residual variance for every trait: a heterogeneous-residual bivariate model was not estimable given the size and imbalance of the underlying contemporary groups, so this was instead checked by refitting the CH4–CH4/MBW bivariate model separately in young and mature animals; the genetic correlation was essentially unchanged across the full data and both age groups (rg = 0.85, 0.85 and 0.85, respectively).</w:t>
      </w:r>
      <w:r>
        <w:rPr>
          <w:b w:val="0"/>
          <w:i w:val="0"/>
        </w:rPr>
        <w:t xml:space="preserve"> When CH4/MM and CH4/rumen were the dependent variables the repeated animal effect was omitted from the model due to small numbers of repeated records. </w:t>
      </w:r>
      <w:r>
        <w:rPr>
          <w:b w:val="0"/>
          <w:i w:val="0"/>
          <w:highlight w:val="cyan"/>
        </w:rPr>
        <w:t xml:space="preserve">Heritability (h²) and repeatability (t) were calculated as:</w:t>
      </w:r>
    </w:p>
    <w:p>
      <w:pPr>
        <w:jc w:val="center"/>
      </w:pPr>
      <w:r>
        <w:rPr>
          <w:b w:val="0"/>
          <w:i/>
          <w:sz w:val="23"/>
          <w:highlight w:val="cyan"/>
        </w:rPr>
        <w:t xml:space="preserve">h² = σ²ₐ / (σ²ₐ + σ²ₚₑ + σ²ₑ)</w:t>
      </w:r>
    </w:p>
    <w:p>
      <w:pPr>
        <w:jc w:val="center"/>
      </w:pPr>
      <w:r>
        <w:rPr>
          <w:b w:val="0"/>
          <w:i/>
          <w:sz w:val="23"/>
          <w:highlight w:val="cyan"/>
        </w:rPr>
        <w:t xml:space="preserve">t = (σ²ₐ + σ²ₚₑ) / (σ²ₐ + σ²ₚₑ + σ²ₑ)</w:t>
      </w:r>
    </w:p>
    <w:p>
      <w:pPr>
        <w:jc w:val="both"/>
      </w:pPr>
      <w:r>
        <w:rPr>
          <w:b w:val="0"/>
          <w:i w:val="0"/>
          <w:highlight w:val="cyan"/>
        </w:rPr>
        <w:t xml:space="preserve">where σ²ₐ, σ²ₚₑ and σ²ₑ are as defined above; where the permanent environmental effect was omitted, t is not reported. </w:t>
      </w:r>
      <w:r>
        <w:rPr>
          <w:b w:val="0"/>
          <w:i w:val="0"/>
          <w:highlight w:val="green"/>
        </w:rPr>
        <w:t xml:space="preserve">Genetic and phenotypic correlations were obtained from the corresponding fitted (co)variance components</w:t>
      </w:r>
      <w:r>
        <w:rPr>
          <w:b w:val="0"/>
          <w:i w:val="0"/>
          <w:highlight w:val="yellow"/>
        </w:rPr>
        <w:t xml:space="preserve">, with standard errors derived by the delta method; computations were implemented in R version 4.2.3 [24].</w:t>
      </w:r>
      <w:r>
        <w:rPr>
          <w:b w:val="0"/>
          <w:i w:val="0"/>
        </w:rPr>
        <w:t xml:space="preserve"> Fixed-effect significance (Wald F-tests) and diagnostics of pedigree completeness, connectedness, and contemporary-group confounding are reported in Supplementary Material S1.</w:t>
      </w:r>
    </w:p>
    <w:p>
      <w:pPr>
        <w:pStyle w:val="Subheadings"/>
      </w:pPr>
      <w:r>
        <w:rPr>
          <w:highlight w:val="green"/>
        </w:rPr>
        <w:t xml:space="preserve">Selection index analysis</w:t>
      </w:r>
    </w:p>
    <w:p>
      <w:pPr>
        <w:jc w:val="both"/>
      </w:pPr>
      <w:r>
        <w:rPr>
          <w:b w:val="0"/>
          <w:i w:val="0"/>
          <w:highlight w:val="green"/>
        </w:rPr>
        <w:t xml:space="preserve">The selection index analysis was designed to compare how the absolute, ratio and residual definitions of methane behave when each is used as the methane trait in an index. It was deliberately restricted to methane, metabolic body weight (MBW) and CO2. </w:t>
      </w:r>
      <w:r>
        <w:rPr>
          <w:b w:val="0"/>
          <w:i w:val="0"/>
          <w:highlight w:val="cyan"/>
        </w:rPr>
        <w:t xml:space="preserve">The aim was to understand how alternative methane traits operate within an index, not to estimate the response to selection under a national breeding index.</w:t>
      </w:r>
    </w:p>
    <w:p>
      <w:pPr>
        <w:jc w:val="both"/>
      </w:pPr>
      <w:r>
        <w:rPr>
          <w:b w:val="0"/>
          <w:i w:val="0"/>
          <w:highlight w:val="green"/>
        </w:rPr>
        <w:t xml:space="preserve">Genetic parameters were taken from a trivariate animal model of CH4, MBW and CO2 fitted in ASReml [20] to the same 15,869 records, with the fixed effects of the univariate model, an unstructured additive genetic (co)variance matrix, diagonal animal permanent environmental variances, and an unstructured residual (co)variance matrix. Phenotypic variances (σ²ₚ) are the sums of the additive, permanent environmental and residual components, and are therefore conditional on the fixed effects and smaller than the raw variances of Table 1.</w:t>
      </w:r>
    </w:p>
    <w:p>
      <w:pPr>
        <w:jc w:val="both"/>
      </w:pPr>
      <w:r>
        <w:rPr>
          <w:b w:val="0"/>
          <w:i w:val="0"/>
          <w:highlight w:val="green"/>
        </w:rPr>
        <w:t xml:space="preserve">A Smith–Hazel selection index [44, 21] was used. For information traits CH4, MBW and CO2 recorded on the candidate, index weights are b = P⁻¹Ga, where P and G are the phenotypic and additive genetic (co)variance matrices and a defines the aggregate genotype (the methane goal). The predicted response is ΔG = i·Gb/√(b′Pb), where i is the selection intensity. Responses are reported per generation at i = 1, so that goals can be compared without an assumption about intensity; they scale linearly with i. Values for i = 1.7 and per year (generation interval 2.8 years) are given, for illustration, in Supplementary Table S2.</w:t>
      </w:r>
    </w:p>
    <w:p>
      <w:pPr>
        <w:jc w:val="both"/>
      </w:pPr>
      <w:r>
        <w:rPr>
          <w:b w:val="0"/>
          <w:i w:val="0"/>
          <w:highlight w:val="green"/>
        </w:rPr>
        <w:t xml:space="preserve">Each methane definition was expressed as a goal with coefficients on the breeding values of (CH4, MBW, CO2). Absolute methane was CH4 alone. The genetic residual was CH4 adjusted for MBW and CO2 using the genetic regression (coefficients 0.833 per kg⁰·⁷⁵ and −6.09×10⁻⁵ per g day⁻¹), and the phenotypic residual was the same adjustment using the phenotypic regression (0.423 per kg⁰·⁷⁵ and 0.00371 per g day⁻¹), corresponding to RMTMBW+CO2 in Table 1. Ratio traits were linearised around the trait means: CH4/MBW is proportional to CH4 − (μCH4/μMBW)·MBW, a weight on MBW of 0.810, and CH4/CO2 to CH4 − (μCH4/μCO2)·CO2, a weight on CO2 of 0.0151 per g day⁻¹. In all cases the index was built from the phenotypes of CH4, MBW and CO2.</w:t>
      </w:r>
    </w:p>
    <w:p>
      <w:pPr>
        <w:jc w:val="both"/>
      </w:pPr>
      <w:r>
        <w:rPr>
          <w:b w:val="0"/>
          <w:i w:val="0"/>
          <w:highlight w:val="cyan"/>
        </w:rPr>
        <w:t xml:space="preserve">A response was defined as biologically favourable when CH4 declined and neither MBW nor CO2 declined. The responses attainable by any index of the three traits, and the favourable region within them, are shown in Figure 1.</w:t>
      </w:r>
    </w:p>
    <w:p>
      <w:pPr>
        <w:jc w:val="both"/>
      </w:pPr>
      <w:r>
        <w:rPr>
          <w:b w:val="0"/>
          <w:i w:val="0"/>
          <w:highlight w:val="green"/>
        </w:rPr>
        <w:t xml:space="preserve">The analysis assumes that genetic parameters are constant across generations, that selection is on the candidate's own records (no relatives' records or genomic information), and that all three traits are recorded on every candidate.</w:t>
      </w:r>
      <w:r>
        <w:rPr>
          <w:b w:val="0"/>
          <w:i w:val="0"/>
          <w:highlight w:val="green"/>
        </w:rPr>
        <w:t xml:space="preserve"> Analyses were performed in R version 4.5.3 [24].</w:t>
      </w:r>
    </w:p>
    <w:p>
      <w:pPr/>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kg⁻¹ day⁻¹.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day⁻¹, reflecting the small denominator in this ratio trait. The mean values for methane traits derived from CT measurements were 1.44 (SD = 0.48) g kg⁻¹ day⁻¹ for CH₄/MM and 2.69 (SD = 0.88) g l⁻¹ day⁻¹ for CH₄/rumen. Residual methane traits were centred around zero by construction, with phenotypic standard deviations of 6.53 g day⁻¹ for RMTMBW, 5.32 g day⁻¹ for RMTMBW+CO2, and 4.75 g day⁻¹ for RMTADG.</w:t>
      </w:r>
    </w:p>
    <w:p>
      <w:pPr>
        <w:jc w:val="both"/>
      </w:pPr>
      <w:r>
        <w:rPr>
          <w:b/>
        </w:rPr>
        <w:t>Table 1.</w:t>
      </w:r>
      <w:r>
        <w:t xml:space="preserve"> </w:t>
      </w:r>
      <w:r>
        <w:rPr>
          <w:b w:val="0"/>
          <w:i w:val="0"/>
        </w:rPr>
        <w:t>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
              <w:rPr>
                <w:b w:val="0"/>
                <w:i w:val="0"/>
                <w:sz w:val="19"/>
              </w:rPr>
              <w:t>Trait group</w:t>
            </w:r>
          </w:p>
        </w:tc>
        <w:tc>
          <w:tcPr>
            <w:tcW w:type="dxa" w:w="1504"/>
          </w:tcPr>
          <w:p>
            <w:pPr>
              <w:jc w:val="both"/>
            </w:pPr>
            <w:r/>
            <w:r>
              <w:rPr>
                <w:b w:val="0"/>
                <w:i w:val="0"/>
                <w:sz w:val="19"/>
              </w:rPr>
              <w:t>Trait</w:t>
            </w:r>
          </w:p>
        </w:tc>
        <w:tc>
          <w:tcPr>
            <w:tcW w:type="dxa" w:w="1504"/>
          </w:tcPr>
          <w:p>
            <w:pPr>
              <w:jc w:val="center"/>
            </w:pPr>
            <w:r/>
            <w:r>
              <w:rPr>
                <w:b w:val="0"/>
                <w:i w:val="0"/>
                <w:sz w:val="19"/>
              </w:rPr>
              <w:t>No. records</w:t>
            </w:r>
          </w:p>
        </w:tc>
        <w:tc>
          <w:tcPr>
            <w:tcW w:type="dxa" w:w="1504"/>
          </w:tcPr>
          <w:p>
            <w:pPr>
              <w:jc w:val="center"/>
            </w:pPr>
            <w:r/>
            <w:r>
              <w:rPr>
                <w:b w:val="0"/>
                <w:i w:val="0"/>
                <w:sz w:val="19"/>
              </w:rPr>
              <w:t>No. animals</w:t>
            </w:r>
          </w:p>
        </w:tc>
        <w:tc>
          <w:tcPr>
            <w:tcW w:type="dxa" w:w="1504"/>
          </w:tcPr>
          <w:p>
            <w:pPr>
              <w:jc w:val="center"/>
            </w:pPr>
            <w:r/>
            <w:r>
              <w:rPr>
                <w:b w:val="0"/>
                <w:i w:val="0"/>
                <w:sz w:val="19"/>
              </w:rPr>
              <w:t>μ (SD)</w:t>
            </w:r>
          </w:p>
        </w:tc>
        <w:tc>
          <w:tcPr>
            <w:tcW w:type="dxa" w:w="1504"/>
          </w:tcPr>
          <w:p>
            <w:pPr>
              <w:jc w:val="center"/>
            </w:pPr>
            <w:r/>
            <w:r>
              <w:rPr>
                <w:b w:val="0"/>
                <w:i w:val="0"/>
                <w:sz w:val="19"/>
              </w:rPr>
              <w:t>Range</w:t>
            </w:r>
          </w:p>
        </w:tc>
      </w:tr>
      <w:tr>
        <w:tc>
          <w:tcPr>
            <w:tcW w:type="dxa" w:w="1504"/>
          </w:tcPr>
          <w:p>
            <w:pPr>
              <w:jc w:val="both"/>
            </w:pPr>
            <w:r/>
            <w:r>
              <w:rPr>
                <w:b w:val="0"/>
                <w:i w:val="0"/>
                <w:sz w:val="19"/>
              </w:rPr>
              <w:t>Absolute</w:t>
            </w:r>
          </w:p>
        </w:tc>
        <w:tc>
          <w:tcPr>
            <w:tcW w:type="dxa" w:w="1504"/>
          </w:tcPr>
          <w:p>
            <w:pPr>
              <w:jc w:val="both"/>
            </w:pPr>
            <w:r/>
            <w:r>
              <w:rPr>
                <w:b w:val="0"/>
                <w:i w:val="0"/>
                <w:sz w:val="19"/>
              </w:rPr>
              <w:t>CH4</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17.90 (7.56)</w:t>
            </w:r>
          </w:p>
        </w:tc>
        <w:tc>
          <w:tcPr>
            <w:tcW w:type="dxa" w:w="1504"/>
          </w:tcPr>
          <w:p>
            <w:pPr>
              <w:jc w:val="center"/>
            </w:pPr>
            <w:r/>
            <w:r>
              <w:rPr>
                <w:b w:val="0"/>
                <w:i w:val="0"/>
                <w:sz w:val="19"/>
              </w:rPr>
              <w:t>4.01 – 40.31</w:t>
            </w:r>
          </w:p>
        </w:tc>
      </w:tr>
      <w:tr>
        <w:tc>
          <w:tcPr>
            <w:tcW w:type="dxa" w:w="1504"/>
          </w:tcPr>
          <w:p>
            <w:pPr>
              <w:jc w:val="both"/>
            </w:pPr>
            <w:r/>
            <w:r>
              <w:rPr>
                <w:b w:val="0"/>
                <w:i w:val="0"/>
                <w:sz w:val="19"/>
                <w:highlight w:val="yellow"/>
              </w:rPr>
              <w:t>Absolute</w:t>
            </w:r>
          </w:p>
        </w:tc>
        <w:tc>
          <w:tcPr>
            <w:tcW w:type="dxa" w:w="1504"/>
          </w:tcPr>
          <w:p>
            <w:pPr>
              <w:jc w:val="both"/>
            </w:pPr>
            <w:r/>
            <w:r>
              <w:rPr>
                <w:b w:val="0"/>
                <w:i w:val="0"/>
                <w:sz w:val="19"/>
                <w:highlight w:val="yellow"/>
              </w:rPr>
              <w:t>CO2</w:t>
            </w:r>
          </w:p>
        </w:tc>
        <w:tc>
          <w:tcPr>
            <w:tcW w:type="dxa" w:w="1504"/>
          </w:tcPr>
          <w:p>
            <w:pPr>
              <w:jc w:val="center"/>
            </w:pPr>
            <w:r/>
            <w:r>
              <w:rPr>
                <w:b w:val="0"/>
                <w:i w:val="0"/>
                <w:sz w:val="19"/>
                <w:highlight w:val="yellow"/>
              </w:rPr>
              <w:t>15,869</w:t>
            </w:r>
          </w:p>
        </w:tc>
        <w:tc>
          <w:tcPr>
            <w:tcW w:type="dxa" w:w="1504"/>
          </w:tcPr>
          <w:p>
            <w:pPr>
              <w:jc w:val="center"/>
            </w:pPr>
            <w:r/>
            <w:r>
              <w:rPr>
                <w:b w:val="0"/>
                <w:i w:val="0"/>
                <w:sz w:val="19"/>
                <w:highlight w:val="yellow"/>
              </w:rPr>
              <w:t>8,185</w:t>
            </w:r>
          </w:p>
        </w:tc>
        <w:tc>
          <w:tcPr>
            <w:tcW w:type="dxa" w:w="1504"/>
          </w:tcPr>
          <w:p>
            <w:pPr>
              <w:jc w:val="center"/>
            </w:pPr>
            <w:r/>
            <w:r>
              <w:rPr>
                <w:b w:val="0"/>
                <w:i w:val="0"/>
                <w:sz w:val="19"/>
                <w:highlight w:val="yellow"/>
              </w:rPr>
              <w:t>1189.64 (534.24)</w:t>
            </w:r>
          </w:p>
        </w:tc>
        <w:tc>
          <w:tcPr>
            <w:tcW w:type="dxa" w:w="1504"/>
          </w:tcPr>
          <w:p>
            <w:pPr>
              <w:jc w:val="center"/>
            </w:pPr>
            <w:r/>
            <w:r>
              <w:rPr>
                <w:b w:val="0"/>
                <w:i w:val="0"/>
                <w:sz w:val="19"/>
                <w:highlight w:val="yellow"/>
              </w:rPr>
              <w:t>40.92 – 2869.08</w:t>
            </w:r>
          </w:p>
        </w:tc>
      </w:tr>
      <w:tr>
        <w:tc>
          <w:tcPr>
            <w:tcW w:type="dxa" w:w="1504"/>
          </w:tcPr>
          <w:p>
            <w:pPr>
              <w:jc w:val="both"/>
            </w:pPr>
            <w:r/>
            <w:r>
              <w:rPr>
                <w:b w:val="0"/>
                <w:i w:val="0"/>
                <w:sz w:val="19"/>
              </w:rPr>
              <w:t>Ratio</w:t>
            </w:r>
          </w:p>
        </w:tc>
        <w:tc>
          <w:tcPr>
            <w:tcW w:type="dxa" w:w="1504"/>
          </w:tcPr>
          <w:p>
            <w:pPr>
              <w:jc w:val="both"/>
            </w:pPr>
            <w:r/>
            <w:r>
              <w:rPr>
                <w:b w:val="0"/>
                <w:i w:val="0"/>
                <w:sz w:val="19"/>
              </w:rPr>
              <w:t>CH4/MBW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0.81 (0.29)</w:t>
            </w:r>
          </w:p>
        </w:tc>
        <w:tc>
          <w:tcPr>
            <w:tcW w:type="dxa" w:w="1504"/>
          </w:tcPr>
          <w:p>
            <w:pPr>
              <w:jc w:val="center"/>
            </w:pPr>
            <w:r/>
            <w:r>
              <w:rPr>
                <w:b w:val="0"/>
                <w:i w:val="0"/>
                <w:sz w:val="19"/>
              </w:rPr>
              <w:t>0.14 – 2.38</w:t>
            </w:r>
          </w:p>
        </w:tc>
      </w:tr>
      <w:tr>
        <w:tc>
          <w:tcPr>
            <w:tcW w:type="dxa" w:w="1504"/>
          </w:tcPr>
          <w:p>
            <w:pPr>
              <w:jc w:val="both"/>
            </w:pPr>
            <w:r/>
          </w:p>
        </w:tc>
        <w:tc>
          <w:tcPr>
            <w:tcW w:type="dxa" w:w="1504"/>
          </w:tcPr>
          <w:p>
            <w:pPr>
              <w:jc w:val="both"/>
            </w:pPr>
            <w:r/>
            <w:r>
              <w:rPr>
                <w:b w:val="0"/>
                <w:i w:val="0"/>
                <w:sz w:val="19"/>
              </w:rPr>
              <w:t>CH4 ratio</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0.02 (0.01)</w:t>
            </w:r>
          </w:p>
        </w:tc>
        <w:tc>
          <w:tcPr>
            <w:tcW w:type="dxa" w:w="1504"/>
          </w:tcPr>
          <w:p>
            <w:pPr>
              <w:jc w:val="center"/>
            </w:pPr>
            <w:r/>
            <w:r>
              <w:rPr>
                <w:b w:val="0"/>
                <w:i w:val="0"/>
                <w:sz w:val="19"/>
              </w:rPr>
              <w:t>0.00 – 0.19</w:t>
            </w:r>
          </w:p>
        </w:tc>
      </w:tr>
      <w:tr>
        <w:tc>
          <w:tcPr>
            <w:tcW w:type="dxa" w:w="1504"/>
          </w:tcPr>
          <w:p>
            <w:pPr>
              <w:jc w:val="both"/>
            </w:pPr>
            <w:r/>
          </w:p>
        </w:tc>
        <w:tc>
          <w:tcPr>
            <w:tcW w:type="dxa" w:w="1504"/>
          </w:tcPr>
          <w:p>
            <w:pPr>
              <w:jc w:val="both"/>
            </w:pPr>
            <w:r/>
            <w:r>
              <w:rPr>
                <w:b w:val="0"/>
                <w:i w:val="0"/>
                <w:sz w:val="19"/>
              </w:rPr>
              <w:t>CH4/ADG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137.89 (189.27)</w:t>
            </w:r>
          </w:p>
        </w:tc>
        <w:tc>
          <w:tcPr>
            <w:tcW w:type="dxa" w:w="1504"/>
          </w:tcPr>
          <w:p>
            <w:pPr>
              <w:jc w:val="center"/>
            </w:pPr>
            <w:r/>
            <w:r>
              <w:rPr>
                <w:b w:val="0"/>
                <w:i w:val="0"/>
                <w:sz w:val="19"/>
              </w:rPr>
              <w:t>12.03 – 2058.33</w:t>
            </w:r>
          </w:p>
        </w:tc>
      </w:tr>
      <w:tr>
        <w:tc>
          <w:tcPr>
            <w:tcW w:type="dxa" w:w="1504"/>
          </w:tcPr>
          <w:p>
            <w:pPr>
              <w:jc w:val="both"/>
            </w:pPr>
            <w:r/>
          </w:p>
        </w:tc>
        <w:tc>
          <w:tcPr>
            <w:tcW w:type="dxa" w:w="1504"/>
          </w:tcPr>
          <w:p>
            <w:pPr>
              <w:jc w:val="both"/>
            </w:pPr>
            <w:r/>
            <w:r>
              <w:rPr>
                <w:b w:val="0"/>
                <w:i w:val="0"/>
                <w:sz w:val="19"/>
              </w:rPr>
              <w:t>CH4/MM</w:t>
            </w:r>
          </w:p>
        </w:tc>
        <w:tc>
          <w:tcPr>
            <w:tcW w:type="dxa" w:w="1504"/>
          </w:tcPr>
          <w:p>
            <w:pPr>
              <w:jc w:val="center"/>
            </w:pPr>
            <w:r/>
            <w:r>
              <w:rPr>
                <w:b w:val="0"/>
                <w:i w:val="0"/>
                <w:sz w:val="19"/>
              </w:rPr>
              <w:t>766</w:t>
            </w:r>
          </w:p>
        </w:tc>
        <w:tc>
          <w:tcPr>
            <w:tcW w:type="dxa" w:w="1504"/>
          </w:tcPr>
          <w:p>
            <w:pPr>
              <w:jc w:val="center"/>
            </w:pPr>
            <w:r/>
            <w:r>
              <w:rPr>
                <w:b w:val="0"/>
                <w:i w:val="0"/>
                <w:sz w:val="19"/>
              </w:rPr>
              <w:t>751</w:t>
            </w:r>
          </w:p>
        </w:tc>
        <w:tc>
          <w:tcPr>
            <w:tcW w:type="dxa" w:w="1504"/>
          </w:tcPr>
          <w:p>
            <w:pPr>
              <w:jc w:val="center"/>
            </w:pPr>
            <w:r/>
            <w:r>
              <w:rPr>
                <w:b w:val="0"/>
                <w:i w:val="0"/>
                <w:sz w:val="19"/>
              </w:rPr>
              <w:t>1.44 (0.48)</w:t>
            </w:r>
          </w:p>
        </w:tc>
        <w:tc>
          <w:tcPr>
            <w:tcW w:type="dxa" w:w="1504"/>
          </w:tcPr>
          <w:p>
            <w:pPr>
              <w:jc w:val="center"/>
            </w:pPr>
            <w:r/>
            <w:r>
              <w:rPr>
                <w:b w:val="0"/>
                <w:i w:val="0"/>
                <w:sz w:val="19"/>
              </w:rPr>
              <w:t>0.33 – 3.08</w:t>
            </w:r>
          </w:p>
        </w:tc>
      </w:tr>
      <w:tr>
        <w:tc>
          <w:tcPr>
            <w:tcW w:type="dxa" w:w="1504"/>
          </w:tcPr>
          <w:p>
            <w:pPr>
              <w:jc w:val="both"/>
            </w:pPr>
            <w:r/>
          </w:p>
        </w:tc>
        <w:tc>
          <w:tcPr>
            <w:tcW w:type="dxa" w:w="1504"/>
          </w:tcPr>
          <w:p>
            <w:pPr>
              <w:jc w:val="both"/>
            </w:pPr>
            <w:r/>
            <w:r>
              <w:rPr>
                <w:b w:val="0"/>
                <w:i w:val="0"/>
                <w:sz w:val="19"/>
              </w:rPr>
              <w:t>CH4/rumen</w:t>
            </w:r>
          </w:p>
        </w:tc>
        <w:tc>
          <w:tcPr>
            <w:tcW w:type="dxa" w:w="1504"/>
          </w:tcPr>
          <w:p>
            <w:pPr>
              <w:jc w:val="center"/>
            </w:pPr>
            <w:r/>
            <w:r>
              <w:rPr>
                <w:b w:val="0"/>
                <w:i w:val="0"/>
                <w:sz w:val="19"/>
              </w:rPr>
              <w:t>766</w:t>
            </w:r>
          </w:p>
        </w:tc>
        <w:tc>
          <w:tcPr>
            <w:tcW w:type="dxa" w:w="1504"/>
          </w:tcPr>
          <w:p>
            <w:pPr>
              <w:jc w:val="center"/>
            </w:pPr>
            <w:r/>
            <w:r>
              <w:rPr>
                <w:b w:val="0"/>
                <w:i w:val="0"/>
                <w:sz w:val="19"/>
              </w:rPr>
              <w:t>746</w:t>
            </w:r>
          </w:p>
        </w:tc>
        <w:tc>
          <w:tcPr>
            <w:tcW w:type="dxa" w:w="1504"/>
          </w:tcPr>
          <w:p>
            <w:pPr>
              <w:jc w:val="center"/>
            </w:pPr>
            <w:r/>
            <w:r>
              <w:rPr>
                <w:b w:val="0"/>
                <w:i w:val="0"/>
                <w:sz w:val="19"/>
              </w:rPr>
              <w:t>2.69 (0.88)</w:t>
            </w:r>
          </w:p>
        </w:tc>
        <w:tc>
          <w:tcPr>
            <w:tcW w:type="dxa" w:w="1504"/>
          </w:tcPr>
          <w:p>
            <w:pPr>
              <w:jc w:val="center"/>
            </w:pPr>
            <w:r/>
            <w:r>
              <w:rPr>
                <w:b w:val="0"/>
                <w:i w:val="0"/>
                <w:sz w:val="19"/>
              </w:rPr>
              <w:t>0.65 – 5.73</w:t>
            </w:r>
          </w:p>
        </w:tc>
      </w:tr>
      <w:tr>
        <w:tc>
          <w:tcPr>
            <w:tcW w:type="dxa" w:w="1504"/>
          </w:tcPr>
          <w:p>
            <w:pPr>
              <w:jc w:val="both"/>
            </w:pPr>
            <w:r/>
            <w:r>
              <w:rPr>
                <w:b w:val="0"/>
                <w:i w:val="0"/>
                <w:sz w:val="19"/>
              </w:rPr>
              <w:t>Residual</w:t>
            </w:r>
          </w:p>
        </w:tc>
        <w:tc>
          <w:tcPr>
            <w:tcW w:type="dxa" w:w="1504"/>
          </w:tcPr>
          <w:p>
            <w:pPr>
              <w:jc w:val="both"/>
            </w:pPr>
            <w:r/>
            <w:r>
              <w:rPr>
                <w:b w:val="0"/>
                <w:i w:val="0"/>
                <w:sz w:val="19"/>
              </w:rPr>
              <w:t>RMTMBW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(6.53)</w:t>
            </w:r>
          </w:p>
        </w:tc>
        <w:tc>
          <w:tcPr>
            <w:tcW w:type="dxa" w:w="1504"/>
          </w:tcPr>
          <w:p>
            <w:pPr>
              <w:jc w:val="center"/>
            </w:pPr>
            <w:r/>
            <w:r>
              <w:rPr>
                <w:b w:val="0"/>
                <w:i w:val="0"/>
                <w:sz w:val="19"/>
              </w:rPr>
              <w:t>-20.48 – 21.33</w:t>
            </w:r>
          </w:p>
        </w:tc>
      </w:tr>
      <w:tr>
        <w:tc>
          <w:tcPr>
            <w:tcW w:type="dxa" w:w="1504"/>
          </w:tcPr>
          <w:p>
            <w:pPr>
              <w:jc w:val="both"/>
            </w:pPr>
            <w:r/>
          </w:p>
        </w:tc>
        <w:tc>
          <w:tcPr>
            <w:tcW w:type="dxa" w:w="1504"/>
          </w:tcPr>
          <w:p>
            <w:pPr>
              <w:jc w:val="both"/>
            </w:pPr>
            <w:r/>
            <w:r>
              <w:rPr>
                <w:b w:val="0"/>
                <w:i w:val="0"/>
                <w:sz w:val="19"/>
              </w:rPr>
              <w:t>RMTMBW+CO2</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(5.32)</w:t>
            </w:r>
          </w:p>
        </w:tc>
        <w:tc>
          <w:tcPr>
            <w:tcW w:type="dxa" w:w="1504"/>
          </w:tcPr>
          <w:p>
            <w:pPr>
              <w:jc w:val="center"/>
            </w:pPr>
            <w:r/>
            <w:r>
              <w:rPr>
                <w:b w:val="0"/>
                <w:i w:val="0"/>
                <w:sz w:val="19"/>
              </w:rPr>
              <w:t>-23.38 – 24.15</w:t>
            </w:r>
          </w:p>
        </w:tc>
      </w:tr>
      <w:tr>
        <w:tc>
          <w:tcPr>
            <w:tcW w:type="dxa" w:w="1504"/>
          </w:tcPr>
          <w:p>
            <w:pPr>
              <w:jc w:val="both"/>
            </w:pPr>
            <w:r/>
          </w:p>
        </w:tc>
        <w:tc>
          <w:tcPr>
            <w:tcW w:type="dxa" w:w="1504"/>
          </w:tcPr>
          <w:p>
            <w:pPr>
              <w:jc w:val="both"/>
            </w:pPr>
            <w:r/>
            <w:r>
              <w:rPr>
                <w:b w:val="0"/>
                <w:i w:val="0"/>
                <w:sz w:val="19"/>
              </w:rPr>
              <w:t>RMTADG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0.00 (4.75)</w:t>
            </w:r>
          </w:p>
        </w:tc>
        <w:tc>
          <w:tcPr>
            <w:tcW w:type="dxa" w:w="1504"/>
          </w:tcPr>
          <w:p>
            <w:pPr>
              <w:jc w:val="center"/>
            </w:pPr>
            <w:r/>
            <w:r>
              <w:rPr>
                <w:b w:val="0"/>
                <w:i w:val="0"/>
                <w:sz w:val="19"/>
              </w:rPr>
              <w:t>-10.23 – 25.82</w:t>
            </w:r>
          </w:p>
        </w:tc>
      </w:tr>
    </w:tbl>
    <w:p/>
    <w:p>
      <w:pPr>
        <w:jc w:val="both"/>
      </w:pPr>
      <w:r>
        <w:rPr>
          <w:b w:val="0"/>
          <w:i/>
          <w:sz w:val="20"/>
        </w:rPr>
        <w:t xml:space="preserve">CH₄ is daily methane output in grams per day; </w:t>
      </w:r>
      <w:r>
        <w:rPr>
          <w:b w:val="0"/>
          <w:i/>
          <w:sz w:val="20"/>
          <w:highlight w:val="yellow"/>
        </w:rPr>
        <w:t>CO2 is daily carbon dioxide output in grams per day;</w:t>
      </w:r>
      <w:r>
        <w:rPr>
          <w:b w:val="0"/>
          <w:i/>
          <w:sz w:val="20"/>
        </w:rPr>
        <w:t xml:space="preserve">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RMTMBW+CO2,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highlight w:val="yellow"/>
        </w:rPr>
        <w:t>Genetic parameters for the methane and CO2 trait definitions are presented in Table 2. Genetic standard deviations ranged from 0.07 g kg⁻¹ day⁻¹ for methane intensity (CH₄/MBW) to 35.92 g kg⁻¹ day⁻¹ for methane expressed relative to growth rate (CH₄/ADG), with corresponding genetic coefficient of variation (CVa) values of 8.89% and 26.05%, respectively. Methane production (CH₄) had a genetic standard deviation of 1.98 g day⁻¹ and CVa of 11.06%, and carbon dioxide production (CO2) had a genetic standard deviation of 138.44 g day⁻¹ and CVa of 11.64%. The genetic standard deviation for methane expressed relative to muscle mass and rumen volume were 0.20 g kg⁻¹ day⁻¹ and 0.37 g l⁻¹ day⁻¹ with CVa values of 13.59% and 13.83%, respectively. Residual methane traits (RMTMBW, RMTMBW+CO2, and RMTADG) had genetic standard deviations of 1.59, 1.65, and 1.55 g day⁻¹.</w:t>
      </w:r>
    </w:p>
    <w:p>
      <w:pPr>
        <w:jc w:val="both"/>
      </w:pPr>
      <w:r>
        <w:rPr>
          <w:b w:val="0"/>
          <w:i w:val="0"/>
          <w:highlight w:val="yellow"/>
        </w:rPr>
        <w:t>Heritability estimates ranged from 0.10 ± 0.01 for CH₄ ratio to 0.46 ± 0.11 for CH₄/MM (Table 2). Heritability estimates for CH₄ g day⁻¹ (0.25 ± 0.02), CH₄/MBW (0.19 ± 0.02), CH₄/ADG (0.12 ± 0.03), and residual methane traits of RMTMBW (0.18 ± 0.02), RMTMBW+CO2 (0.18 ± 0.02) and RMTADG (0.28 ± 0.03) were broadly similar. Carbon dioxide production (CO2) was somewhat more heritable (0.28 ± 0.02; repeatability 0.54 ± 0.01). Methane expressed relative to muscle mass and rumen volume produced larger heritability estimates (0.46 ± 0.11 and 0.35 ± 0.11), although both were associated with larger standard errors, consistent with their much smaller sample sizes (766 CT records). Repeatability estimates ranged from 0.10 ± 0.008 (CH₄ ratio) to 0.46 (CH₄/MM, where the permanent environmental variance was not estimable and t therefore equals h²).</w:t>
      </w:r>
    </w:p>
    <w:p>
      <w:pPr>
        <w:jc w:val="both"/>
      </w:pPr>
      <w:r>
        <w:rPr>
          <w:b w:val="0"/>
          <w:i w:val="0"/>
          <w:highlight w:val="yellow"/>
        </w:rPr>
        <w:t>CH₄ ratio's heritability (0.10 ± 0.01) was the lowest of any definition and was sensitive to how residual variance was modelled: allowing the residual variance to differ across contemporary-group-mean classes raised it to 0.19 (repeatability 0.32), because its near-zero permanent-environmental variance under a single homogeneous residual recovered once the residual was allowed to vary by class. An independent estimate derived from the component (co)variances of CH₄ and CO₂ gave a similar value (~0.19). Table 2 reports the homogeneous-residual estimate, used consistently across all nine methane definitions.</w:t>
      </w:r>
    </w:p>
    <w:p>
      <w:pPr>
        <w:jc w:val="both"/>
      </w:pPr>
      <w:r>
        <w:rPr>
          <w:b/>
        </w:rPr>
        <w:t>Table 2.</w:t>
      </w:r>
      <w:r>
        <w:t xml:space="preserve"> </w:t>
      </w:r>
      <w:r>
        <w:rPr>
          <w:b w:val="0"/>
          <w:i w:val="0"/>
        </w:rPr>
        <w:t>Genetic parameters for methane and CO2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σa</w:t>
            </w:r>
          </w:p>
        </w:tc>
        <w:tc>
          <w:tcPr>
            <w:tcW w:type="dxa" w:w="1289"/>
          </w:tcPr>
          <w:p>
            <w:pPr>
              <w:jc w:val="center"/>
            </w:pPr>
            <w:r/>
            <w:r>
              <w:rPr>
                <w:b w:val="0"/>
                <w:i w:val="0"/>
                <w:sz w:val="19"/>
              </w:rPr>
              <w:t>σpe</w:t>
            </w:r>
          </w:p>
        </w:tc>
        <w:tc>
          <w:tcPr>
            <w:tcW w:type="dxa" w:w="1289"/>
          </w:tcPr>
          <w:p>
            <w:pPr>
              <w:jc w:val="center"/>
            </w:pPr>
            <w:r/>
            <w:r>
              <w:rPr>
                <w:b w:val="0"/>
                <w:i w:val="0"/>
                <w:sz w:val="19"/>
              </w:rPr>
              <w:t>h² (SE)</w:t>
            </w:r>
          </w:p>
        </w:tc>
        <w:tc>
          <w:tcPr>
            <w:tcW w:type="dxa" w:w="1289"/>
          </w:tcPr>
          <w:p>
            <w:pPr>
              <w:jc w:val="center"/>
            </w:pPr>
            <w:r/>
            <w:r>
              <w:rPr>
                <w:b w:val="0"/>
                <w:i w:val="0"/>
                <w:sz w:val="19"/>
              </w:rPr>
              <w:t>t (SE)</w:t>
            </w:r>
          </w:p>
        </w:tc>
        <w:tc>
          <w:tcPr>
            <w:tcW w:type="dxa" w:w="1289"/>
          </w:tcPr>
          <w:p>
            <w:pPr>
              <w:jc w:val="center"/>
            </w:pPr>
            <w:r/>
            <w:r>
              <w:rPr>
                <w:b w:val="0"/>
                <w:i w:val="0"/>
                <w:sz w:val="19"/>
              </w:rPr>
              <w:t>CVa</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1.98 (0.09)</w:t>
            </w:r>
          </w:p>
        </w:tc>
        <w:tc>
          <w:tcPr>
            <w:tcW w:type="dxa" w:w="1289"/>
          </w:tcPr>
          <w:p>
            <w:pPr>
              <w:jc w:val="center"/>
            </w:pPr>
            <w:r/>
            <w:r>
              <w:rPr>
                <w:b w:val="0"/>
                <w:i w:val="0"/>
                <w:sz w:val="19"/>
                <w:highlight w:val="yellow"/>
              </w:rPr>
              <w:t>1.09 (0.13)</w:t>
            </w:r>
          </w:p>
        </w:tc>
        <w:tc>
          <w:tcPr>
            <w:tcW w:type="dxa" w:w="1289"/>
          </w:tcPr>
          <w:p>
            <w:pPr>
              <w:jc w:val="center"/>
            </w:pPr>
            <w:r/>
            <w:r>
              <w:rPr>
                <w:b w:val="0"/>
                <w:i w:val="0"/>
                <w:sz w:val="19"/>
                <w:highlight w:val="yellow"/>
              </w:rPr>
              <w:t>0.2474 (0.0205)</w:t>
            </w:r>
          </w:p>
        </w:tc>
        <w:tc>
          <w:tcPr>
            <w:tcW w:type="dxa" w:w="1289"/>
          </w:tcPr>
          <w:p>
            <w:pPr>
              <w:jc w:val="center"/>
            </w:pPr>
            <w:r/>
            <w:r>
              <w:rPr>
                <w:b w:val="0"/>
                <w:i w:val="0"/>
                <w:sz w:val="19"/>
                <w:highlight w:val="yellow"/>
              </w:rPr>
              <w:t>0.3223 (0.0127)</w:t>
            </w:r>
          </w:p>
        </w:tc>
        <w:tc>
          <w:tcPr>
            <w:tcW w:type="dxa" w:w="1289"/>
          </w:tcPr>
          <w:p>
            <w:pPr>
              <w:jc w:val="center"/>
            </w:pPr>
            <w:r/>
            <w:r>
              <w:rPr>
                <w:b w:val="0"/>
                <w:i w:val="0"/>
                <w:sz w:val="19"/>
                <w:highlight w:val="yellow"/>
              </w:rPr>
              <w:t>11.06%</w:t>
            </w:r>
          </w:p>
        </w:tc>
      </w:tr>
      <w:tr>
        <w:tc>
          <w:tcPr>
            <w:tcW w:type="dxa" w:w="1289"/>
          </w:tcPr>
          <w:p>
            <w:pPr>
              <w:jc w:val="both"/>
            </w:pPr>
            <w:r/>
            <w:r>
              <w:rPr>
                <w:b w:val="0"/>
                <w:i w:val="0"/>
                <w:sz w:val="19"/>
                <w:highlight w:val="yellow"/>
              </w:rPr>
              <w:t>Absolute</w:t>
            </w:r>
          </w:p>
        </w:tc>
        <w:tc>
          <w:tcPr>
            <w:tcW w:type="dxa" w:w="1289"/>
          </w:tcPr>
          <w:p>
            <w:pPr>
              <w:jc w:val="both"/>
            </w:pPr>
            <w:r/>
            <w:r>
              <w:rPr>
                <w:b w:val="0"/>
                <w:i w:val="0"/>
                <w:sz w:val="19"/>
                <w:highlight w:val="yellow"/>
              </w:rPr>
              <w:t>CO2</w:t>
            </w:r>
          </w:p>
        </w:tc>
        <w:tc>
          <w:tcPr>
            <w:tcW w:type="dxa" w:w="1289"/>
          </w:tcPr>
          <w:p>
            <w:pPr>
              <w:jc w:val="center"/>
            </w:pPr>
            <w:r/>
            <w:r>
              <w:rPr>
                <w:b w:val="0"/>
                <w:i w:val="0"/>
                <w:sz w:val="19"/>
                <w:highlight w:val="yellow"/>
              </w:rPr>
              <w:t>138.44</w:t>
            </w:r>
          </w:p>
        </w:tc>
        <w:tc>
          <w:tcPr>
            <w:tcW w:type="dxa" w:w="1289"/>
          </w:tcPr>
          <w:p>
            <w:pPr>
              <w:jc w:val="center"/>
            </w:pPr>
            <w:r/>
            <w:r>
              <w:rPr>
                <w:b w:val="0"/>
                <w:i w:val="0"/>
                <w:sz w:val="19"/>
                <w:highlight w:val="yellow"/>
              </w:rPr>
              <w:t>130.92</w:t>
            </w:r>
          </w:p>
        </w:tc>
        <w:tc>
          <w:tcPr>
            <w:tcW w:type="dxa" w:w="1289"/>
          </w:tcPr>
          <w:p>
            <w:pPr>
              <w:jc w:val="center"/>
            </w:pPr>
            <w:r/>
            <w:r>
              <w:rPr>
                <w:b w:val="0"/>
                <w:i w:val="0"/>
                <w:sz w:val="19"/>
                <w:highlight w:val="yellow"/>
              </w:rPr>
              <w:t>0.2838 (0.0230)</w:t>
            </w:r>
          </w:p>
        </w:tc>
        <w:tc>
          <w:tcPr>
            <w:tcW w:type="dxa" w:w="1289"/>
          </w:tcPr>
          <w:p>
            <w:pPr>
              <w:jc w:val="center"/>
            </w:pPr>
            <w:r/>
            <w:r>
              <w:rPr>
                <w:b w:val="0"/>
                <w:i w:val="0"/>
                <w:sz w:val="19"/>
                <w:highlight w:val="yellow"/>
              </w:rPr>
              <w:t>0.5376 (0.0100)</w:t>
            </w:r>
          </w:p>
        </w:tc>
        <w:tc>
          <w:tcPr>
            <w:tcW w:type="dxa" w:w="1289"/>
          </w:tcPr>
          <w:p>
            <w:pPr>
              <w:jc w:val="center"/>
            </w:pPr>
            <w:r/>
            <w:r>
              <w:rPr>
                <w:b w:val="0"/>
                <w:i w:val="0"/>
                <w:sz w:val="19"/>
                <w:highlight w:val="yellow"/>
              </w:rPr>
              <w:t>11.64%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highlight w:val="yellow"/>
              </w:rPr>
              <w:t>0.072 (0.004)</w:t>
            </w:r>
          </w:p>
        </w:tc>
        <w:tc>
          <w:tcPr>
            <w:tcW w:type="dxa" w:w="1289"/>
          </w:tcPr>
          <w:p>
            <w:pPr>
              <w:jc w:val="center"/>
            </w:pPr>
            <w:r/>
            <w:r>
              <w:rPr>
                <w:b w:val="0"/>
                <w:i w:val="0"/>
                <w:sz w:val="19"/>
                <w:highlight w:val="yellow"/>
              </w:rPr>
              <w:t>0.052 (0.005)</w:t>
            </w:r>
          </w:p>
        </w:tc>
        <w:tc>
          <w:tcPr>
            <w:tcW w:type="dxa" w:w="1289"/>
          </w:tcPr>
          <w:p>
            <w:pPr>
              <w:jc w:val="center"/>
            </w:pPr>
            <w:r/>
            <w:r>
              <w:rPr>
                <w:b w:val="0"/>
                <w:i w:val="0"/>
                <w:sz w:val="19"/>
                <w:highlight w:val="yellow"/>
              </w:rPr>
              <w:t>0.1877 (0.0192)</w:t>
            </w:r>
          </w:p>
        </w:tc>
        <w:tc>
          <w:tcPr>
            <w:tcW w:type="dxa" w:w="1289"/>
          </w:tcPr>
          <w:p>
            <w:pPr>
              <w:jc w:val="center"/>
            </w:pPr>
            <w:r/>
            <w:r>
              <w:rPr>
                <w:b w:val="0"/>
                <w:i w:val="0"/>
                <w:sz w:val="19"/>
                <w:highlight w:val="yellow"/>
              </w:rPr>
              <w:t>0.2865 (0.0126)</w:t>
            </w:r>
          </w:p>
        </w:tc>
        <w:tc>
          <w:tcPr>
            <w:tcW w:type="dxa" w:w="1289"/>
          </w:tcPr>
          <w:p>
            <w:pPr>
              <w:jc w:val="center"/>
            </w:pPr>
            <w:r/>
            <w:r>
              <w:rPr>
                <w:b w:val="0"/>
                <w:i w:val="0"/>
                <w:sz w:val="19"/>
                <w:highlight w:val="yellow"/>
              </w:rPr>
              <w:t>8.89%</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highlight w:val="yellow"/>
              </w:rPr>
              <w:t>1.40×10⁻³ (0.09×10⁻³)</w:t>
            </w:r>
          </w:p>
        </w:tc>
        <w:tc>
          <w:tcPr>
            <w:tcW w:type="dxa" w:w="1289"/>
          </w:tcPr>
          <w:p>
            <w:pPr>
              <w:jc w:val="center"/>
            </w:pPr>
            <w:r/>
            <w:r>
              <w:rPr>
                <w:b w:val="0"/>
                <w:i w:val="0"/>
                <w:sz w:val="19"/>
                <w:highlight w:val="yellow"/>
              </w:rPr>
              <w:t>1.16×10⁻⁴ (0.83×10⁻³)</w:t>
            </w:r>
          </w:p>
        </w:tc>
        <w:tc>
          <w:tcPr>
            <w:tcW w:type="dxa" w:w="1289"/>
          </w:tcPr>
          <w:p>
            <w:pPr>
              <w:jc w:val="center"/>
            </w:pPr>
            <w:r/>
            <w:r>
              <w:rPr>
                <w:b w:val="0"/>
                <w:i w:val="0"/>
                <w:sz w:val="19"/>
                <w:highlight w:val="yellow"/>
              </w:rPr>
              <w:t>0.1016 (0.0125)</w:t>
            </w:r>
          </w:p>
        </w:tc>
        <w:tc>
          <w:tcPr>
            <w:tcW w:type="dxa" w:w="1289"/>
          </w:tcPr>
          <w:p>
            <w:pPr>
              <w:jc w:val="center"/>
            </w:pPr>
            <w:r/>
            <w:r>
              <w:rPr>
                <w:b w:val="0"/>
                <w:i w:val="0"/>
                <w:sz w:val="19"/>
                <w:highlight w:val="yellow"/>
              </w:rPr>
              <w:t>0.1023 (0.0079)</w:t>
            </w:r>
          </w:p>
        </w:tc>
        <w:tc>
          <w:tcPr>
            <w:tcW w:type="dxa" w:w="1289"/>
          </w:tcPr>
          <w:p>
            <w:pPr>
              <w:jc w:val="center"/>
            </w:pPr>
            <w:r/>
            <w:r>
              <w:rPr>
                <w:b w:val="0"/>
                <w:i w:val="0"/>
                <w:sz w:val="19"/>
                <w:highlight w:val="yellow"/>
              </w:rPr>
              <w:t>–</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highlight w:val="yellow"/>
              </w:rPr>
              <w:t>35.92 (4.73)</w:t>
            </w:r>
          </w:p>
        </w:tc>
        <w:tc>
          <w:tcPr>
            <w:tcW w:type="dxa" w:w="1289"/>
          </w:tcPr>
          <w:p>
            <w:pPr>
              <w:jc w:val="center"/>
            </w:pPr>
            <w:r/>
            <w:r>
              <w:rPr>
                <w:b w:val="0"/>
                <w:i w:val="0"/>
                <w:sz w:val="19"/>
                <w:highlight w:val="yellow"/>
              </w:rPr>
              <w:t>44.35 (3.68)</w:t>
            </w:r>
          </w:p>
        </w:tc>
        <w:tc>
          <w:tcPr>
            <w:tcW w:type="dxa" w:w="1289"/>
          </w:tcPr>
          <w:p>
            <w:pPr>
              <w:jc w:val="center"/>
            </w:pPr>
            <w:r/>
            <w:r>
              <w:rPr>
                <w:b w:val="0"/>
                <w:i w:val="0"/>
                <w:sz w:val="19"/>
                <w:highlight w:val="yellow"/>
              </w:rPr>
              <w:t>0.1176 (0.0301)</w:t>
            </w:r>
          </w:p>
        </w:tc>
        <w:tc>
          <w:tcPr>
            <w:tcW w:type="dxa" w:w="1289"/>
          </w:tcPr>
          <w:p>
            <w:pPr>
              <w:jc w:val="center"/>
            </w:pPr>
            <w:r/>
            <w:r>
              <w:rPr>
                <w:b w:val="0"/>
                <w:i w:val="0"/>
                <w:sz w:val="19"/>
                <w:highlight w:val="yellow"/>
              </w:rPr>
              <w:t>0.2970 (0.0166)</w:t>
            </w:r>
          </w:p>
        </w:tc>
        <w:tc>
          <w:tcPr>
            <w:tcW w:type="dxa" w:w="1289"/>
          </w:tcPr>
          <w:p>
            <w:pPr>
              <w:jc w:val="center"/>
            </w:pPr>
            <w:r/>
            <w:r>
              <w:rPr>
                <w:b w:val="0"/>
                <w:i w:val="0"/>
                <w:sz w:val="19"/>
                <w:highlight w:val="yellow"/>
              </w:rPr>
              <w:t>26.05%</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highlight w:val="yellow"/>
              </w:rPr>
              <w:t>0.20 (0.03)</w:t>
            </w:r>
          </w:p>
        </w:tc>
        <w:tc>
          <w:tcPr>
            <w:tcW w:type="dxa" w:w="1289"/>
          </w:tcPr>
          <w:p>
            <w:pPr>
              <w:jc w:val="center"/>
            </w:pPr>
            <w:r/>
            <w:r>
              <w:rPr>
                <w:b w:val="0"/>
                <w:i w:val="0"/>
                <w:sz w:val="19"/>
              </w:rPr>
              <w:t>–</w:t>
            </w:r>
          </w:p>
        </w:tc>
        <w:tc>
          <w:tcPr>
            <w:tcW w:type="dxa" w:w="1289"/>
          </w:tcPr>
          <w:p>
            <w:pPr>
              <w:jc w:val="center"/>
            </w:pPr>
            <w:r/>
            <w:r>
              <w:rPr>
                <w:b w:val="0"/>
                <w:i w:val="0"/>
                <w:sz w:val="19"/>
                <w:highlight w:val="yellow"/>
              </w:rPr>
              <w:t>0.4581 (0.1064)</w:t>
            </w:r>
          </w:p>
        </w:tc>
        <w:tc>
          <w:tcPr>
            <w:tcW w:type="dxa" w:w="1289"/>
          </w:tcPr>
          <w:p>
            <w:pPr>
              <w:jc w:val="center"/>
            </w:pPr>
            <w:r/>
            <w:r>
              <w:rPr>
                <w:b w:val="0"/>
                <w:i w:val="0"/>
                <w:sz w:val="19"/>
              </w:rPr>
              <w:t>–</w:t>
            </w:r>
          </w:p>
        </w:tc>
        <w:tc>
          <w:tcPr>
            <w:tcW w:type="dxa" w:w="1289"/>
          </w:tcPr>
          <w:p>
            <w:pPr>
              <w:jc w:val="center"/>
            </w:pPr>
            <w:r/>
            <w:r>
              <w:rPr>
                <w:b w:val="0"/>
                <w:i w:val="0"/>
                <w:sz w:val="19"/>
                <w:highlight w:val="yellow"/>
              </w:rPr>
              <w:t>13.59%</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highlight w:val="yellow"/>
              </w:rPr>
              <w:t>0.37 (0.06)</w:t>
            </w:r>
          </w:p>
        </w:tc>
        <w:tc>
          <w:tcPr>
            <w:tcW w:type="dxa" w:w="1289"/>
          </w:tcPr>
          <w:p>
            <w:pPr>
              <w:jc w:val="center"/>
            </w:pPr>
            <w:r/>
            <w:r>
              <w:rPr>
                <w:b w:val="0"/>
                <w:i w:val="0"/>
                <w:sz w:val="19"/>
              </w:rPr>
              <w:t>–</w:t>
            </w:r>
          </w:p>
        </w:tc>
        <w:tc>
          <w:tcPr>
            <w:tcW w:type="dxa" w:w="1289"/>
          </w:tcPr>
          <w:p>
            <w:pPr>
              <w:jc w:val="center"/>
            </w:pPr>
            <w:r/>
            <w:r>
              <w:rPr>
                <w:b w:val="0"/>
                <w:i w:val="0"/>
                <w:sz w:val="19"/>
                <w:highlight w:val="yellow"/>
              </w:rPr>
              <w:t>0.3547 (0.1066)</w:t>
            </w:r>
          </w:p>
        </w:tc>
        <w:tc>
          <w:tcPr>
            <w:tcW w:type="dxa" w:w="1289"/>
          </w:tcPr>
          <w:p>
            <w:pPr>
              <w:jc w:val="center"/>
            </w:pPr>
            <w:r/>
            <w:r>
              <w:rPr>
                <w:b w:val="0"/>
                <w:i w:val="0"/>
                <w:sz w:val="19"/>
              </w:rPr>
              <w:t>–</w:t>
            </w:r>
          </w:p>
        </w:tc>
        <w:tc>
          <w:tcPr>
            <w:tcW w:type="dxa" w:w="1289"/>
          </w:tcPr>
          <w:p>
            <w:pPr>
              <w:jc w:val="center"/>
            </w:pPr>
            <w:r/>
            <w:r>
              <w:rPr>
                <w:b w:val="0"/>
                <w:i w:val="0"/>
                <w:sz w:val="19"/>
                <w:highlight w:val="yellow"/>
              </w:rPr>
              <w:t>13.83%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1.59 (0.09)</w:t>
            </w:r>
          </w:p>
        </w:tc>
        <w:tc>
          <w:tcPr>
            <w:tcW w:type="dxa" w:w="1289"/>
          </w:tcPr>
          <w:p>
            <w:pPr>
              <w:jc w:val="center"/>
            </w:pPr>
            <w:r/>
            <w:r>
              <w:rPr>
                <w:b w:val="0"/>
                <w:i w:val="0"/>
                <w:sz w:val="19"/>
                <w:highlight w:val="yellow"/>
              </w:rPr>
              <w:t>1.26 (0.10)</w:t>
            </w:r>
          </w:p>
        </w:tc>
        <w:tc>
          <w:tcPr>
            <w:tcW w:type="dxa" w:w="1289"/>
          </w:tcPr>
          <w:p>
            <w:pPr>
              <w:jc w:val="center"/>
            </w:pPr>
            <w:r/>
            <w:r>
              <w:rPr>
                <w:b w:val="0"/>
                <w:i w:val="0"/>
                <w:sz w:val="19"/>
                <w:highlight w:val="yellow"/>
              </w:rPr>
              <w:t>0.1803 (0.0193)</w:t>
            </w:r>
          </w:p>
        </w:tc>
        <w:tc>
          <w:tcPr>
            <w:tcW w:type="dxa" w:w="1289"/>
          </w:tcPr>
          <w:p>
            <w:pPr>
              <w:jc w:val="center"/>
            </w:pPr>
            <w:r/>
            <w:r>
              <w:rPr>
                <w:b w:val="0"/>
                <w:i w:val="0"/>
                <w:sz w:val="19"/>
                <w:highlight w:val="yellow"/>
              </w:rPr>
              <w:t>0.2935 (0.0125)</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1.65 (0.09)</w:t>
            </w:r>
          </w:p>
        </w:tc>
        <w:tc>
          <w:tcPr>
            <w:tcW w:type="dxa" w:w="1289"/>
          </w:tcPr>
          <w:p>
            <w:pPr>
              <w:jc w:val="center"/>
            </w:pPr>
            <w:r/>
            <w:r>
              <w:rPr>
                <w:b w:val="0"/>
                <w:i w:val="0"/>
                <w:sz w:val="19"/>
                <w:highlight w:val="yellow"/>
              </w:rPr>
              <w:t>1.60 (0.09)</w:t>
            </w:r>
          </w:p>
        </w:tc>
        <w:tc>
          <w:tcPr>
            <w:tcW w:type="dxa" w:w="1289"/>
          </w:tcPr>
          <w:p>
            <w:pPr>
              <w:jc w:val="center"/>
            </w:pPr>
            <w:r/>
            <w:r>
              <w:rPr>
                <w:b w:val="0"/>
                <w:i w:val="0"/>
                <w:sz w:val="19"/>
                <w:highlight w:val="yellow"/>
              </w:rPr>
              <w:t>0.1836 (0.0195)</w:t>
            </w:r>
          </w:p>
        </w:tc>
        <w:tc>
          <w:tcPr>
            <w:tcW w:type="dxa" w:w="1289"/>
          </w:tcPr>
          <w:p>
            <w:pPr>
              <w:jc w:val="center"/>
            </w:pPr>
            <w:r/>
            <w:r>
              <w:rPr>
                <w:b w:val="0"/>
                <w:i w:val="0"/>
                <w:sz w:val="19"/>
                <w:highlight w:val="yellow"/>
              </w:rPr>
              <w:t>0.3560 (0.0119)</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highlight w:val="yellow"/>
              </w:rPr>
              <w:t>1.55 (0.08)</w:t>
            </w:r>
          </w:p>
        </w:tc>
        <w:tc>
          <w:tcPr>
            <w:tcW w:type="dxa" w:w="1289"/>
          </w:tcPr>
          <w:p>
            <w:pPr>
              <w:jc w:val="center"/>
            </w:pPr>
            <w:r/>
            <w:r>
              <w:rPr>
                <w:b w:val="0"/>
                <w:i w:val="0"/>
                <w:sz w:val="19"/>
              </w:rPr>
              <w:t>–</w:t>
            </w:r>
          </w:p>
        </w:tc>
        <w:tc>
          <w:tcPr>
            <w:tcW w:type="dxa" w:w="1289"/>
          </w:tcPr>
          <w:p>
            <w:pPr>
              <w:jc w:val="center"/>
            </w:pPr>
            <w:r/>
            <w:r>
              <w:rPr>
                <w:b w:val="0"/>
                <w:i w:val="0"/>
                <w:sz w:val="19"/>
                <w:highlight w:val="yellow"/>
              </w:rPr>
              <w:t>0.2806 (0.0259)</w:t>
            </w:r>
          </w:p>
        </w:tc>
        <w:tc>
          <w:tcPr>
            <w:tcW w:type="dxa" w:w="1289"/>
          </w:tcPr>
          <w:p>
            <w:pPr>
              <w:jc w:val="center"/>
            </w:pPr>
            <w:r/>
            <w:r>
              <w:rPr>
                <w:b w:val="0"/>
                <w:i w:val="0"/>
                <w:sz w:val="19"/>
              </w:rPr>
              <w:t>–</w:t>
            </w:r>
          </w:p>
        </w:tc>
        <w:tc>
          <w:tcPr>
            <w:tcW w:type="dxa" w:w="1289"/>
          </w:tcPr>
          <w:p>
            <w:pPr>
              <w:jc w:val="center"/>
            </w:pPr>
            <w: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CVₐ is not reported for CH₄ ratio: as a dimensionless mass proportion with an extremely small genetic standard deviation, its coefficient of genetic variation is not meaningfully interpretable on the same footing as the other traits. A permanent environmental effect could not be estimated for CH₄/MM, CH₄/rumen or RMTADG (permanent environmental variance at the zero boundary; no repeatability reported), and for CH₄ ratio the permanent environmental variance is likewise near-zero (standard error exceeding the estimate). Standard errors for CO2's σₐ and σₚₑ were not available at the time of writing; its h² and t standard errors above are unaffected.</w:t>
      </w:r>
    </w:p>
    <w:p>
      <w:pPr>
        <w:pStyle w:val="Subheadings"/>
        <w:jc w:val="both"/>
      </w:pPr>
      <w:r>
        <w:rPr>
          <w:b w:val="0"/>
          <w:i w:val="0"/>
        </w:rPr>
        <w:t>Correlations among methane traits</w:t>
      </w:r>
    </w:p>
    <w:p>
      <w:pPr>
        <w:jc w:val="both"/>
      </w:pPr>
      <w:r>
        <w:rPr>
          <w:b w:val="0"/>
          <w:i w:val="0"/>
          <w:highlight w:val="yellow"/>
        </w:rPr>
        <w:t>Genetic and phenotypic correlations between daily methane production (CH₄), CO2, and each alternative methane trait definition are presented in Table 3. Phenotypically, daily methane was strongly correlated with the size-adjusted definitions -- 0.87 with both CH₄/MBW and CH₄/MM, 0.90 with RMTMBW, 0.79 with RMTMBW+CO2 and 0.71 with CH₄/rumen -- and essentially perfectly correlated with RMTADG (1.00), but more weakly with CH₄/ADG (0.31) and CH₄ ratio (0.46).</w:t>
      </w:r>
    </w:p>
    <w:p>
      <w:pPr>
        <w:jc w:val="both"/>
      </w:pPr>
      <w:r>
        <w:rPr>
          <w:b w:val="0"/>
          <w:i w:val="0"/>
          <w:highlight w:val="yellow"/>
        </w:rPr>
        <w:t>Genetically, daily methane was strongly correlated with methane intensity (CH₄/MBW; 0.85 ± 0.02) and CH₄/MM (0.85 ± 0.04), moderately-to-strongly with CH₄/rumen (0.78 ± 0.10) and CH₄ ratio (0.71 ± 0.03), and only moderately with CH₄/ADG (0.38 ± 0.08). Most notably, all three residual methane traits were strongly genetically correlated with absolute methane: RMTMBW (0.86 ± 0.01), RMTMBW+CO2 (0.78 ± 0.02) and RMTADG (1.00 ± 0.00), the last being genetically indistinguishable from daily methane. Daily methane was also strongly genetically correlated with CO2 production (0.57 ± 0.04; phenotypic correlation 0.35), consistent with CO2 output tracking overall metabolic size and intake. Taken together, these estimates show that residualising or scaling methane does not create a phenotype that is genetically distinct from daily methane: the size-adjusted definitions remain largely governed by the same additive genetic variation as absolute methane, with CH₄/ADG the most distinct of the set.</w:t>
      </w:r>
    </w:p>
    <w:p>
      <w:pPr>
        <w:jc w:val="both"/>
      </w:pPr>
      <w:r>
        <w:rPr>
          <w:b/>
        </w:rPr>
        <w:t>Table 3.</w:t>
      </w:r>
      <w:r>
        <w:t xml:space="preserve"> </w:t>
      </w:r>
      <w:r>
        <w:rPr>
          <w:b w:val="0"/>
          <w:i w:val="0"/>
        </w:rPr>
        <w:t>Genetic and phenotypic correlations between daily methane production (CH₄), CO2,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
              <w:rPr>
                <w:b w:val="0"/>
                <w:i w:val="0"/>
                <w:sz w:val="19"/>
              </w:rPr>
              <w:t>Trait</w:t>
            </w:r>
          </w:p>
        </w:tc>
        <w:tc>
          <w:tcPr>
            <w:tcW w:type="dxa" w:w="3009"/>
          </w:tcPr>
          <w:p>
            <w:pPr>
              <w:jc w:val="both"/>
            </w:pPr>
            <w:r/>
            <w:r>
              <w:rPr>
                <w:b w:val="0"/>
                <w:i w:val="0"/>
                <w:sz w:val="19"/>
              </w:rPr>
              <w:t>Genetic correlation with CH₄ (SE)</w:t>
            </w:r>
          </w:p>
        </w:tc>
        <w:tc>
          <w:tcPr>
            <w:tcW w:type="dxa" w:w="3009"/>
          </w:tcPr>
          <w:p>
            <w:pPr>
              <w:jc w:val="center"/>
            </w:pPr>
            <w:r/>
            <w:r>
              <w:rPr>
                <w:b w:val="0"/>
                <w:i w:val="0"/>
                <w:sz w:val="19"/>
              </w:rPr>
              <w:t>Phenotypic correlation with CH₄</w:t>
            </w:r>
          </w:p>
        </w:tc>
      </w:tr>
      <w:tr>
        <w:tc>
          <w:tcPr>
            <w:tcW w:type="dxa" w:w="3009"/>
          </w:tcPr>
          <w:p>
            <w:pPr>
              <w:jc w:val="both"/>
            </w:pPr>
            <w:r/>
            <w:r>
              <w:rPr>
                <w:b w:val="0"/>
                <w:i w:val="0"/>
                <w:sz w:val="19"/>
                <w:highlight w:val="yellow"/>
              </w:rPr>
              <w:t>CO2</w:t>
            </w:r>
          </w:p>
        </w:tc>
        <w:tc>
          <w:tcPr>
            <w:tcW w:type="dxa" w:w="3009"/>
          </w:tcPr>
          <w:p>
            <w:pPr>
              <w:jc w:val="both"/>
            </w:pPr>
            <w:r/>
            <w:r>
              <w:rPr>
                <w:b w:val="0"/>
                <w:i w:val="0"/>
                <w:sz w:val="19"/>
                <w:highlight w:val="yellow"/>
              </w:rPr>
              <w:t>0.57 (0.04)</w:t>
            </w:r>
          </w:p>
        </w:tc>
        <w:tc>
          <w:tcPr>
            <w:tcW w:type="dxa" w:w="3009"/>
          </w:tcPr>
          <w:p>
            <w:pPr>
              <w:jc w:val="center"/>
            </w:pPr>
            <w:r/>
            <w:r>
              <w:rPr>
                <w:b w:val="0"/>
                <w:i w:val="0"/>
                <w:sz w:val="19"/>
                <w:highlight w:val="yellow"/>
              </w:rPr>
              <w:t>0.35</w:t>
            </w:r>
          </w:p>
        </w:tc>
      </w:tr>
      <w:tr>
        <w:tc>
          <w:tcPr>
            <w:tcW w:type="dxa" w:w="3009"/>
          </w:tcPr>
          <w:p>
            <w:pPr>
              <w:jc w:val="both"/>
            </w:pPr>
            <w:r/>
            <w:r>
              <w:rPr>
                <w:b w:val="0"/>
                <w:i w:val="0"/>
                <w:sz w:val="19"/>
              </w:rPr>
              <w:t>CH4/MBW</w:t>
            </w:r>
          </w:p>
        </w:tc>
        <w:tc>
          <w:tcPr>
            <w:tcW w:type="dxa" w:w="3009"/>
          </w:tcPr>
          <w:p>
            <w:pPr>
              <w:jc w:val="both"/>
            </w:pPr>
            <w:r/>
            <w:r>
              <w:rPr>
                <w:b w:val="0"/>
                <w:i w:val="0"/>
                <w:sz w:val="19"/>
                <w:highlight w:val="yellow"/>
              </w:rPr>
              <w:t>0.85 (0.02)</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 ratio</w:t>
            </w:r>
          </w:p>
        </w:tc>
        <w:tc>
          <w:tcPr>
            <w:tcW w:type="dxa" w:w="3009"/>
          </w:tcPr>
          <w:p>
            <w:pPr>
              <w:jc w:val="both"/>
            </w:pPr>
            <w:r/>
            <w:r>
              <w:rPr>
                <w:b w:val="0"/>
                <w:i w:val="0"/>
                <w:sz w:val="19"/>
                <w:highlight w:val="yellow"/>
              </w:rPr>
              <w:t>0.71 (0.03)</w:t>
            </w:r>
          </w:p>
        </w:tc>
        <w:tc>
          <w:tcPr>
            <w:tcW w:type="dxa" w:w="3009"/>
          </w:tcPr>
          <w:p>
            <w:pPr>
              <w:jc w:val="center"/>
            </w:pPr>
            <w:r/>
            <w:r>
              <w:rPr>
                <w:b w:val="0"/>
                <w:i w:val="0"/>
                <w:sz w:val="19"/>
                <w:highlight w:val="yellow"/>
              </w:rPr>
              <w:t>0.46</w:t>
            </w:r>
          </w:p>
        </w:tc>
      </w:tr>
      <w:tr>
        <w:tc>
          <w:tcPr>
            <w:tcW w:type="dxa" w:w="3009"/>
          </w:tcPr>
          <w:p>
            <w:pPr>
              <w:jc w:val="both"/>
            </w:pPr>
            <w:r/>
            <w:r>
              <w:rPr>
                <w:b w:val="0"/>
                <w:i w:val="0"/>
                <w:sz w:val="19"/>
              </w:rPr>
              <w:t>CH4/ADG</w:t>
            </w:r>
          </w:p>
        </w:tc>
        <w:tc>
          <w:tcPr>
            <w:tcW w:type="dxa" w:w="3009"/>
          </w:tcPr>
          <w:p>
            <w:pPr>
              <w:jc w:val="both"/>
            </w:pPr>
            <w:r/>
            <w:r>
              <w:rPr>
                <w:b w:val="0"/>
                <w:i w:val="0"/>
                <w:sz w:val="19"/>
                <w:highlight w:val="yellow"/>
              </w:rPr>
              <w:t>0.38 (0.08)</w:t>
            </w:r>
          </w:p>
        </w:tc>
        <w:tc>
          <w:tcPr>
            <w:tcW w:type="dxa" w:w="3009"/>
          </w:tcPr>
          <w:p>
            <w:pPr>
              <w:jc w:val="center"/>
            </w:pPr>
            <w:r/>
            <w:r>
              <w:rPr>
                <w:b w:val="0"/>
                <w:i w:val="0"/>
                <w:sz w:val="19"/>
                <w:highlight w:val="yellow"/>
              </w:rPr>
              <w:t>0.31</w:t>
            </w:r>
          </w:p>
        </w:tc>
      </w:tr>
      <w:tr>
        <w:tc>
          <w:tcPr>
            <w:tcW w:type="dxa" w:w="3009"/>
          </w:tcPr>
          <w:p>
            <w:pPr>
              <w:jc w:val="both"/>
            </w:pPr>
            <w:r/>
            <w:r>
              <w:rPr>
                <w:b w:val="0"/>
                <w:i w:val="0"/>
                <w:sz w:val="19"/>
              </w:rPr>
              <w:t>CH4/MM</w:t>
            </w:r>
          </w:p>
        </w:tc>
        <w:tc>
          <w:tcPr>
            <w:tcW w:type="dxa" w:w="3009"/>
          </w:tcPr>
          <w:p>
            <w:pPr>
              <w:jc w:val="both"/>
            </w:pPr>
            <w:r/>
            <w:r>
              <w:rPr>
                <w:b w:val="0"/>
                <w:i w:val="0"/>
                <w:sz w:val="19"/>
                <w:highlight w:val="yellow"/>
              </w:rPr>
              <w:t>0.85 (0.04)</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CH4/rumen</w:t>
            </w:r>
          </w:p>
        </w:tc>
        <w:tc>
          <w:tcPr>
            <w:tcW w:type="dxa" w:w="3009"/>
          </w:tcPr>
          <w:p>
            <w:pPr>
              <w:jc w:val="both"/>
            </w:pPr>
            <w:r/>
            <w:r>
              <w:rPr>
                <w:b w:val="0"/>
                <w:i w:val="0"/>
                <w:sz w:val="19"/>
                <w:highlight w:val="yellow"/>
              </w:rPr>
              <w:t>0.78 (0.10)</w:t>
            </w:r>
          </w:p>
        </w:tc>
        <w:tc>
          <w:tcPr>
            <w:tcW w:type="dxa" w:w="3009"/>
          </w:tcPr>
          <w:p>
            <w:pPr>
              <w:jc w:val="center"/>
            </w:pPr>
            <w:r/>
            <w:r>
              <w:rPr>
                <w:b w:val="0"/>
                <w:i w:val="0"/>
                <w:sz w:val="19"/>
                <w:highlight w:val="yellow"/>
              </w:rPr>
              <w:t>0.71</w:t>
            </w:r>
          </w:p>
        </w:tc>
      </w:tr>
      <w:tr>
        <w:tc>
          <w:tcPr>
            <w:tcW w:type="dxa" w:w="3009"/>
          </w:tcPr>
          <w:p>
            <w:pPr>
              <w:jc w:val="both"/>
            </w:pPr>
            <w:r/>
            <w:r>
              <w:rPr>
                <w:b w:val="0"/>
                <w:i w:val="0"/>
                <w:sz w:val="19"/>
              </w:rPr>
              <w:t>RMTMBW</w:t>
            </w:r>
          </w:p>
        </w:tc>
        <w:tc>
          <w:tcPr>
            <w:tcW w:type="dxa" w:w="3009"/>
          </w:tcPr>
          <w:p>
            <w:pPr>
              <w:jc w:val="both"/>
            </w:pPr>
            <w:r/>
            <w:r>
              <w:rPr>
                <w:b w:val="0"/>
                <w:i w:val="0"/>
                <w:sz w:val="19"/>
                <w:highlight w:val="yellow"/>
              </w:rPr>
              <w:t>0.86 (0.01)</w:t>
            </w:r>
          </w:p>
        </w:tc>
        <w:tc>
          <w:tcPr>
            <w:tcW w:type="dxa" w:w="3009"/>
          </w:tcPr>
          <w:p>
            <w:pPr>
              <w:jc w:val="center"/>
            </w:pPr>
            <w:r/>
            <w:r>
              <w:rPr>
                <w:b w:val="0"/>
                <w:i w:val="0"/>
                <w:sz w:val="19"/>
                <w:highlight w:val="yellow"/>
              </w:rPr>
              <w:t>0.90</w:t>
            </w:r>
          </w:p>
        </w:tc>
      </w:tr>
      <w:tr>
        <w:tc>
          <w:tcPr>
            <w:tcW w:type="dxa" w:w="3009"/>
          </w:tcPr>
          <w:p>
            <w:pPr>
              <w:jc w:val="both"/>
            </w:pPr>
            <w:r/>
            <w:r>
              <w:rPr>
                <w:b w:val="0"/>
                <w:i w:val="0"/>
                <w:sz w:val="19"/>
              </w:rPr>
              <w:t>RMTMBW+CO2</w:t>
            </w:r>
          </w:p>
        </w:tc>
        <w:tc>
          <w:tcPr>
            <w:tcW w:type="dxa" w:w="3009"/>
          </w:tcPr>
          <w:p>
            <w:pPr>
              <w:jc w:val="both"/>
            </w:pPr>
            <w:r/>
            <w:r>
              <w:rPr>
                <w:b w:val="0"/>
                <w:i w:val="0"/>
                <w:sz w:val="19"/>
                <w:highlight w:val="yellow"/>
              </w:rPr>
              <w:t>0.78 (0.02)</w:t>
            </w:r>
          </w:p>
        </w:tc>
        <w:tc>
          <w:tcPr>
            <w:tcW w:type="dxa" w:w="3009"/>
          </w:tcPr>
          <w:p>
            <w:pPr>
              <w:jc w:val="center"/>
            </w:pPr>
            <w:r/>
            <w:r>
              <w:rPr>
                <w:b w:val="0"/>
                <w:i w:val="0"/>
                <w:sz w:val="19"/>
                <w:highlight w:val="yellow"/>
              </w:rPr>
              <w:t>0.79</w:t>
            </w:r>
          </w:p>
        </w:tc>
      </w:tr>
      <w:tr>
        <w:tc>
          <w:tcPr>
            <w:tcW w:type="dxa" w:w="3009"/>
          </w:tcPr>
          <w:p>
            <w:pPr>
              <w:jc w:val="both"/>
            </w:pPr>
            <w:r/>
            <w:r>
              <w:rPr>
                <w:b w:val="0"/>
                <w:i w:val="0"/>
                <w:sz w:val="19"/>
              </w:rPr>
              <w:t>RMTADG</w:t>
            </w:r>
          </w:p>
        </w:tc>
        <w:tc>
          <w:tcPr>
            <w:tcW w:type="dxa" w:w="3009"/>
          </w:tcPr>
          <w:p>
            <w:pPr>
              <w:jc w:val="both"/>
            </w:pPr>
            <w:r/>
            <w:r>
              <w:rPr>
                <w:b w:val="0"/>
                <w:i w:val="0"/>
                <w:sz w:val="19"/>
                <w:highlight w:val="yellow"/>
              </w:rPr>
              <w:t>1.00 (0.00)</w:t>
            </w:r>
          </w:p>
        </w:tc>
        <w:tc>
          <w:tcPr>
            <w:tcW w:type="dxa" w:w="3009"/>
          </w:tcPr>
          <w:p>
            <w:pPr>
              <w:jc w:val="center"/>
            </w:pPr>
            <w:r/>
            <w:r>
              <w:rPr>
                <w:b w:val="0"/>
                <w:i w:val="0"/>
                <w:sz w:val="19"/>
                <w:highlight w:val="yellow"/>
              </w:rPr>
              <w:t>1.00</w:t>
            </w:r>
          </w:p>
        </w:tc>
      </w:tr>
    </w:tbl>
    <w:p/>
    <w:p>
      <w:pPr>
        <w:jc w:val="both"/>
      </w:pPr>
      <w:r>
        <w:rPr>
          <w:b w:val="0"/>
          <w:i/>
          <w:sz w:val="20"/>
          <w:highlight w:val="yellow"/>
        </w:rPr>
        <w:t>Phenotypic correlation standard errors were all ≤0.02. Correlations among the alternative definitions themselves are not reported here; the focus is on daily methane against each definition and against the production traits (Tables 4 and 5).</w:t>
      </w:r>
      <w:r>
        <w:rPr>
          <w:b w:val="0"/>
          <w:i/>
          <w:sz w:val="20"/>
        </w:rPr>
        <w:t xml:space="preserve"> Trait abbreviations as in Table 1.</w:t>
      </w:r>
    </w:p>
    <w:p>
      <w:pPr>
        <w:pStyle w:val="Subheadings"/>
        <w:jc w:val="both"/>
      </w:pPr>
      <w:r>
        <w:rPr>
          <w:b w:val="0"/>
          <w:i w:val="0"/>
        </w:rPr>
        <w:t>Correlations between methane and production traits</w:t>
      </w:r>
    </w:p>
    <w:p>
      <w:pPr>
        <w:jc w:val="both"/>
      </w:pPr>
      <w:r>
        <w:rPr>
          <w:b w:val="0"/>
          <w:i w:val="0"/>
        </w:rPr>
        <w:t xml:space="preserve">Phenotypic and genetic correlations between methane traits and production traits are presented in Tables 4 and 5, respectively. Phenotypically, CH₄ showed weak to moderate positive correlations with the production traits examined, including metabolic body weight (MBW; </w:t>
      </w:r>
      <w:r>
        <w:rPr>
          <w:b w:val="0"/>
          <w:i w:val="0"/>
          <w:highlight w:val="yellow"/>
        </w:rPr>
        <w:t>0.36 ± 0.01</w:t>
      </w:r>
      <w:r>
        <w:rPr>
          <w:b w:val="0"/>
          <w:i w:val="0"/>
        </w:rPr>
        <w:t xml:space="preserve">), live weight (LW; </w:t>
      </w:r>
      <w:r>
        <w:rPr>
          <w:b w:val="0"/>
          <w:i w:val="0"/>
          <w:highlight w:val="yellow"/>
        </w:rPr>
        <w:t>0.35 ± 0.01</w:t>
      </w:r>
      <w:r>
        <w:rPr>
          <w:b w:val="0"/>
          <w:i w:val="0"/>
        </w:rPr>
        <w:t>), ADG (0.17 ± 0.02), rumen volume (</w:t>
      </w:r>
      <w:r>
        <w:rPr>
          <w:b w:val="0"/>
          <w:i w:val="0"/>
          <w:highlight w:val="yellow"/>
        </w:rPr>
        <w:t>0.31 ± 0.04</w:t>
      </w:r>
      <w:r>
        <w:rPr>
          <w:b w:val="0"/>
          <w:i w:val="0"/>
        </w:rPr>
        <w:t>), and muscle mass (</w:t>
      </w:r>
      <w:r>
        <w:rPr>
          <w:b w:val="0"/>
          <w:i w:val="0"/>
          <w:highlight w:val="yellow"/>
        </w:rPr>
        <w:t>0.26 ± 0.04</w:t>
      </w:r>
      <w:r>
        <w:rPr>
          <w:b w:val="0"/>
          <w:i w:val="0"/>
        </w:rPr>
        <w:t xml:space="preserve">). As expected, several ratio-based methane traits showed negative phenotypic correlations with the denominator production traits, including methane intensity (CH₄/MBW) with MBW (−0.10 ± 0.01), CH₄/MM with muscle mass (−0.24 ± 0.04), </w:t>
      </w:r>
      <w:r>
        <w:rPr>
          <w:b w:val="0"/>
          <w:i w:val="0"/>
          <w:highlight w:val="yellow"/>
        </w:rPr>
        <w:t>CH4/ADG with ADG itself (−0.25 ± 0.02)</w:t>
      </w:r>
      <w:r>
        <w:rPr>
          <w:b w:val="0"/>
          <w:i w:val="0"/>
        </w:rPr>
        <w:t>, and CH₄/rumen with rumen volume (</w:t>
      </w:r>
      <w:r>
        <w:rPr>
          <w:b w:val="0"/>
          <w:i w:val="0"/>
          <w:highlight w:val="yellow"/>
        </w:rPr>
        <w:t>−0.45 ± 0.03</w:t>
      </w:r>
      <w:r>
        <w:rPr>
          <w:b w:val="0"/>
          <w:i w:val="0"/>
        </w:rPr>
        <w:t>). Residual methane traits showed contrasting patterns, with RMTMBW negatively phenotypically correlated with MBW (</w:t>
      </w:r>
      <w:r>
        <w:rPr>
          <w:b w:val="0"/>
          <w:i w:val="0"/>
          <w:highlight w:val="yellow"/>
        </w:rPr>
        <w:t>−0.08 ± 0.01</w:t>
      </w:r>
      <w:r>
        <w:rPr>
          <w:b w:val="0"/>
          <w:i w:val="0"/>
        </w:rPr>
        <w:t xml:space="preserve">), whereas RMTADG showed a positive phenotypic correlation with </w:t>
      </w:r>
      <w:r>
        <w:rPr>
          <w:b w:val="0"/>
          <w:i w:val="0"/>
          <w:highlight w:val="yellow"/>
        </w:rPr>
        <w:t>its own adjustment trait, ADG (0.12 ± 0.02)</w:t>
      </w:r>
      <w:r>
        <w:rPr>
          <w:b w:val="0"/>
          <w:i w:val="0"/>
        </w:rPr>
        <w:t>.</w:t>
      </w:r>
    </w:p>
    <w:p>
      <w:pPr>
        <w:jc w:val="both"/>
      </w:pPr>
      <w:r>
        <w:rPr>
          <w:b/>
        </w:rPr>
        <w:t>Table 4.</w:t>
      </w:r>
      <w:r>
        <w:t xml:space="preserve"> </w:t>
      </w:r>
      <w:r>
        <w:rPr>
          <w:b w:val="0"/>
          <w:i w:val="0"/>
        </w:rPr>
        <w:t>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CH₄</w:t>
            </w:r>
          </w:p>
        </w:tc>
        <w:tc>
          <w:tcPr>
            <w:tcW w:type="dxa" w:w="1289"/>
          </w:tcPr>
          <w:p>
            <w:pPr>
              <w:jc w:val="center"/>
            </w:pPr>
            <w:r/>
            <w:r>
              <w:rPr>
                <w:b w:val="0"/>
                <w:i w:val="0"/>
                <w:sz w:val="19"/>
                <w:highlight w:val="yellow"/>
              </w:rPr>
              <w:t>0.36 (0.01)</w:t>
            </w:r>
          </w:p>
        </w:tc>
        <w:tc>
          <w:tcPr>
            <w:tcW w:type="dxa" w:w="1289"/>
          </w:tcPr>
          <w:p>
            <w:pPr>
              <w:jc w:val="center"/>
            </w:pPr>
            <w:r/>
            <w:r>
              <w:rPr>
                <w:b w:val="0"/>
                <w:i w:val="0"/>
                <w:sz w:val="19"/>
                <w:highlight w:val="yellow"/>
              </w:rPr>
              <w:t>0.35 (0.01)</w:t>
            </w:r>
          </w:p>
        </w:tc>
        <w:tc>
          <w:tcPr>
            <w:tcW w:type="dxa" w:w="1289"/>
          </w:tcPr>
          <w:p>
            <w:pPr>
              <w:jc w:val="center"/>
            </w:pPr>
            <w:r/>
            <w:r>
              <w:rPr>
                <w:b w:val="0"/>
                <w:i w:val="0"/>
                <w:sz w:val="19"/>
              </w:rPr>
              <w:t>0.19 (0.02)</w:t>
            </w:r>
          </w:p>
        </w:tc>
        <w:tc>
          <w:tcPr>
            <w:tcW w:type="dxa" w:w="1289"/>
          </w:tcPr>
          <w:p>
            <w:pPr>
              <w:jc w:val="center"/>
            </w:pPr>
            <w:r/>
            <w:r>
              <w:rPr>
                <w:b w:val="0"/>
                <w:i w:val="0"/>
                <w:sz w:val="19"/>
                <w:highlight w:val="yellow"/>
              </w:rPr>
              <w:t>0.26 (0.04)</w:t>
            </w:r>
          </w:p>
        </w:tc>
        <w:tc>
          <w:tcPr>
            <w:tcW w:type="dxa" w:w="1289"/>
          </w:tcPr>
          <w:p>
            <w:pPr>
              <w:jc w:val="center"/>
            </w:pPr>
            <w:r/>
            <w:r>
              <w:rPr>
                <w:b w:val="0"/>
                <w:i w:val="0"/>
                <w:sz w:val="19"/>
                <w:highlight w:val="yellow"/>
              </w:rPr>
              <w:t>0.31 (0.04)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-0.10 (0.01)</w:t>
            </w:r>
          </w:p>
        </w:tc>
        <w:tc>
          <w:tcPr>
            <w:tcW w:type="dxa" w:w="1289"/>
          </w:tcPr>
          <w:p>
            <w:pPr>
              <w:jc w:val="center"/>
            </w:pPr>
            <w:r/>
            <w:r>
              <w:rPr>
                <w:b w:val="0"/>
                <w:i w:val="0"/>
                <w:sz w:val="19"/>
              </w:rPr>
              <w:t>-0.10 (0.01)</w:t>
            </w:r>
          </w:p>
        </w:tc>
        <w:tc>
          <w:tcPr>
            <w:tcW w:type="dxa" w:w="1289"/>
          </w:tcPr>
          <w:p>
            <w:pPr>
              <w:jc w:val="center"/>
            </w:pPr>
            <w:r/>
            <w:r>
              <w:rPr>
                <w:b w:val="0"/>
                <w:i w:val="0"/>
                <w:sz w:val="19"/>
              </w:rPr>
              <w:t>-0.11 (0.02)</w:t>
            </w:r>
          </w:p>
        </w:tc>
        <w:tc>
          <w:tcPr>
            <w:tcW w:type="dxa" w:w="1289"/>
          </w:tcPr>
          <w:p>
            <w:pPr>
              <w:jc w:val="center"/>
            </w:pPr>
            <w:r/>
            <w:r>
              <w:rPr>
                <w:b w:val="0"/>
                <w:i w:val="0"/>
                <w:sz w:val="19"/>
              </w:rPr>
              <w:t>-0.04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 ratio</w:t>
            </w:r>
          </w:p>
        </w:tc>
        <w:tc>
          <w:tcPr>
            <w:tcW w:type="dxa" w:w="1289"/>
          </w:tcPr>
          <w:p>
            <w:pPr>
              <w:jc w:val="center"/>
            </w:pPr>
            <w:r/>
            <w:r>
              <w:rPr>
                <w:b w:val="0"/>
                <w:i w:val="0"/>
                <w:sz w:val="19"/>
              </w:rPr>
              <w:t>-0.06 (0.01)</w:t>
            </w:r>
          </w:p>
        </w:tc>
        <w:tc>
          <w:tcPr>
            <w:tcW w:type="dxa" w:w="1289"/>
          </w:tcPr>
          <w:p>
            <w:pPr>
              <w:jc w:val="center"/>
            </w:pPr>
            <w:r/>
            <w:r>
              <w:rPr>
                <w:b w:val="0"/>
                <w:i w:val="0"/>
                <w:sz w:val="19"/>
              </w:rPr>
              <w:t>–</w:t>
            </w:r>
          </w:p>
        </w:tc>
        <w:tc>
          <w:tcPr>
            <w:tcW w:type="dxa" w:w="1289"/>
          </w:tcPr>
          <w:p>
            <w:pPr>
              <w:jc w:val="center"/>
            </w:pPr>
            <w:r/>
            <w:r>
              <w:rPr>
                <w:b w:val="0"/>
                <w:i w:val="0"/>
                <w:sz w:val="19"/>
              </w:rPr>
              <w:t>-0.01 (0.02)</w:t>
            </w:r>
          </w:p>
        </w:tc>
        <w:tc>
          <w:tcPr>
            <w:tcW w:type="dxa" w:w="1289"/>
          </w:tcPr>
          <w:p>
            <w:pPr>
              <w:jc w:val="center"/>
            </w:pPr>
            <w:r/>
            <w:r>
              <w:rPr>
                <w:b w:val="0"/>
                <w:i w:val="0"/>
                <w:sz w:val="19"/>
              </w:rPr>
              <w:t>-0.06 (0.04)</w:t>
            </w:r>
          </w:p>
        </w:tc>
        <w:tc>
          <w:tcPr>
            <w:tcW w:type="dxa" w:w="1289"/>
          </w:tcPr>
          <w:p>
            <w:pPr>
              <w:jc w:val="center"/>
            </w:pPr>
            <w:r/>
            <w:r>
              <w:rPr>
                <w:b w:val="0"/>
                <w:i w:val="0"/>
                <w:sz w:val="19"/>
              </w:rPr>
              <w:t>0.19 (0.04)</w:t>
            </w:r>
          </w:p>
        </w:tc>
      </w:tr>
      <w:tr>
        <w:tc>
          <w:tcPr>
            <w:tcW w:type="dxa" w:w="1289"/>
          </w:tcPr>
          <w:p>
            <w:pPr>
              <w:jc w:val="both"/>
            </w:pPr>
            <w:r/>
          </w:p>
        </w:tc>
        <w:tc>
          <w:tcPr>
            <w:tcW w:type="dxa" w:w="1289"/>
          </w:tcPr>
          <w:p>
            <w:pPr>
              <w:jc w:val="both"/>
            </w:pPr>
            <w:r/>
            <w:r>
              <w:rPr>
                <w:b w:val="0"/>
                <w:i w:val="0"/>
                <w:sz w:val="19"/>
              </w:rPr>
              <w:t>CH₄/ADG</w:t>
            </w:r>
          </w:p>
        </w:tc>
        <w:tc>
          <w:tcPr>
            <w:tcW w:type="dxa" w:w="1289"/>
          </w:tcPr>
          <w:p>
            <w:pPr>
              <w:jc w:val="center"/>
            </w:pPr>
            <w:r/>
            <w:r>
              <w:rPr>
                <w:b w:val="0"/>
                <w:i w:val="0"/>
                <w:sz w:val="19"/>
              </w:rPr>
              <w:t>-0.00 (0.02)</w:t>
            </w:r>
          </w:p>
        </w:tc>
        <w:tc>
          <w:tcPr>
            <w:tcW w:type="dxa" w:w="1289"/>
          </w:tcPr>
          <w:p>
            <w:pPr>
              <w:jc w:val="center"/>
            </w:pPr>
            <w:r/>
            <w:r>
              <w:rPr>
                <w:b w:val="0"/>
                <w:i w:val="0"/>
                <w:sz w:val="19"/>
              </w:rPr>
              <w:t>-0.02 (0.02)</w:t>
            </w:r>
          </w:p>
        </w:tc>
        <w:tc>
          <w:tcPr>
            <w:tcW w:type="dxa" w:w="1289"/>
          </w:tcPr>
          <w:p>
            <w:pPr>
              <w:jc w:val="center"/>
            </w:pPr>
            <w:r/>
            <w:r>
              <w:rPr>
                <w:b w:val="0"/>
                <w:i w:val="0"/>
                <w:sz w:val="19"/>
                <w:highlight w:val="yellow"/>
              </w:rPr>
              <w:t>-0.25 (0.02)</w:t>
            </w:r>
          </w:p>
        </w:tc>
        <w:tc>
          <w:tcPr>
            <w:tcW w:type="dxa" w:w="1289"/>
          </w:tcPr>
          <w:p>
            <w:pPr>
              <w:jc w:val="center"/>
            </w:pPr>
            <w:r/>
            <w:r>
              <w:rPr>
                <w:b w:val="0"/>
                <w:i w:val="0"/>
                <w:sz w:val="19"/>
              </w:rPr>
              <w:t>0.26 (0.05)</w:t>
            </w:r>
          </w:p>
        </w:tc>
        <w:tc>
          <w:tcPr>
            <w:tcW w:type="dxa" w:w="1289"/>
          </w:tcPr>
          <w:p>
            <w:pPr>
              <w:jc w:val="center"/>
            </w:pPr>
            <w:r/>
            <w:r>
              <w:rPr>
                <w:b w:val="0"/>
                <w:i w:val="0"/>
                <w:sz w:val="19"/>
              </w:rPr>
              <w:t>0.20 (0.05)</w:t>
            </w:r>
          </w:p>
        </w:tc>
      </w:tr>
      <w:tr>
        <w:tc>
          <w:tcPr>
            <w:tcW w:type="dxa" w:w="1289"/>
          </w:tcPr>
          <w:p>
            <w:pPr>
              <w:jc w:val="both"/>
            </w:pPr>
            <w:r/>
          </w:p>
        </w:tc>
        <w:tc>
          <w:tcPr>
            <w:tcW w:type="dxa" w:w="1289"/>
          </w:tcPr>
          <w:p>
            <w:pPr>
              <w:jc w:val="both"/>
            </w:pPr>
            <w:r/>
            <w:r>
              <w:rPr>
                <w:b w:val="0"/>
                <w:i w:val="0"/>
                <w:sz w:val="19"/>
              </w:rPr>
              <w:t>CH₄/MM</w:t>
            </w:r>
          </w:p>
        </w:tc>
        <w:tc>
          <w:tcPr>
            <w:tcW w:type="dxa" w:w="1289"/>
          </w:tcPr>
          <w:p>
            <w:pPr>
              <w:jc w:val="center"/>
            </w:pPr>
            <w:r/>
            <w:r>
              <w:rPr>
                <w:b w:val="0"/>
                <w:i w:val="0"/>
                <w:sz w:val="19"/>
              </w:rPr>
              <w:t>-0.09 (0.05)</w:t>
            </w:r>
          </w:p>
        </w:tc>
        <w:tc>
          <w:tcPr>
            <w:tcW w:type="dxa" w:w="1289"/>
          </w:tcPr>
          <w:p>
            <w:pPr>
              <w:jc w:val="center"/>
            </w:pPr>
            <w:r/>
            <w:r>
              <w:rPr>
                <w:b w:val="0"/>
                <w:i w:val="0"/>
                <w:sz w:val="19"/>
              </w:rPr>
              <w:t>-0.06 (0.05)</w:t>
            </w:r>
          </w:p>
        </w:tc>
        <w:tc>
          <w:tcPr>
            <w:tcW w:type="dxa" w:w="1289"/>
          </w:tcPr>
          <w:p>
            <w:pPr>
              <w:jc w:val="center"/>
            </w:pPr>
            <w:r/>
            <w:r>
              <w:rPr>
                <w:b w:val="0"/>
                <w:i w:val="0"/>
                <w:sz w:val="19"/>
              </w:rPr>
              <w:t>0.01 (0.05)</w:t>
            </w:r>
          </w:p>
        </w:tc>
        <w:tc>
          <w:tcPr>
            <w:tcW w:type="dxa" w:w="1289"/>
          </w:tcPr>
          <w:p>
            <w:pPr>
              <w:jc w:val="center"/>
            </w:pPr>
            <w:r/>
            <w:r>
              <w:rPr>
                <w:b w:val="0"/>
                <w:i w:val="0"/>
                <w:sz w:val="19"/>
              </w:rPr>
              <w:t>-0.24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CH₄/rumen</w:t>
            </w:r>
          </w:p>
        </w:tc>
        <w:tc>
          <w:tcPr>
            <w:tcW w:type="dxa" w:w="1289"/>
          </w:tcPr>
          <w:p>
            <w:pPr>
              <w:jc w:val="center"/>
            </w:pPr>
            <w:r/>
            <w:r>
              <w:rPr>
                <w:b w:val="0"/>
                <w:i w:val="0"/>
                <w:sz w:val="19"/>
              </w:rPr>
              <w:t>–</w:t>
            </w:r>
          </w:p>
        </w:tc>
        <w:tc>
          <w:tcPr>
            <w:tcW w:type="dxa" w:w="1289"/>
          </w:tcPr>
          <w:p>
            <w:pPr>
              <w:jc w:val="center"/>
            </w:pPr>
            <w:r/>
            <w:r>
              <w:rPr>
                <w:b w:val="0"/>
                <w:i w:val="0"/>
                <w:sz w:val="19"/>
              </w:rPr>
              <w:t>0.04 (0.05)</w:t>
            </w:r>
          </w:p>
        </w:tc>
        <w:tc>
          <w:tcPr>
            <w:tcW w:type="dxa" w:w="1289"/>
          </w:tcPr>
          <w:p>
            <w:pPr>
              <w:jc w:val="center"/>
            </w:pPr>
            <w:r/>
            <w:r>
              <w:rPr>
                <w:b w:val="0"/>
                <w:i w:val="0"/>
                <w:sz w:val="19"/>
              </w:rPr>
              <w:t>0.00 (0.05)</w:t>
            </w:r>
          </w:p>
        </w:tc>
        <w:tc>
          <w:tcPr>
            <w:tcW w:type="dxa" w:w="1289"/>
          </w:tcPr>
          <w:p>
            <w:pPr>
              <w:jc w:val="center"/>
            </w:pPr>
            <w:r/>
            <w:r>
              <w:rPr>
                <w:b w:val="0"/>
                <w:i w:val="0"/>
                <w:sz w:val="19"/>
              </w:rPr>
              <w:t>-0.03 (0.04)</w:t>
            </w:r>
          </w:p>
        </w:tc>
        <w:tc>
          <w:tcPr>
            <w:tcW w:type="dxa" w:w="1289"/>
          </w:tcPr>
          <w:p>
            <w:pPr>
              <w:jc w:val="center"/>
            </w:pPr>
            <w:r/>
            <w:r>
              <w:rPr>
                <w:b w:val="0"/>
                <w:i w:val="0"/>
                <w:sz w:val="19"/>
                <w:highlight w:val="yellow"/>
              </w:rPr>
              <w:t>-0.45 (0.03)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-0.08 (0.01)</w:t>
            </w:r>
          </w:p>
        </w:tc>
        <w:tc>
          <w:tcPr>
            <w:tcW w:type="dxa" w:w="1289"/>
          </w:tcPr>
          <w:p>
            <w:pPr>
              <w:jc w:val="center"/>
            </w:pPr>
            <w:r/>
            <w:r>
              <w:rPr>
                <w:b w:val="0"/>
                <w:i w:val="0"/>
                <w:sz w:val="19"/>
              </w:rPr>
              <w:t>-0.16 (0.01)</w:t>
            </w:r>
          </w:p>
        </w:tc>
        <w:tc>
          <w:tcPr>
            <w:tcW w:type="dxa" w:w="1289"/>
          </w:tcPr>
          <w:p>
            <w:pPr>
              <w:jc w:val="center"/>
            </w:pPr>
            <w:r/>
            <w:r>
              <w:rPr>
                <w:b w:val="0"/>
                <w:i w:val="0"/>
                <w:sz w:val="19"/>
              </w:rPr>
              <w:t>0.02 (0.02)</w:t>
            </w:r>
          </w:p>
        </w:tc>
        <w:tc>
          <w:tcPr>
            <w:tcW w:type="dxa" w:w="1289"/>
          </w:tcPr>
          <w:p>
            <w:pPr>
              <w:jc w:val="center"/>
            </w:pPr>
            <w:r/>
            <w:r>
              <w:rPr>
                <w:b w:val="0"/>
                <w:i w:val="0"/>
                <w:sz w:val="19"/>
              </w:rPr>
              <w:t>-0.13 (0.05)</w:t>
            </w:r>
          </w:p>
        </w:tc>
        <w:tc>
          <w:tcPr>
            <w:tcW w:type="dxa" w:w="1289"/>
          </w:tcPr>
          <w:p>
            <w:pPr>
              <w:jc w:val="center"/>
            </w:pPr>
            <w:r/>
            <w:r>
              <w:rPr>
                <w:b w:val="0"/>
                <w:i w:val="0"/>
                <w:sz w:val="19"/>
              </w:rPr>
              <w:t>0.07 (0.05)</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-0.02 (0.01)</w:t>
            </w:r>
          </w:p>
        </w:tc>
        <w:tc>
          <w:tcPr>
            <w:tcW w:type="dxa" w:w="1289"/>
          </w:tcPr>
          <w:p>
            <w:pPr>
              <w:jc w:val="center"/>
            </w:pPr>
            <w:r/>
            <w:r>
              <w:rPr>
                <w:b w:val="0"/>
                <w:i w:val="0"/>
                <w:sz w:val="19"/>
              </w:rPr>
              <w:t>-0.12 (0.01)</w:t>
            </w:r>
          </w:p>
        </w:tc>
        <w:tc>
          <w:tcPr>
            <w:tcW w:type="dxa" w:w="1289"/>
          </w:tcPr>
          <w:p>
            <w:pPr>
              <w:jc w:val="center"/>
            </w:pPr>
            <w:r/>
            <w:r>
              <w:rPr>
                <w:b w:val="0"/>
                <w:i w:val="0"/>
                <w:sz w:val="19"/>
              </w:rPr>
              <w:t>0.02 (0.02)</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0.17 (0.03)</w:t>
            </w:r>
          </w:p>
        </w:tc>
        <w:tc>
          <w:tcPr>
            <w:tcW w:type="dxa" w:w="1289"/>
          </w:tcPr>
          <w:p>
            <w:pPr>
              <w:jc w:val="center"/>
            </w:pPr>
            <w:r/>
            <w:r>
              <w:rPr>
                <w:b w:val="0"/>
                <w:i w:val="0"/>
                <w:sz w:val="19"/>
              </w:rPr>
              <w:t>0.47 (0.02)</w:t>
            </w:r>
          </w:p>
        </w:tc>
        <w:tc>
          <w:tcPr>
            <w:tcW w:type="dxa" w:w="1289"/>
          </w:tcPr>
          <w:p>
            <w:pPr>
              <w:jc w:val="center"/>
            </w:pPr>
            <w:r/>
            <w:r>
              <w:rPr>
                <w:b w:val="0"/>
                <w:i w:val="0"/>
                <w:sz w:val="19"/>
                <w:highlight w:val="yellow"/>
              </w:rPr>
              <w:t>0.12 (0.02)</w:t>
            </w:r>
          </w:p>
        </w:tc>
        <w:tc>
          <w:tcPr>
            <w:tcW w:type="dxa" w:w="1289"/>
          </w:tcPr>
          <w:p>
            <w:pPr>
              <w:jc w:val="center"/>
            </w:pPr>
            <w:r/>
            <w:r>
              <w:rPr>
                <w:b w:val="0"/>
                <w:i w:val="0"/>
                <w:sz w:val="19"/>
              </w:rPr>
              <w:t>0.21 (0.08)</w:t>
            </w:r>
          </w:p>
        </w:tc>
        <w:tc>
          <w:tcPr>
            <w:tcW w:type="dxa" w:w="1289"/>
          </w:tcPr>
          <w:p>
            <w:pPr>
              <w:jc w:val="center"/>
            </w:pPr>
            <w:r/>
            <w:r>
              <w:rPr>
                <w:b w:val="0"/>
                <w:i w:val="0"/>
                <w:sz w:val="19"/>
              </w:rPr>
              <w:t>0.21 (0.08)</w:t>
            </w:r>
          </w:p>
        </w:tc>
      </w:tr>
    </w:tbl>
    <w:p/>
    <w:p>
      <w:pPr>
        <w:jc w:val="both"/>
      </w:pPr>
      <w:r>
        <w:rPr>
          <w:b w:val="0"/>
          <w:i/>
          <w:sz w:val="20"/>
        </w:rPr>
        <w:t>Trait abbreviations as in Table 1.</w:t>
      </w:r>
    </w:p>
    <w:p>
      <w:pPr>
        <w:jc w:val="both"/>
      </w:pPr>
      <w:r>
        <w:rPr>
          <w:b w:val="0"/>
          <w:i w:val="0"/>
          <w:highlight w:val="yellow"/>
        </w:rPr>
        <w:t>Genetically, CH₄ showed a moderate-to-strong positive genetic correlation with metabolic body weight (MBW; 0.72 ± 0.03), live weight (0.71 ± 0.03), ADG (0.51 ± 0.07), muscle mass (0.42 ± 0.12), and rumen volume (0.68 ± 0.15).</w:t>
      </w:r>
      <w:r>
        <w:rPr>
          <w:b w:val="0"/>
          <w:i w:val="0"/>
        </w:rPr>
        <w:t xml:space="preserve"> Ratio-based methane traits were generally negatively genetically correlated with the denominator production traits, including methane intensity (CH₄/MBW) with MBW (−0.27 ± 0.04), CH₄/MM with muscle mass (−0.39 ± 0.19), </w:t>
      </w:r>
      <w:r>
        <w:rPr>
          <w:b w:val="0"/>
          <w:i w:val="0"/>
          <w:highlight w:val="yellow"/>
        </w:rPr>
        <w:t>CH4/ADG with ADG itself (−0.81 ± 0.08)</w:t>
      </w:r>
      <w:r>
        <w:rPr>
          <w:b w:val="0"/>
          <w:i w:val="0"/>
        </w:rPr>
        <w:t>, and CH₄/rumen with rumen volume (</w:t>
      </w:r>
      <w:r>
        <w:rPr>
          <w:b w:val="0"/>
          <w:i w:val="0"/>
          <w:highlight w:val="yellow"/>
        </w:rPr>
        <w:t>−0.14 ± 0.30, a correlation with a wide confidence interval</w:t>
      </w:r>
      <w:r>
        <w:rPr>
          <w:b w:val="0"/>
          <w:i w:val="0"/>
        </w:rPr>
        <w:t xml:space="preserve">). Methane ratio showed weak to moderate negative genetic correlations with MBW (−0.21 ± 0.04), ADG (−0.04 ± 0.06), and muscle mass (−0.23 ± 0.19). Among the residual methane traits, </w:t>
      </w:r>
      <w:r>
        <w:rPr>
          <w:b w:val="0"/>
          <w:i w:val="0"/>
          <w:highlight w:val="yellow"/>
        </w:rPr>
        <w:t>RMTMBW's genetic correlation with MBW was −0.28 ± 0.04, and RMTMBW+CO2's with MBW was −0.11 ± 0.04</w:t>
      </w:r>
      <w:r>
        <w:rPr>
          <w:b w:val="0"/>
          <w:i w:val="0"/>
        </w:rPr>
        <w:t xml:space="preserve">, whereas RMTADG showed a moderate positive genetic correlation with </w:t>
      </w:r>
      <w:r>
        <w:rPr>
          <w:b w:val="0"/>
          <w:i w:val="0"/>
          <w:highlight w:val="yellow"/>
        </w:rPr>
        <w:t>its own adjustment trait, ADG (0.42 ± 0.07)</w:t>
      </w:r>
      <w:r>
        <w:rPr>
          <w:b w:val="0"/>
          <w:i w:val="0"/>
        </w:rPr>
        <w:t>.</w:t>
      </w:r>
    </w:p>
    <w:p>
      <w:pPr>
        <w:jc w:val="both"/>
      </w:pPr>
      <w:r>
        <w:rPr>
          <w:b/>
        </w:rPr>
        <w:t>Table 5.</w:t>
      </w:r>
      <w:r>
        <w:t xml:space="preserve"> </w:t>
      </w:r>
      <w:r>
        <w:rPr>
          <w:b w:val="0"/>
          <w:i w:val="0"/>
        </w:rPr>
        <w:t>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0.72 (0.03)</w:t>
            </w:r>
          </w:p>
        </w:tc>
        <w:tc>
          <w:tcPr>
            <w:tcW w:type="dxa" w:w="1289"/>
          </w:tcPr>
          <w:p>
            <w:pPr>
              <w:jc w:val="center"/>
            </w:pPr>
            <w:r/>
            <w:r>
              <w:rPr>
                <w:b w:val="0"/>
                <w:i w:val="0"/>
                <w:sz w:val="19"/>
                <w:highlight w:val="yellow"/>
              </w:rPr>
              <w:t>0.71 (0.03)</w:t>
            </w:r>
          </w:p>
        </w:tc>
        <w:tc>
          <w:tcPr>
            <w:tcW w:type="dxa" w:w="1289"/>
          </w:tcPr>
          <w:p>
            <w:pPr>
              <w:jc w:val="center"/>
            </w:pPr>
            <w:r/>
            <w:r>
              <w:rPr>
                <w:b w:val="0"/>
                <w:i w:val="0"/>
                <w:sz w:val="19"/>
                <w:highlight w:val="yellow"/>
              </w:rPr>
              <w:t>0.51 (0.07)</w:t>
            </w:r>
          </w:p>
        </w:tc>
        <w:tc>
          <w:tcPr>
            <w:tcW w:type="dxa" w:w="1289"/>
          </w:tcPr>
          <w:p>
            <w:pPr>
              <w:jc w:val="center"/>
            </w:pPr>
            <w:r/>
            <w:r>
              <w:rPr>
                <w:b w:val="0"/>
                <w:i w:val="0"/>
                <w:sz w:val="19"/>
                <w:highlight w:val="yellow"/>
              </w:rPr>
              <w:t>0.42 (0.12)</w:t>
            </w:r>
          </w:p>
        </w:tc>
        <w:tc>
          <w:tcPr>
            <w:tcW w:type="dxa" w:w="1289"/>
          </w:tcPr>
          <w:p>
            <w:pPr>
              <w:jc w:val="center"/>
            </w:pPr>
            <w:r/>
            <w:r>
              <w:rPr>
                <w:b w:val="0"/>
                <w:i w:val="0"/>
                <w:sz w:val="19"/>
                <w:highlight w:val="yellow"/>
              </w:rPr>
              <w:t>0.68 (0.15)</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-0.27 (0.04)</w:t>
            </w:r>
          </w:p>
        </w:tc>
        <w:tc>
          <w:tcPr>
            <w:tcW w:type="dxa" w:w="1289"/>
          </w:tcPr>
          <w:p>
            <w:pPr>
              <w:jc w:val="center"/>
            </w:pPr>
            <w:r/>
            <w:r>
              <w:rPr>
                <w:b w:val="0"/>
                <w:i w:val="0"/>
                <w:sz w:val="19"/>
              </w:rPr>
              <w:t>-0.27 (0.03)</w:t>
            </w:r>
          </w:p>
        </w:tc>
        <w:tc>
          <w:tcPr>
            <w:tcW w:type="dxa" w:w="1289"/>
          </w:tcPr>
          <w:p>
            <w:pPr>
              <w:jc w:val="center"/>
            </w:pPr>
            <w:r/>
            <w:r>
              <w:rPr>
                <w:b w:val="0"/>
                <w:i w:val="0"/>
                <w:sz w:val="19"/>
              </w:rPr>
              <w:t>-0.31 (0.08)</w:t>
            </w:r>
          </w:p>
        </w:tc>
        <w:tc>
          <w:tcPr>
            <w:tcW w:type="dxa" w:w="1289"/>
          </w:tcPr>
          <w:p>
            <w:pPr>
              <w:jc w:val="center"/>
            </w:pPr>
            <w:r/>
            <w:r>
              <w:rPr>
                <w:b w:val="0"/>
                <w:i w:val="0"/>
                <w:sz w:val="19"/>
              </w:rPr>
              <w:t>-0.10 (0.16)</w:t>
            </w:r>
          </w:p>
        </w:tc>
        <w:tc>
          <w:tcPr>
            <w:tcW w:type="dxa" w:w="1289"/>
          </w:tcPr>
          <w:p>
            <w:pPr>
              <w:jc w:val="center"/>
            </w:pPr>
            <w:r/>
            <w:r>
              <w:rPr>
                <w:b w:val="0"/>
                <w:i w:val="0"/>
                <w:sz w:val="19"/>
              </w:rPr>
              <w:t>-0.31 (0.22)</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rPr>
              <w:t>-0.21 (0.04)</w:t>
            </w:r>
          </w:p>
        </w:tc>
        <w:tc>
          <w:tcPr>
            <w:tcW w:type="dxa" w:w="1289"/>
          </w:tcPr>
          <w:p>
            <w:pPr>
              <w:jc w:val="center"/>
            </w:pPr>
            <w:r/>
            <w:r>
              <w:rPr>
                <w:b w:val="0"/>
                <w:i w:val="0"/>
                <w:sz w:val="19"/>
              </w:rPr>
              <w:t>–</w:t>
            </w:r>
          </w:p>
        </w:tc>
        <w:tc>
          <w:tcPr>
            <w:tcW w:type="dxa" w:w="1289"/>
          </w:tcPr>
          <w:p>
            <w:pPr>
              <w:jc w:val="center"/>
            </w:pPr>
            <w:r/>
            <w:r>
              <w:rPr>
                <w:b w:val="0"/>
                <w:i w:val="0"/>
                <w:sz w:val="19"/>
              </w:rPr>
              <w:t>-0.04 (0.06)</w:t>
            </w:r>
          </w:p>
        </w:tc>
        <w:tc>
          <w:tcPr>
            <w:tcW w:type="dxa" w:w="1289"/>
          </w:tcPr>
          <w:p>
            <w:pPr>
              <w:jc w:val="center"/>
            </w:pPr>
            <w:r/>
            <w:r>
              <w:rPr>
                <w:b w:val="0"/>
                <w:i w:val="0"/>
                <w:sz w:val="19"/>
              </w:rPr>
              <w:t>-0.23 (0.19)</w:t>
            </w:r>
          </w:p>
        </w:tc>
        <w:tc>
          <w:tcPr>
            <w:tcW w:type="dxa" w:w="1289"/>
          </w:tcPr>
          <w:p>
            <w:pPr>
              <w:jc w:val="center"/>
            </w:pPr>
            <w:r/>
            <w:r>
              <w:rPr>
                <w:b w:val="0"/>
                <w:i w:val="0"/>
                <w:sz w:val="19"/>
              </w:rPr>
              <w:t>0.13 (0.30)</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rPr>
              <w:t>-0.12 (0.07)</w:t>
            </w:r>
          </w:p>
        </w:tc>
        <w:tc>
          <w:tcPr>
            <w:tcW w:type="dxa" w:w="1289"/>
          </w:tcPr>
          <w:p>
            <w:pPr>
              <w:jc w:val="center"/>
            </w:pPr>
            <w:r/>
            <w:r>
              <w:rPr>
                <w:b w:val="0"/>
                <w:i w:val="0"/>
                <w:sz w:val="19"/>
              </w:rPr>
              <w:t>-0.19 (0.08)</w:t>
            </w:r>
          </w:p>
        </w:tc>
        <w:tc>
          <w:tcPr>
            <w:tcW w:type="dxa" w:w="1289"/>
          </w:tcPr>
          <w:p>
            <w:pPr>
              <w:jc w:val="center"/>
            </w:pPr>
            <w:r/>
            <w:r>
              <w:rPr>
                <w:b w:val="0"/>
                <w:i w:val="0"/>
                <w:sz w:val="19"/>
                <w:highlight w:val="yellow"/>
              </w:rPr>
              <w:t>-0.81 (0.08)</w:t>
            </w:r>
          </w:p>
        </w:tc>
        <w:tc>
          <w:tcPr>
            <w:tcW w:type="dxa" w:w="1289"/>
          </w:tcPr>
          <w:p>
            <w:pPr>
              <w:jc w:val="center"/>
            </w:pPr>
            <w:r/>
            <w:r>
              <w:rPr>
                <w:b w:val="0"/>
                <w:i w:val="0"/>
                <w:sz w:val="19"/>
              </w:rPr>
              <w:t>-0.02 (0.21)</w:t>
            </w:r>
          </w:p>
        </w:tc>
        <w:tc>
          <w:tcPr>
            <w:tcW w:type="dxa" w:w="1289"/>
          </w:tcPr>
          <w:p>
            <w:pPr>
              <w:jc w:val="center"/>
            </w:pPr>
            <w:r/>
            <w:r>
              <w:rPr>
                <w:b w:val="0"/>
                <w:i w:val="0"/>
                <w:sz w:val="19"/>
              </w:rPr>
              <w:t>0.06 (0.22)</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rPr>
              <w:t>-0.26 (0.14)</w:t>
            </w:r>
          </w:p>
        </w:tc>
        <w:tc>
          <w:tcPr>
            <w:tcW w:type="dxa" w:w="1289"/>
          </w:tcPr>
          <w:p>
            <w:pPr>
              <w:jc w:val="center"/>
            </w:pPr>
            <w:r/>
            <w:r>
              <w:rPr>
                <w:b w:val="0"/>
                <w:i w:val="0"/>
                <w:sz w:val="19"/>
              </w:rPr>
              <w:t>-0.21 (0.12)</w:t>
            </w:r>
          </w:p>
        </w:tc>
        <w:tc>
          <w:tcPr>
            <w:tcW w:type="dxa" w:w="1289"/>
          </w:tcPr>
          <w:p>
            <w:pPr>
              <w:jc w:val="center"/>
            </w:pPr>
            <w:r/>
            <w:r>
              <w:rPr>
                <w:b w:val="0"/>
                <w:i w:val="0"/>
                <w:sz w:val="19"/>
              </w:rPr>
              <w:t>-0.04 (0.13)</w:t>
            </w:r>
          </w:p>
        </w:tc>
        <w:tc>
          <w:tcPr>
            <w:tcW w:type="dxa" w:w="1289"/>
          </w:tcPr>
          <w:p>
            <w:pPr>
              <w:jc w:val="center"/>
            </w:pPr>
            <w:r/>
            <w:r>
              <w:rPr>
                <w:b w:val="0"/>
                <w:i w:val="0"/>
                <w:sz w:val="19"/>
              </w:rPr>
              <w:t>-0.39 (0.19)</w:t>
            </w:r>
          </w:p>
        </w:tc>
        <w:tc>
          <w:tcPr>
            <w:tcW w:type="dxa" w:w="1289"/>
          </w:tcPr>
          <w:p>
            <w:pPr>
              <w:jc w:val="center"/>
            </w:pPr>
            <w:r/>
            <w:r>
              <w:rPr>
                <w:b w:val="0"/>
                <w:i w:val="0"/>
                <w:sz w:val="19"/>
              </w:rPr>
              <w:t>0.22 (0.30)</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rPr>
              <w:t>–</w:t>
            </w:r>
          </w:p>
        </w:tc>
        <w:tc>
          <w:tcPr>
            <w:tcW w:type="dxa" w:w="1289"/>
          </w:tcPr>
          <w:p>
            <w:pPr>
              <w:jc w:val="center"/>
            </w:pPr>
            <w:r/>
            <w:r>
              <w:rPr>
                <w:b w:val="0"/>
                <w:i w:val="0"/>
                <w:sz w:val="19"/>
              </w:rPr>
              <w:t>0.12 (0.12)</w:t>
            </w:r>
          </w:p>
        </w:tc>
        <w:tc>
          <w:tcPr>
            <w:tcW w:type="dxa" w:w="1289"/>
          </w:tcPr>
          <w:p>
            <w:pPr>
              <w:jc w:val="center"/>
            </w:pPr>
            <w:r/>
            <w:r>
              <w:rPr>
                <w:b w:val="0"/>
                <w:i w:val="0"/>
                <w:sz w:val="19"/>
              </w:rPr>
              <w:t>-0.04 (0.12)</w:t>
            </w:r>
          </w:p>
        </w:tc>
        <w:tc>
          <w:tcPr>
            <w:tcW w:type="dxa" w:w="1289"/>
          </w:tcPr>
          <w:p>
            <w:pPr>
              <w:jc w:val="center"/>
            </w:pPr>
            <w:r/>
            <w:r>
              <w:rPr>
                <w:b w:val="0"/>
                <w:i w:val="0"/>
                <w:sz w:val="19"/>
              </w:rPr>
              <w:t>0.16 (0.22)</w:t>
            </w:r>
          </w:p>
        </w:tc>
        <w:tc>
          <w:tcPr>
            <w:tcW w:type="dxa" w:w="1289"/>
          </w:tcPr>
          <w:p>
            <w:pPr>
              <w:jc w:val="center"/>
            </w:pPr>
            <w:r/>
            <w:r>
              <w:rPr>
                <w:b w:val="0"/>
                <w:i w:val="0"/>
                <w:sz w:val="19"/>
                <w:highlight w:val="yellow"/>
              </w:rPr>
              <w:t>-0.14 (0.30)</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-0.28 (0.04)</w:t>
            </w:r>
          </w:p>
        </w:tc>
        <w:tc>
          <w:tcPr>
            <w:tcW w:type="dxa" w:w="1289"/>
          </w:tcPr>
          <w:p>
            <w:pPr>
              <w:jc w:val="center"/>
            </w:pPr>
            <w:r/>
            <w:r>
              <w:rPr>
                <w:b w:val="0"/>
                <w:i w:val="0"/>
                <w:sz w:val="19"/>
              </w:rPr>
              <w:t>-0.44 (0.06)</w:t>
            </w:r>
          </w:p>
        </w:tc>
        <w:tc>
          <w:tcPr>
            <w:tcW w:type="dxa" w:w="1289"/>
          </w:tcPr>
          <w:p>
            <w:pPr>
              <w:jc w:val="center"/>
            </w:pPr>
            <w:r/>
            <w:r>
              <w:rPr>
                <w:b w:val="0"/>
                <w:i w:val="0"/>
                <w:sz w:val="19"/>
              </w:rPr>
              <w:t>0.01 (0.05)</w:t>
            </w:r>
          </w:p>
        </w:tc>
        <w:tc>
          <w:tcPr>
            <w:tcW w:type="dxa" w:w="1289"/>
          </w:tcPr>
          <w:p>
            <w:pPr>
              <w:jc w:val="center"/>
            </w:pPr>
            <w:r/>
            <w:r>
              <w:rPr>
                <w:b w:val="0"/>
                <w:i w:val="0"/>
                <w:sz w:val="19"/>
              </w:rPr>
              <w:t>-0.52 (0.48)</w:t>
            </w:r>
          </w:p>
        </w:tc>
        <w:tc>
          <w:tcPr>
            <w:tcW w:type="dxa" w:w="1289"/>
          </w:tcPr>
          <w:p>
            <w:pPr>
              <w:jc w:val="center"/>
            </w:pPr>
            <w:r/>
            <w:r>
              <w:rPr>
                <w:b w:val="0"/>
                <w:i w:val="0"/>
                <w:sz w:val="19"/>
              </w:rPr>
              <w:t>0.39 (0.42)</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-0.11 (0.04)</w:t>
            </w:r>
          </w:p>
        </w:tc>
        <w:tc>
          <w:tcPr>
            <w:tcW w:type="dxa" w:w="1289"/>
          </w:tcPr>
          <w:p>
            <w:pPr>
              <w:jc w:val="center"/>
            </w:pPr>
            <w:r/>
            <w:r>
              <w:rPr>
                <w:b w:val="0"/>
                <w:i w:val="0"/>
                <w:sz w:val="19"/>
              </w:rPr>
              <w:t>-0.36 (0.05)</w:t>
            </w:r>
          </w:p>
        </w:tc>
        <w:tc>
          <w:tcPr>
            <w:tcW w:type="dxa" w:w="1289"/>
          </w:tcPr>
          <w:p>
            <w:pPr>
              <w:jc w:val="center"/>
            </w:pPr>
            <w:r/>
            <w:r>
              <w:rPr>
                <w:b w:val="0"/>
                <w:i w:val="0"/>
                <w:sz w:val="19"/>
              </w:rPr>
              <w:t>0.02 (0.05)</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0.31 (0.11)</w:t>
            </w:r>
          </w:p>
        </w:tc>
        <w:tc>
          <w:tcPr>
            <w:tcW w:type="dxa" w:w="1289"/>
          </w:tcPr>
          <w:p>
            <w:pPr>
              <w:jc w:val="center"/>
            </w:pPr>
            <w:r/>
            <w:r>
              <w:rPr>
                <w:b w:val="0"/>
                <w:i w:val="0"/>
                <w:sz w:val="19"/>
              </w:rPr>
              <w:t>0.94 (0.07)</w:t>
            </w:r>
          </w:p>
        </w:tc>
        <w:tc>
          <w:tcPr>
            <w:tcW w:type="dxa" w:w="1289"/>
          </w:tcPr>
          <w:p>
            <w:pPr>
              <w:jc w:val="center"/>
            </w:pPr>
            <w:r/>
            <w:r>
              <w:rPr>
                <w:b w:val="0"/>
                <w:i w:val="0"/>
                <w:sz w:val="19"/>
                <w:highlight w:val="yellow"/>
              </w:rPr>
              <w:t>0.42 (0.07)</w:t>
            </w:r>
          </w:p>
        </w:tc>
        <w:tc>
          <w:tcPr>
            <w:tcW w:type="dxa" w:w="1289"/>
          </w:tcPr>
          <w:p>
            <w:pPr>
              <w:jc w:val="center"/>
            </w:pPr>
            <w:r/>
            <w:r>
              <w:rPr>
                <w:b w:val="0"/>
                <w:i w:val="0"/>
                <w:sz w:val="19"/>
              </w:rPr>
              <w:t>0.37 (0.28)</w:t>
            </w:r>
          </w:p>
        </w:tc>
        <w:tc>
          <w:tcPr>
            <w:tcW w:type="dxa" w:w="1289"/>
          </w:tcPr>
          <w:p>
            <w:pPr>
              <w:jc w:val="center"/>
            </w:pPr>
            <w:r/>
            <w:r>
              <w:rPr>
                <w:b w:val="0"/>
                <w:i w:val="0"/>
                <w:sz w:val="19"/>
              </w:rPr>
              <w:t>0.37 (0.28)</w:t>
            </w:r>
          </w:p>
        </w:tc>
      </w:tr>
    </w:tbl>
    <w:p/>
    <w:p>
      <w:pPr>
        <w:jc w:val="both"/>
      </w:pPr>
      <w:r>
        <w:rPr>
          <w:b w:val="0"/>
          <w:i/>
          <w:sz w:val="20"/>
        </w:rPr>
        <w:t xml:space="preserve">Trait abbreviations as in Table 1. </w:t>
      </w:r>
      <w:r>
        <w:rPr>
          <w:b w:val="0"/>
          <w:i/>
          <w:sz w:val="20"/>
          <w:highlight w:val="yellow"/>
        </w:rPr>
        <w:t>A genetic correlation between CH4/MM and muscle mass could not be estimated (model non-convergence).</w:t>
      </w:r>
    </w:p>
    <w:p>
      <w:pPr>
        <w:pStyle w:val="Subheadings"/>
      </w:pPr>
      <w:r>
        <w:rPr>
          <w:highlight w:val="green"/>
        </w:rPr>
        <w:t xml:space="preserve">Selection index analysis</w:t>
      </w:r>
    </w:p>
    <w:p>
      <w:pPr>
        <w:pStyle w:val="Sub-subheading"/>
      </w:pPr>
      <w:r>
        <w:rPr>
          <w:highlight w:val="green"/>
        </w:rPr>
        <w:t xml:space="preserve">Genetic parameters of CH4, MBW and CO2</w:t>
      </w:r>
    </w:p>
    <w:p>
      <w:pPr>
        <w:jc w:val="both"/>
      </w:pPr>
      <w:r>
        <w:rPr>
          <w:b w:val="0"/>
          <w:i w:val="0"/>
          <w:highlight w:val="cyan"/>
        </w:rPr>
        <w:t xml:space="preserve">Genetic parameters from the trivariate analysis of CH4, MBW and CO2, used for all index calculations, are given in Table 6. These differ somewhat from the univariate and bivariate estimates reported above (for example, a CO2 heritability of 0.41 versus 0.28); the trivariate values were used throughout so that the index parameters are mutually consistent.</w:t>
      </w:r>
    </w:p>
    <w:p>
      <w:pPr>
        <w:keepNext/>
        <w:jc w:val="both"/>
      </w:pPr>
      <w:r>
        <w:rPr>
          <w:b/>
          <w:i w:val="0"/>
          <w:highlight w:val="green"/>
        </w:rPr>
        <w:t xml:space="preserve">Table 6.</w:t>
      </w:r>
      <w:r>
        <w:t xml:space="preserve"> </w:t>
      </w:r>
      <w:r>
        <w:rPr>
          <w:b w:val="0"/>
          <w:i w:val="0"/>
          <w:highlight w:val="green"/>
        </w:rPr>
        <w:t xml:space="preserve">Genetic parameters from the trivariate analysis of CH4, MBW and CO2 used in the selection index analysis.</w:t>
      </w:r>
    </w:p>
    <w:tbl>
      <w:tblPr>
        <w:tblStyle w:val="PlainTable2"/>
        <w:tblW w:type="auto" w:w="0"/>
        <w:tblLook w:firstColumn="1" w:firstRow="1" w:lastColumn="0" w:lastRow="0" w:noHBand="0" w:noVBand="1" w:val="04A0"/>
      </w:tblPr>
      <w:tblGrid>
        <w:gridCol w:w="1800"/>
        <w:gridCol w:w="900"/>
        <w:gridCol w:w="800"/>
        <w:gridCol w:w="800"/>
        <w:gridCol w:w="1400"/>
        <w:gridCol w:w="1300"/>
        <w:gridCol w:w="1300"/>
        <w:gridCol w:w="1300"/>
      </w:tblGrid>
      <w:tr>
        <w:trPr>
          <w:cantSplit/>
        </w:trPr>
        <w:tc>
          <w:tcPr>
            <w:tcW w:type="dxa" w:w="1800"/>
          </w:tcPr>
          <w:p>
            <w:pPr>
              <w:jc w:val="both"/>
            </w:pPr>
            <w:r/>
            <w:r>
              <w:rPr>
                <w:b w:val="0"/>
                <w:i w:val="0"/>
                <w:sz w:val="19"/>
                <w:highlight w:val="green"/>
              </w:rPr>
              <w:t xml:space="preserve">Trait</w:t>
            </w:r>
          </w:p>
        </w:tc>
        <w:tc>
          <w:tcPr>
            <w:tcW w:type="dxa" w:w="900"/>
          </w:tcPr>
          <w:p>
            <w:pPr>
              <w:jc w:val="center"/>
            </w:pPr>
            <w:r/>
            <w:r>
              <w:rPr>
                <w:b w:val="0"/>
                <w:i w:val="0"/>
                <w:sz w:val="19"/>
                <w:highlight w:val="green"/>
              </w:rPr>
              <w:t xml:space="preserve">Mean</w:t>
            </w:r>
          </w:p>
        </w:tc>
        <w:tc>
          <w:tcPr>
            <w:tcW w:type="dxa" w:w="800"/>
          </w:tcPr>
          <w:p>
            <w:pPr>
              <w:jc w:val="center"/>
            </w:pPr>
            <w:r/>
            <w:r>
              <w:rPr>
                <w:b w:val="0"/>
                <w:i w:val="0"/>
                <w:sz w:val="19"/>
                <w:highlight w:val="green"/>
              </w:rPr>
              <w:t xml:space="preserve">σa</w:t>
            </w:r>
          </w:p>
        </w:tc>
        <w:tc>
          <w:tcPr>
            <w:tcW w:type="dxa" w:w="800"/>
          </w:tcPr>
          <w:p>
            <w:pPr>
              <w:jc w:val="center"/>
            </w:pPr>
            <w:r/>
            <w:r>
              <w:rPr>
                <w:b w:val="0"/>
                <w:i w:val="0"/>
                <w:sz w:val="19"/>
                <w:highlight w:val="green"/>
              </w:rPr>
              <w:t xml:space="preserve">σp</w:t>
            </w:r>
          </w:p>
        </w:tc>
        <w:tc>
          <w:tcPr>
            <w:tcW w:type="dxa" w:w="1400"/>
          </w:tcPr>
          <w:p>
            <w:pPr>
              <w:jc w:val="center"/>
            </w:pPr>
            <w:r/>
            <w:r>
              <w:rPr>
                <w:b w:val="0"/>
                <w:i w:val="0"/>
                <w:sz w:val="19"/>
                <w:highlight w:val="green"/>
              </w:rPr>
              <w:t xml:space="preserve">h² (SE)</w:t>
            </w:r>
          </w:p>
        </w:tc>
        <w:tc>
          <w:tcPr>
            <w:tcW w:type="dxa" w:w="1300"/>
          </w:tcPr>
          <w:p>
            <w:pPr>
              <w:jc w:val="center"/>
            </w:pPr>
            <w:r/>
            <w:r>
              <w:rPr>
                <w:b w:val="0"/>
                <w:i w:val="0"/>
                <w:sz w:val="19"/>
                <w:highlight w:val="green"/>
              </w:rPr>
              <w:t xml:space="preserve">rg with CH4 (SE)</w:t>
            </w:r>
          </w:p>
        </w:tc>
        <w:tc>
          <w:tcPr>
            <w:tcW w:type="dxa" w:w="1300"/>
          </w:tcPr>
          <w:p>
            <w:pPr>
              <w:jc w:val="center"/>
            </w:pPr>
            <w:r/>
            <w:r>
              <w:rPr>
                <w:b w:val="0"/>
                <w:i w:val="0"/>
                <w:sz w:val="19"/>
                <w:highlight w:val="green"/>
              </w:rPr>
              <w:t xml:space="preserve">rg with MBW (SE)</w:t>
            </w:r>
          </w:p>
        </w:tc>
        <w:tc>
          <w:tcPr>
            <w:tcW w:type="dxa" w:w="1300"/>
          </w:tcPr>
          <w:p>
            <w:pPr>
              <w:jc w:val="center"/>
            </w:pPr>
            <w:r/>
            <w:r>
              <w:rPr>
                <w:b w:val="0"/>
                <w:i w:val="0"/>
                <w:sz w:val="19"/>
                <w:highlight w:val="green"/>
              </w:rPr>
              <w:t xml:space="preserve">rg with CO2 (SE)</w:t>
            </w:r>
          </w:p>
        </w:tc>
      </w:tr>
      <w:tr>
        <w:trPr>
          <w:cantSplit/>
        </w:trPr>
        <w:tc>
          <w:tcPr>
            <w:tcW w:type="dxa" w:w="1800"/>
          </w:tcPr>
          <w:p>
            <w:pPr>
              <w:jc w:val="both"/>
            </w:pPr>
            <w:r/>
            <w:r>
              <w:rPr>
                <w:b w:val="0"/>
                <w:i w:val="0"/>
                <w:sz w:val="19"/>
                <w:highlight w:val="green"/>
              </w:rPr>
              <w:t xml:space="preserve">CH4 (g day⁻¹)</w:t>
            </w:r>
          </w:p>
        </w:tc>
        <w:tc>
          <w:tcPr>
            <w:tcW w:type="dxa" w:w="900"/>
          </w:tcPr>
          <w:p>
            <w:pPr>
              <w:jc w:val="center"/>
            </w:pPr>
            <w:r/>
            <w:r>
              <w:rPr>
                <w:b w:val="0"/>
                <w:i w:val="0"/>
                <w:sz w:val="19"/>
                <w:highlight w:val="green"/>
              </w:rPr>
              <w:t xml:space="preserve">17.90</w:t>
            </w:r>
          </w:p>
        </w:tc>
        <w:tc>
          <w:tcPr>
            <w:tcW w:type="dxa" w:w="800"/>
          </w:tcPr>
          <w:p>
            <w:pPr>
              <w:jc w:val="center"/>
            </w:pPr>
            <w:r/>
            <w:r>
              <w:rPr>
                <w:b w:val="0"/>
                <w:i w:val="0"/>
                <w:sz w:val="19"/>
                <w:highlight w:val="green"/>
              </w:rPr>
              <w:t xml:space="preserve">2.10</w:t>
            </w:r>
          </w:p>
        </w:tc>
        <w:tc>
          <w:tcPr>
            <w:tcW w:type="dxa" w:w="800"/>
          </w:tcPr>
          <w:p>
            <w:pPr>
              <w:jc w:val="center"/>
            </w:pPr>
            <w:r/>
            <w:r>
              <w:rPr>
                <w:b w:val="0"/>
                <w:i w:val="0"/>
                <w:sz w:val="19"/>
                <w:highlight w:val="green"/>
              </w:rPr>
              <w:t xml:space="preserve">4.02</w:t>
            </w:r>
          </w:p>
        </w:tc>
        <w:tc>
          <w:tcPr>
            <w:tcW w:type="dxa" w:w="1400"/>
          </w:tcPr>
          <w:p>
            <w:pPr>
              <w:jc w:val="center"/>
            </w:pPr>
            <w:r/>
            <w:r>
              <w:rPr>
                <w:b w:val="0"/>
                <w:i w:val="0"/>
                <w:sz w:val="19"/>
                <w:highlight w:val="green"/>
              </w:rPr>
              <w:t xml:space="preserve">0.273 (0.017)</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0.57 (0.03)</w:t>
            </w:r>
          </w:p>
        </w:tc>
      </w:tr>
      <w:tr>
        <w:trPr>
          <w:cantSplit/>
        </w:trPr>
        <w:tc>
          <w:tcPr>
            <w:tcW w:type="dxa" w:w="1800"/>
          </w:tcPr>
          <w:p>
            <w:pPr>
              <w:jc w:val="both"/>
            </w:pPr>
            <w:r/>
            <w:r>
              <w:rPr>
                <w:b w:val="0"/>
                <w:i w:val="0"/>
                <w:sz w:val="19"/>
                <w:highlight w:val="green"/>
              </w:rPr>
              <w:t xml:space="preserve">MBW (kg⁰·⁷⁵)</w:t>
            </w:r>
          </w:p>
        </w:tc>
        <w:tc>
          <w:tcPr>
            <w:tcW w:type="dxa" w:w="900"/>
          </w:tcPr>
          <w:p>
            <w:pPr>
              <w:jc w:val="center"/>
            </w:pPr>
            <w:r/>
            <w:r>
              <w:rPr>
                <w:b w:val="0"/>
                <w:i w:val="0"/>
                <w:sz w:val="19"/>
                <w:highlight w:val="green"/>
              </w:rPr>
              <w:t xml:space="preserve">22.10</w:t>
            </w:r>
          </w:p>
        </w:tc>
        <w:tc>
          <w:tcPr>
            <w:tcW w:type="dxa" w:w="800"/>
          </w:tcPr>
          <w:p>
            <w:pPr>
              <w:jc w:val="center"/>
            </w:pPr>
            <w:r/>
            <w:r>
              <w:rPr>
                <w:b w:val="0"/>
                <w:i w:val="0"/>
                <w:sz w:val="19"/>
                <w:highlight w:val="green"/>
              </w:rPr>
              <w:t xml:space="preserve">1.75</w:t>
            </w:r>
          </w:p>
        </w:tc>
        <w:tc>
          <w:tcPr>
            <w:tcW w:type="dxa" w:w="800"/>
          </w:tcPr>
          <w:p>
            <w:pPr>
              <w:jc w:val="center"/>
            </w:pPr>
            <w:r/>
            <w:r>
              <w:rPr>
                <w:b w:val="0"/>
                <w:i w:val="0"/>
                <w:sz w:val="19"/>
                <w:highlight w:val="green"/>
              </w:rPr>
              <w:t xml:space="preserve">2.30</w:t>
            </w:r>
          </w:p>
        </w:tc>
        <w:tc>
          <w:tcPr>
            <w:tcW w:type="dxa" w:w="1400"/>
          </w:tcPr>
          <w:p>
            <w:pPr>
              <w:jc w:val="center"/>
            </w:pPr>
            <w:r/>
            <w:r>
              <w:rPr>
                <w:b w:val="0"/>
                <w:i w:val="0"/>
                <w:sz w:val="19"/>
                <w:highlight w:val="green"/>
              </w:rPr>
              <w:t xml:space="preserve">0.582 (0.019)</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0.83 (0.02)</w:t>
            </w:r>
          </w:p>
        </w:tc>
      </w:tr>
      <w:tr>
        <w:trPr>
          <w:cantSplit/>
        </w:trPr>
        <w:tc>
          <w:tcPr>
            <w:tcW w:type="dxa" w:w="1800"/>
          </w:tcPr>
          <w:p>
            <w:pPr>
              <w:jc w:val="both"/>
            </w:pPr>
            <w:r/>
            <w:r>
              <w:rPr>
                <w:b w:val="0"/>
                <w:i w:val="0"/>
                <w:sz w:val="19"/>
                <w:highlight w:val="green"/>
              </w:rPr>
              <w:t xml:space="preserve">CO2 (g day⁻¹)</w:t>
            </w:r>
          </w:p>
        </w:tc>
        <w:tc>
          <w:tcPr>
            <w:tcW w:type="dxa" w:w="900"/>
          </w:tcPr>
          <w:p>
            <w:pPr>
              <w:jc w:val="center"/>
            </w:pPr>
            <w:r/>
            <w:r>
              <w:rPr>
                <w:b w:val="0"/>
                <w:i w:val="0"/>
                <w:sz w:val="19"/>
                <w:highlight w:val="green"/>
              </w:rPr>
              <w:t xml:space="preserve">1189.64</w:t>
            </w:r>
          </w:p>
        </w:tc>
        <w:tc>
          <w:tcPr>
            <w:tcW w:type="dxa" w:w="800"/>
          </w:tcPr>
          <w:p>
            <w:pPr>
              <w:jc w:val="center"/>
            </w:pPr>
            <w:r/>
            <w:r>
              <w:rPr>
                <w:b w:val="0"/>
                <w:i w:val="0"/>
                <w:sz w:val="19"/>
                <w:highlight w:val="green"/>
              </w:rPr>
              <w:t xml:space="preserve">169.8</w:t>
            </w:r>
          </w:p>
        </w:tc>
        <w:tc>
          <w:tcPr>
            <w:tcW w:type="dxa" w:w="800"/>
          </w:tcPr>
          <w:p>
            <w:pPr>
              <w:jc w:val="center"/>
            </w:pPr>
            <w:r/>
            <w:r>
              <w:rPr>
                <w:b w:val="0"/>
                <w:i w:val="0"/>
                <w:sz w:val="19"/>
                <w:highlight w:val="green"/>
              </w:rPr>
              <w:t xml:space="preserve">265.6</w:t>
            </w:r>
          </w:p>
        </w:tc>
        <w:tc>
          <w:tcPr>
            <w:tcW w:type="dxa" w:w="1400"/>
          </w:tcPr>
          <w:p>
            <w:pPr>
              <w:jc w:val="center"/>
            </w:pPr>
            <w:r/>
            <w:r>
              <w:rPr>
                <w:b w:val="0"/>
                <w:i w:val="0"/>
                <w:sz w:val="19"/>
                <w:highlight w:val="green"/>
              </w:rPr>
              <w:t xml:space="preserve">0.409 (0.017)</w:t>
            </w:r>
          </w:p>
        </w:tc>
        <w:tc>
          <w:tcPr>
            <w:tcW w:type="dxa" w:w="1300"/>
          </w:tcPr>
          <w:p>
            <w:pPr>
              <w:jc w:val="center"/>
            </w:pPr>
            <w:r/>
            <w:r>
              <w:rPr>
                <w:b w:val="0"/>
                <w:i w:val="0"/>
                <w:sz w:val="19"/>
                <w:highlight w:val="green"/>
              </w:rPr>
              <w:t xml:space="preserve">0.57 (0.03)</w:t>
            </w:r>
          </w:p>
        </w:tc>
        <w:tc>
          <w:tcPr>
            <w:tcW w:type="dxa" w:w="1300"/>
          </w:tcPr>
          <w:p>
            <w:pPr>
              <w:jc w:val="center"/>
            </w:pPr>
            <w:r/>
            <w:r>
              <w:rPr>
                <w:b w:val="0"/>
                <w:i w:val="0"/>
                <w:sz w:val="19"/>
                <w:highlight w:val="green"/>
              </w:rPr>
              <w:t xml:space="preserve">0.83 (0.02)</w:t>
            </w:r>
          </w:p>
        </w:tc>
        <w:tc>
          <w:tcPr>
            <w:tcW w:type="dxa" w:w="1300"/>
          </w:tcPr>
          <w:p>
            <w:pPr>
              <w:jc w:val="center"/>
            </w:pPr>
            <w:r/>
            <w:r>
              <w:rPr>
                <w:b w:val="0"/>
                <w:i w:val="0"/>
                <w:sz w:val="19"/>
                <w:highlight w:val="green"/>
              </w:rPr>
              <w:t xml:space="preserve">–</w:t>
            </w:r>
          </w:p>
        </w:tc>
      </w:tr>
    </w:tbl>
    <w:p/>
    <w:p>
      <w:pPr>
        <w:jc w:val="both"/>
      </w:pPr>
      <w:r>
        <w:rPr>
          <w:b w:val="0"/>
          <w:i/>
          <w:sz w:val="20"/>
          <w:highlight w:val="green"/>
        </w:rPr>
        <w:t xml:space="preserve">σa and σp are genetic and phenotypic standard deviations from the fitted variance components; σp is conditional on the fixed effects. Phenotypic correlations: CH4–MBW 0.36, CH4–CO2 0.37, MBW–CO2 0.50 (SE ≤ 0.01). h² = heritability.</w:t>
      </w:r>
    </w:p>
    <w:p>
      <w:pPr>
        <w:pStyle w:val="Sub-subheading"/>
      </w:pPr>
      <w:r>
        <w:rPr>
          <w:highlight w:val="green"/>
        </w:rPr>
        <w:t xml:space="preserve">Predicted responses when each methane definition is the index goal</w:t>
      </w:r>
    </w:p>
    <w:p>
      <w:pPr>
        <w:jc w:val="both"/>
      </w:pPr>
      <w:r>
        <w:rPr>
          <w:b w:val="0"/>
          <w:i w:val="0"/>
          <w:highlight w:val="green"/>
        </w:rPr>
        <w:t xml:space="preserve">Figure 1 shows the responses in CH4 and MBW that can be attained by any index of CH4, MBW and CO2 at a selection intensity of 1, with the correlated CO2 response shown by colour. The favourable region, in which CH4 falls and MBW does not, is small: it covers about 6.5% of the area enclosed by the ellipse, because CH4 is strongly genetically correlated with both MBW and CO2. Its corners are a CH4 reduction of 0.63 g day⁻¹ with no change in MBW, and an MBW increase of 0.65 kg⁰·⁷⁵ with no change in CH4. Along the frontier bounding the region, the correlated CO2 response was positive, ranging from +10.1 to +64.5 g day⁻¹.</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keepNext/>
        <w:jc w:val="both"/>
      </w:pPr>
      <w:r>
        <w:rPr>
          <w:b/>
          <w:i w:val="0"/>
          <w:highlight w:val="green"/>
        </w:rPr>
        <w:t xml:space="preserve">Figure 1.</w:t>
      </w:r>
      <w:r>
        <w:t xml:space="preserve"> </w:t>
      </w:r>
      <w:r>
        <w:rPr>
          <w:b w:val="0"/>
          <w:i w:val="0"/>
          <w:highlight w:val="green"/>
        </w:rPr>
        <w:t xml:space="preserve">Frontier of attainable responses in methane (CH4) and metabolic body weight (MBW) under a Smith–Hazel index of CH4, MBW and CO2, per generation at selection intensity 1. Each point on the ellipse is the response to the index that is optimal for one goal in the CH4–MBW plane; colour shows the correlated response in CO2 (g day⁻¹). The shaded area is the favourable region (CH4 reduced, MBW not reduced); the correlated CO2 response along the frontier bounding it is +10.1 to +64.5 g day⁻¹.</w:t>
      </w:r>
    </w:p>
    <w:p>
      <w:pPr>
        <w:jc w:val="both"/>
      </w:pPr>
      <w:r>
        <w:rPr>
          <w:b w:val="0"/>
          <w:i w:val="0"/>
          <w:highlight w:val="green"/>
        </w:rPr>
        <w:t xml:space="preserve">Table 7 gives the predicted responses when each methane definition, as defined, is the index goal. Selecting on absolute CH4 gave the largest methane reduction (−1.34 g day⁻¹) but with correlated reductions in MBW (−1.21 kg⁰·⁷⁵) and CO2 (−99.6 g day⁻¹). The genetic-residual and CH4/MBW ratio definitions reduced methane less (−0.71 and −0.75 g day⁻¹) but with a much smaller decline in MBW (−0.09 and −0.14 kg⁰·⁷⁵) and little change in CO2 (+2.0 and −2.4 g day⁻¹). The phenotypic residual reduced CH4 by 0.87 g day⁻¹ with declines of 0.31 kg⁰·⁷⁵ in MBW and 9.8 g day⁻¹ in CO2. The CH4/CO2 ratio was predicted to increase methane (+0.19 g day⁻¹) while raising MBW (+0.72) and CO2 (+88.3). None of the definitions, as defined, fell in the favourable region. The largest favourable methane reduction, −0.63 g day⁻¹ (47% of the unconstrained response), </w:t>
      </w:r>
      <w:r>
        <w:rPr>
          <w:b w:val="0"/>
          <w:i w:val="0"/>
          <w:highlight w:val="cyan"/>
        </w:rPr>
        <w:t xml:space="preserve">was obtained from an index restricted to zero MBW response (Kempthorne and Nordskog [43]; related to the desired-gains approach [41]),</w:t>
      </w:r>
      <w:r>
        <w:rPr>
          <w:b w:val="0"/>
          <w:i w:val="0"/>
          <w:highlight w:val="green"/>
        </w:rPr>
        <w:t xml:space="preserve"> and was accompanied by a CO2 increase of 10.0 g day⁻¹.</w:t>
      </w:r>
    </w:p>
    <w:p>
      <w:pPr>
        <w:keepNext/>
        <w:jc w:val="both"/>
      </w:pPr>
      <w:r>
        <w:rPr>
          <w:b/>
          <w:i w:val="0"/>
          <w:highlight w:val="green"/>
        </w:rPr>
        <w:t xml:space="preserve">Table 7.</w:t>
      </w:r>
      <w:r>
        <w:t xml:space="preserve"> </w:t>
      </w:r>
      <w:r>
        <w:rPr>
          <w:b w:val="0"/>
          <w:i w:val="0"/>
          <w:highlight w:val="green"/>
        </w:rPr>
        <w:t xml:space="preserve">Predicted responses per generation at selection intensity 1 when each methane definition is the index goal.</w:t>
      </w:r>
    </w:p>
    <w:tbl>
      <w:tblPr>
        <w:tblStyle w:val="PlainTable2"/>
        <w:tblW w:type="auto" w:w="0"/>
        <w:tblLook w:firstColumn="1" w:firstRow="1" w:lastColumn="0" w:lastRow="0" w:noHBand="0" w:noVBand="1" w:val="04A0"/>
      </w:tblPr>
      <w:tblGrid>
        <w:gridCol w:w="3900"/>
        <w:gridCol w:w="1300"/>
        <w:gridCol w:w="1400"/>
        <w:gridCol w:w="1300"/>
        <w:gridCol w:w="1400"/>
      </w:tblGrid>
      <w:tr>
        <w:trPr>
          <w:cantSplit/>
        </w:trPr>
        <w:tc>
          <w:tcPr>
            <w:tcW w:type="dxa" w:w="3900"/>
          </w:tcPr>
          <w:p>
            <w:pPr>
              <w:jc w:val="both"/>
            </w:pPr>
            <w:r/>
            <w:r>
              <w:rPr>
                <w:b w:val="0"/>
                <w:i w:val="0"/>
                <w:sz w:val="19"/>
                <w:highlight w:val="green"/>
              </w:rPr>
              <w:t xml:space="preserve">Methane goal</w:t>
            </w:r>
          </w:p>
        </w:tc>
        <w:tc>
          <w:tcPr>
            <w:tcW w:type="dxa" w:w="1300"/>
          </w:tcPr>
          <w:p>
            <w:pPr>
              <w:jc w:val="center"/>
            </w:pPr>
            <w:r/>
            <w:r>
              <w:rPr>
                <w:b w:val="0"/>
                <w:i w:val="0"/>
                <w:sz w:val="19"/>
                <w:highlight w:val="green"/>
              </w:rPr>
              <w:t xml:space="preserve">ΔCH4 (g day⁻¹)</w:t>
            </w:r>
          </w:p>
        </w:tc>
        <w:tc>
          <w:tcPr>
            <w:tcW w:type="dxa" w:w="1400"/>
          </w:tcPr>
          <w:p>
            <w:pPr>
              <w:jc w:val="center"/>
            </w:pPr>
            <w:r/>
            <w:r>
              <w:rPr>
                <w:b w:val="0"/>
                <w:i w:val="0"/>
                <w:sz w:val="19"/>
                <w:highlight w:val="green"/>
              </w:rPr>
              <w:t xml:space="preserve">ΔMBW (kg⁰·⁷⁵)</w:t>
            </w:r>
          </w:p>
        </w:tc>
        <w:tc>
          <w:tcPr>
            <w:tcW w:type="dxa" w:w="1300"/>
          </w:tcPr>
          <w:p>
            <w:pPr>
              <w:jc w:val="center"/>
            </w:pPr>
            <w:r/>
            <w:r>
              <w:rPr>
                <w:b w:val="0"/>
                <w:i w:val="0"/>
                <w:sz w:val="19"/>
                <w:highlight w:val="green"/>
              </w:rPr>
              <w:t xml:space="preserve">ΔCO2 (g day⁻¹)</w:t>
            </w:r>
          </w:p>
        </w:tc>
        <w:tc>
          <w:tcPr>
            <w:tcW w:type="dxa" w:w="1400"/>
          </w:tcPr>
          <w:p>
            <w:pPr>
              <w:jc w:val="center"/>
            </w:pPr>
            <w:r/>
            <w:r>
              <w:rPr>
                <w:b w:val="0"/>
                <w:i w:val="0"/>
                <w:sz w:val="19"/>
                <w:highlight w:val="green"/>
              </w:rPr>
              <w:t xml:space="preserve">In favourable region</w:t>
            </w:r>
          </w:p>
        </w:tc>
      </w:tr>
      <w:tr>
        <w:trPr>
          <w:cantSplit/>
        </w:trPr>
        <w:tc>
          <w:tcPr>
            <w:tcW w:type="dxa" w:w="3900"/>
          </w:tcPr>
          <w:p>
            <w:pPr>
              <w:jc w:val="both"/>
            </w:pPr>
            <w:r/>
            <w:r>
              <w:rPr>
                <w:b w:val="0"/>
                <w:i w:val="0"/>
                <w:sz w:val="19"/>
                <w:highlight w:val="green"/>
              </w:rPr>
              <w:t xml:space="preserve">Absolute CH4</w:t>
            </w:r>
          </w:p>
        </w:tc>
        <w:tc>
          <w:tcPr>
            <w:tcW w:type="dxa" w:w="1300"/>
          </w:tcPr>
          <w:p>
            <w:pPr>
              <w:jc w:val="center"/>
            </w:pPr>
            <w:r/>
            <w:r>
              <w:rPr>
                <w:b w:val="0"/>
                <w:i w:val="0"/>
                <w:sz w:val="19"/>
                <w:highlight w:val="green"/>
              </w:rPr>
              <w:t xml:space="preserve">−1.34</w:t>
            </w:r>
          </w:p>
        </w:tc>
        <w:tc>
          <w:tcPr>
            <w:tcW w:type="dxa" w:w="1400"/>
          </w:tcPr>
          <w:p>
            <w:pPr>
              <w:jc w:val="center"/>
            </w:pPr>
            <w:r/>
            <w:r>
              <w:rPr>
                <w:b w:val="0"/>
                <w:i w:val="0"/>
                <w:sz w:val="19"/>
                <w:highlight w:val="green"/>
              </w:rPr>
              <w:t xml:space="preserve">−1.21</w:t>
            </w:r>
          </w:p>
        </w:tc>
        <w:tc>
          <w:tcPr>
            <w:tcW w:type="dxa" w:w="1300"/>
          </w:tcPr>
          <w:p>
            <w:pPr>
              <w:jc w:val="center"/>
            </w:pPr>
            <w:r/>
            <w:r>
              <w:rPr>
                <w:b w:val="0"/>
                <w:i w:val="0"/>
                <w:sz w:val="19"/>
                <w:highlight w:val="green"/>
              </w:rPr>
              <w:t xml:space="preserve">−99.6</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Genetic residual (CH4 on MBW and CO2)</w:t>
            </w:r>
          </w:p>
        </w:tc>
        <w:tc>
          <w:tcPr>
            <w:tcW w:type="dxa" w:w="1300"/>
          </w:tcPr>
          <w:p>
            <w:pPr>
              <w:jc w:val="center"/>
            </w:pPr>
            <w:r/>
            <w:r>
              <w:rPr>
                <w:b w:val="0"/>
                <w:i w:val="0"/>
                <w:sz w:val="19"/>
                <w:highlight w:val="green"/>
              </w:rPr>
              <w:t xml:space="preserve">−0.71</w:t>
            </w:r>
          </w:p>
        </w:tc>
        <w:tc>
          <w:tcPr>
            <w:tcW w:type="dxa" w:w="1400"/>
          </w:tcPr>
          <w:p>
            <w:pPr>
              <w:jc w:val="center"/>
            </w:pPr>
            <w:r/>
            <w:r>
              <w:rPr>
                <w:b w:val="0"/>
                <w:i w:val="0"/>
                <w:sz w:val="19"/>
                <w:highlight w:val="green"/>
              </w:rPr>
              <w:t xml:space="preserve">−0.09</w:t>
            </w:r>
          </w:p>
        </w:tc>
        <w:tc>
          <w:tcPr>
            <w:tcW w:type="dxa" w:w="1300"/>
          </w:tcPr>
          <w:p>
            <w:pPr>
              <w:jc w:val="center"/>
            </w:pPr>
            <w:r/>
            <w:r>
              <w:rPr>
                <w:b w:val="0"/>
                <w:i w:val="0"/>
                <w:sz w:val="19"/>
                <w:highlight w:val="green"/>
              </w:rPr>
              <w:t xml:space="preserve">+2.0</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Phenotypic residual (CH4 on MBW and CO2)</w:t>
            </w:r>
          </w:p>
        </w:tc>
        <w:tc>
          <w:tcPr>
            <w:tcW w:type="dxa" w:w="1300"/>
          </w:tcPr>
          <w:p>
            <w:pPr>
              <w:jc w:val="center"/>
            </w:pPr>
            <w:r/>
            <w:r>
              <w:rPr>
                <w:b w:val="0"/>
                <w:i w:val="0"/>
                <w:sz w:val="19"/>
                <w:highlight w:val="green"/>
              </w:rPr>
              <w:t xml:space="preserve">−0.87</w:t>
            </w:r>
          </w:p>
        </w:tc>
        <w:tc>
          <w:tcPr>
            <w:tcW w:type="dxa" w:w="1400"/>
          </w:tcPr>
          <w:p>
            <w:pPr>
              <w:jc w:val="center"/>
            </w:pPr>
            <w:r/>
            <w:r>
              <w:rPr>
                <w:b w:val="0"/>
                <w:i w:val="0"/>
                <w:sz w:val="19"/>
                <w:highlight w:val="green"/>
              </w:rPr>
              <w:t xml:space="preserve">−0.31</w:t>
            </w:r>
          </w:p>
        </w:tc>
        <w:tc>
          <w:tcPr>
            <w:tcW w:type="dxa" w:w="1300"/>
          </w:tcPr>
          <w:p>
            <w:pPr>
              <w:jc w:val="center"/>
            </w:pPr>
            <w:r/>
            <w:r>
              <w:rPr>
                <w:b w:val="0"/>
                <w:i w:val="0"/>
                <w:sz w:val="19"/>
                <w:highlight w:val="green"/>
              </w:rPr>
              <w:t xml:space="preserve">−9.8</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CH4/MBW (linearised)</w:t>
            </w:r>
          </w:p>
        </w:tc>
        <w:tc>
          <w:tcPr>
            <w:tcW w:type="dxa" w:w="1300"/>
          </w:tcPr>
          <w:p>
            <w:pPr>
              <w:jc w:val="center"/>
            </w:pPr>
            <w:r/>
            <w:r>
              <w:rPr>
                <w:b w:val="0"/>
                <w:i w:val="0"/>
                <w:sz w:val="19"/>
                <w:highlight w:val="green"/>
              </w:rPr>
              <w:t xml:space="preserve">−0.75</w:t>
            </w:r>
          </w:p>
        </w:tc>
        <w:tc>
          <w:tcPr>
            <w:tcW w:type="dxa" w:w="1400"/>
          </w:tcPr>
          <w:p>
            <w:pPr>
              <w:jc w:val="center"/>
            </w:pPr>
            <w:r/>
            <w:r>
              <w:rPr>
                <w:b w:val="0"/>
                <w:i w:val="0"/>
                <w:sz w:val="19"/>
                <w:highlight w:val="green"/>
              </w:rPr>
              <w:t xml:space="preserve">−0.14</w:t>
            </w:r>
          </w:p>
        </w:tc>
        <w:tc>
          <w:tcPr>
            <w:tcW w:type="dxa" w:w="1300"/>
          </w:tcPr>
          <w:p>
            <w:pPr>
              <w:jc w:val="center"/>
            </w:pPr>
            <w:r/>
            <w:r>
              <w:rPr>
                <w:b w:val="0"/>
                <w:i w:val="0"/>
                <w:sz w:val="19"/>
                <w:highlight w:val="green"/>
              </w:rPr>
              <w:t xml:space="preserve">−2.4</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CH4/CO2 (linearised)</w:t>
            </w:r>
          </w:p>
        </w:tc>
        <w:tc>
          <w:tcPr>
            <w:tcW w:type="dxa" w:w="1300"/>
          </w:tcPr>
          <w:p>
            <w:pPr>
              <w:jc w:val="center"/>
            </w:pPr>
            <w:r/>
            <w:r>
              <w:rPr>
                <w:b w:val="0"/>
                <w:i w:val="0"/>
                <w:sz w:val="19"/>
                <w:highlight w:val="green"/>
              </w:rPr>
              <w:t xml:space="preserve">+0.19</w:t>
            </w:r>
          </w:p>
        </w:tc>
        <w:tc>
          <w:tcPr>
            <w:tcW w:type="dxa" w:w="1400"/>
          </w:tcPr>
          <w:p>
            <w:pPr>
              <w:jc w:val="center"/>
            </w:pPr>
            <w:r/>
            <w:r>
              <w:rPr>
                <w:b w:val="0"/>
                <w:i w:val="0"/>
                <w:sz w:val="19"/>
                <w:highlight w:val="green"/>
              </w:rPr>
              <w:t xml:space="preserve">+0.72</w:t>
            </w:r>
          </w:p>
        </w:tc>
        <w:tc>
          <w:tcPr>
            <w:tcW w:type="dxa" w:w="1300"/>
          </w:tcPr>
          <w:p>
            <w:pPr>
              <w:jc w:val="center"/>
            </w:pPr>
            <w:r/>
            <w:r>
              <w:rPr>
                <w:b w:val="0"/>
                <w:i w:val="0"/>
                <w:sz w:val="19"/>
                <w:highlight w:val="green"/>
              </w:rPr>
              <w:t xml:space="preserve">+88.3</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i w:val="0"/>
                <w:sz w:val="19"/>
                <w:highlight w:val="green"/>
              </w:rPr>
              <w:t xml:space="preserve">Reference: CH4 reduced with MBW held at zero (restricted index)</w:t>
            </w:r>
          </w:p>
        </w:tc>
        <w:tc>
          <w:tcPr>
            <w:tcW w:type="dxa" w:w="1300"/>
          </w:tcPr>
          <w:p>
            <w:pPr>
              <w:jc w:val="center"/>
            </w:pPr>
            <w:r/>
            <w:r>
              <w:rPr>
                <w:b/>
                <w:i w:val="0"/>
                <w:sz w:val="19"/>
                <w:highlight w:val="green"/>
              </w:rPr>
              <w:t xml:space="preserve">−0.63</w:t>
            </w:r>
          </w:p>
        </w:tc>
        <w:tc>
          <w:tcPr>
            <w:tcW w:type="dxa" w:w="1400"/>
          </w:tcPr>
          <w:p>
            <w:pPr>
              <w:jc w:val="center"/>
            </w:pPr>
            <w:r/>
            <w:r>
              <w:rPr>
                <w:b/>
                <w:i w:val="0"/>
                <w:sz w:val="19"/>
                <w:highlight w:val="green"/>
              </w:rPr>
              <w:t xml:space="preserve">0.00</w:t>
            </w:r>
          </w:p>
        </w:tc>
        <w:tc>
          <w:tcPr>
            <w:tcW w:type="dxa" w:w="1300"/>
          </w:tcPr>
          <w:p>
            <w:pPr>
              <w:jc w:val="center"/>
            </w:pPr>
            <w:r/>
            <w:r>
              <w:rPr>
                <w:b/>
                <w:i w:val="0"/>
                <w:sz w:val="19"/>
                <w:highlight w:val="green"/>
              </w:rPr>
              <w:t xml:space="preserve">+10.0</w:t>
            </w:r>
          </w:p>
        </w:tc>
        <w:tc>
          <w:tcPr>
            <w:tcW w:type="dxa" w:w="1400"/>
          </w:tcPr>
          <w:p>
            <w:pPr>
              <w:jc w:val="center"/>
            </w:pPr>
            <w:r/>
            <w:r>
              <w:rPr>
                <w:b/>
                <w:i w:val="0"/>
                <w:sz w:val="19"/>
                <w:highlight w:val="green"/>
              </w:rPr>
              <w:t xml:space="preserve">Yes (boundary)</w:t>
            </w:r>
          </w:p>
        </w:tc>
      </w:tr>
    </w:tbl>
    <w:p/>
    <w:p>
      <w:pPr>
        <w:jc w:val="both"/>
      </w:pPr>
      <w:r>
        <w:rPr>
          <w:b w:val="0"/>
          <w:i/>
          <w:sz w:val="20"/>
          <w:highlight w:val="green"/>
        </w:rPr>
        <w:t xml:space="preserve">Indices used the phenotypes of CH4, MBW and CO2. Favourable region: CH4 reduced, MBW and CO2 not reduced. Goals are defined in Methods; ratios are linearised around the trait means. Sampling variances of the parameters were not propagated.</w:t>
      </w:r>
    </w:p>
    <w:p>
      <w:pPr>
        <w:jc w:val="both"/>
      </w:pPr>
      <w:r>
        <w:rPr>
          <w:b w:val="0"/>
          <w:i w:val="0"/>
          <w:highlight w:val="green"/>
        </w:rPr>
        <w:t xml:space="preserve">The ratio and genetic-residual definitions can be read as fixed implicit weights on MBW. For a goal of the form CH4 − b·MBW with no CO2 term, a favourable response required b between 0.859 and 1.103 g CH4 per kg⁰·⁷⁵ of MBW. The CH4/MBW ratio implies b = 0.81, and the genetic residual 0.83, both close to but below the lower limit of this range; the phenotypic residual (0.42) lies well below it. Because sampling variances were not propagated, we cannot say how confidently the ratio and genetic residual lie outside the range.</w:t>
      </w:r>
    </w:p>
    <w:p>
      <w:pPr>
        <w:jc w:val="both"/>
      </w:pPr>
      <w:r>
        <w:rPr>
          <w:b w:val="0"/>
          <w:i w:val="0"/>
          <w:highlight w:val="green"/>
        </w:rPr>
        <w:t xml:space="preserve">Table 8 gives the unscaled index weights that produce the reference favourable response (MBW held at zero), expressed in the coordinates of each goal. The three rows are the same index on the CH4, MBW and CO2 phenotypes, and produce the same responses (Table 7, last row); they differ only in coordinates. The weight on MBW alongside a residual methane term is therefore a re-expression of the weights on CH4, MBW and CO2, and cannot be read as an economic value for MBW. Weights are left in natural units, so the CO2 weight is numerically small because CO2 is measured in g day⁻¹ with a genetic standard deviation of about 170 g day⁻¹. Ratio definitions are not shown, because a ratio with additional weights is no longer a ratio.</w:t>
      </w:r>
    </w:p>
    <w:p>
      <w:pPr>
        <w:keepNext/>
        <w:jc w:val="both"/>
      </w:pPr>
      <w:r>
        <w:rPr>
          <w:b/>
          <w:i w:val="0"/>
          <w:highlight w:val="green"/>
        </w:rPr>
        <w:t xml:space="preserve">Table 8.</w:t>
      </w:r>
      <w:r>
        <w:t xml:space="preserve"> </w:t>
      </w:r>
      <w:r>
        <w:rPr>
          <w:b w:val="0"/>
          <w:i w:val="0"/>
          <w:highlight w:val="green"/>
        </w:rPr>
        <w:t xml:space="preserve">Unscaled index weights of the index giving the reference favourable response (CH4 reduced, MBW held at zero response), in the coordinates of each goal.</w:t>
      </w:r>
    </w:p>
    <w:tbl>
      <w:tblPr>
        <w:tblStyle w:val="PlainTable2"/>
        <w:tblW w:type="auto" w:w="0"/>
        <w:tblLook w:firstColumn="1" w:firstRow="1" w:lastColumn="0" w:lastRow="0" w:noHBand="0" w:noVBand="1" w:val="04A0"/>
      </w:tblPr>
      <w:tblGrid>
        <w:gridCol w:w="3900"/>
        <w:gridCol w:w="1800"/>
        <w:gridCol w:w="1800"/>
        <w:gridCol w:w="1800"/>
      </w:tblGrid>
      <w:tr>
        <w:trPr>
          <w:cantSplit/>
        </w:trPr>
        <w:tc>
          <w:tcPr>
            <w:tcW w:type="dxa" w:w="3900"/>
          </w:tcPr>
          <w:p>
            <w:pPr>
              <w:jc w:val="both"/>
            </w:pPr>
            <w:r/>
            <w:r>
              <w:rPr>
                <w:b w:val="0"/>
                <w:i w:val="0"/>
                <w:sz w:val="19"/>
                <w:highlight w:val="green"/>
              </w:rPr>
              <w:t xml:space="preserve">Goal coordinates</w:t>
            </w:r>
          </w:p>
        </w:tc>
        <w:tc>
          <w:tcPr>
            <w:tcW w:type="dxa" w:w="1800"/>
          </w:tcPr>
          <w:p>
            <w:pPr>
              <w:jc w:val="center"/>
            </w:pPr>
            <w:r/>
            <w:r>
              <w:rPr>
                <w:b w:val="0"/>
                <w:i w:val="0"/>
                <w:sz w:val="19"/>
                <w:highlight w:val="green"/>
              </w:rPr>
              <w:t xml:space="preserve">Weight on methane term (per g day⁻¹)</w:t>
            </w:r>
          </w:p>
        </w:tc>
        <w:tc>
          <w:tcPr>
            <w:tcW w:type="dxa" w:w="1800"/>
          </w:tcPr>
          <w:p>
            <w:pPr>
              <w:jc w:val="center"/>
            </w:pPr>
            <w:r/>
            <w:r>
              <w:rPr>
                <w:b w:val="0"/>
                <w:i w:val="0"/>
                <w:sz w:val="19"/>
                <w:highlight w:val="green"/>
              </w:rPr>
              <w:t xml:space="preserve">Weight on MBW (per kg⁰·⁷⁵)</w:t>
            </w:r>
          </w:p>
        </w:tc>
        <w:tc>
          <w:tcPr>
            <w:tcW w:type="dxa" w:w="1800"/>
          </w:tcPr>
          <w:p>
            <w:pPr>
              <w:jc w:val="center"/>
            </w:pPr>
            <w:r/>
            <w:r>
              <w:rPr>
                <w:b w:val="0"/>
                <w:i w:val="0"/>
                <w:sz w:val="19"/>
                <w:highlight w:val="green"/>
              </w:rPr>
              <w:t xml:space="preserve">Weight on CO2 (per g day⁻¹)</w:t>
            </w:r>
          </w:p>
        </w:tc>
      </w:tr>
      <w:tr>
        <w:trPr>
          <w:cantSplit/>
        </w:trPr>
        <w:tc>
          <w:tcPr>
            <w:tcW w:type="dxa" w:w="3900"/>
          </w:tcPr>
          <w:p>
            <w:pPr>
              <w:jc w:val="both"/>
            </w:pPr>
            <w:r/>
            <w:r>
              <w:rPr>
                <w:b w:val="0"/>
                <w:i w:val="0"/>
                <w:sz w:val="19"/>
                <w:highlight w:val="green"/>
              </w:rPr>
              <w:t xml:space="preserve">Absolute CH4 goal (CH4, MBW, CO2 as themselves)</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0.0877</w:t>
            </w:r>
          </w:p>
        </w:tc>
        <w:tc>
          <w:tcPr>
            <w:tcW w:type="dxa" w:w="1800"/>
          </w:tcPr>
          <w:p>
            <w:pPr>
              <w:jc w:val="center"/>
            </w:pPr>
            <w:r/>
            <w:r>
              <w:rPr>
                <w:b w:val="0"/>
                <w:i w:val="0"/>
                <w:sz w:val="19"/>
                <w:highlight w:val="green"/>
              </w:rPr>
              <w:t xml:space="preserve">6.901×10⁻⁴</w:t>
            </w:r>
          </w:p>
        </w:tc>
      </w:tr>
      <w:tr>
        <w:trPr>
          <w:cantSplit/>
        </w:trPr>
        <w:tc>
          <w:tcPr>
            <w:tcW w:type="dxa" w:w="3900"/>
          </w:tcPr>
          <w:p>
            <w:pPr>
              <w:jc w:val="both"/>
            </w:pPr>
            <w:r/>
            <w:r>
              <w:rPr>
                <w:b w:val="0"/>
                <w:i w:val="0"/>
                <w:sz w:val="19"/>
                <w:highlight w:val="green"/>
              </w:rPr>
              <w:t xml:space="preserve">Genetic-residual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−0.0562</w:t>
            </w:r>
          </w:p>
        </w:tc>
        <w:tc>
          <w:tcPr>
            <w:tcW w:type="dxa" w:w="1800"/>
          </w:tcPr>
          <w:p>
            <w:pPr>
              <w:jc w:val="center"/>
            </w:pPr>
            <w:r/>
            <w:r>
              <w:rPr>
                <w:b w:val="0"/>
                <w:i w:val="0"/>
                <w:sz w:val="19"/>
                <w:highlight w:val="green"/>
              </w:rPr>
              <w:t xml:space="preserve">7.006×10⁻⁴</w:t>
            </w:r>
          </w:p>
        </w:tc>
      </w:tr>
      <w:tr>
        <w:trPr>
          <w:cantSplit/>
        </w:trPr>
        <w:tc>
          <w:tcPr>
            <w:tcW w:type="dxa" w:w="3900"/>
          </w:tcPr>
          <w:p>
            <w:pPr>
              <w:jc w:val="both"/>
            </w:pPr>
            <w:r/>
            <w:r>
              <w:rPr>
                <w:b w:val="0"/>
                <w:i w:val="0"/>
                <w:sz w:val="19"/>
                <w:highlight w:val="green"/>
              </w:rPr>
              <w:t xml:space="preserve">Phenotypic-residual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0.0147</w:t>
            </w:r>
          </w:p>
        </w:tc>
        <w:tc>
          <w:tcPr>
            <w:tcW w:type="dxa" w:w="1800"/>
          </w:tcPr>
          <w:p>
            <w:pPr>
              <w:jc w:val="center"/>
            </w:pPr>
            <w:r/>
            <w:r>
              <w:rPr>
                <w:b w:val="0"/>
                <w:i w:val="0"/>
                <w:sz w:val="19"/>
                <w:highlight w:val="green"/>
              </w:rPr>
              <w:t xml:space="preserve">4.979×10⁻⁵</w:t>
            </w:r>
          </w:p>
        </w:tc>
      </w:tr>
    </w:tbl>
    <w:p/>
    <w:p>
      <w:pPr>
        <w:jc w:val="both"/>
      </w:pPr>
      <w:r>
        <w:rPr>
          <w:b w:val="0"/>
          <w:i/>
          <w:sz w:val="20"/>
          <w:highlight w:val="green"/>
        </w:rPr>
        <w:t xml:space="preserve">The methane term is CH4, the genetic residual, or the phenotypic residual, respectively. Weights are on unscaled phenotypes.</w:t>
      </w:r>
    </w:p>
    <w:p>
      <w:pPr>
        <w:pStyle w:val="Sub-subheading"/>
      </w:pPr>
      <w:r>
        <w:rPr>
          <w:highlight w:val="green"/>
        </w:rPr>
        <w:t xml:space="preserve">Information traits</w:t>
      </w:r>
    </w:p>
    <w:p>
      <w:pPr>
        <w:jc w:val="both"/>
      </w:pPr>
      <w:r>
        <w:rPr>
          <w:b w:val="0"/>
          <w:i w:val="0"/>
          <w:highlight w:val="green"/>
        </w:rPr>
        <w:t xml:space="preserve">Indices using CH4 alone as information gave a response of −1.10 g day⁻¹ for the unconstrained methane goal (index accuracy 0.52), which rose to −1.34 g day⁻¹ (accuracy 0.64) when MBW was added and was unchanged by adding CO2 (−1.34 g day⁻¹; accuracy 0.637 versus 0.636; Supplementary Table S3). Holding MBW at zero response gave −0.61 g day⁻¹ with CH4 and MBW as information and −0.63 g day⁻¹ with CO2 added; holding both MBW and CO2 at zero gave −0.61 g day⁻¹. Recording MBW therefore mattered for both the size of the response and for the ability to constrain body size, whereas CO2 added almost nothing.</w:t>
      </w:r>
    </w:p>
    <w:p>
      <w:pPr>
        <w:jc w:val="both"/>
      </w:pPr>
      <w:r>
        <w:rPr>
          <w:b w:val="0"/>
          <w:i w:val="0"/>
          <w:highlight w:val="green"/>
        </w:rPr>
        <w:t xml:space="preserve">The behaviour of the ratio depended on the CH4–MBW genetic correlation. With CH4 and MBW as information traits, the predicted MBW response to selection on the CH4/MBW ratio changed sign at a genetic correlation of about 0.63, against the estimate of 0.69, so that a lower correlation would give a ratio that increased MBW rather than reduced it (Supplementary Table S4). This sensitivity was not re-run with CO2 as an additional information trait.</w:t>
      </w:r>
    </w:p>
    <w:p>
      <w:pPr/>
      <w:r>
        <w:rPr>
          <w:b/>
          <w:i w:val="0"/>
          <w:sz w:val="36"/>
        </w:rPr>
        <w:t>Discussion</w:t>
      </w:r>
    </w:p>
    <w:p>
      <w:pPr>
        <w:jc w:val="both"/>
      </w:pPr>
      <w:r>
        <w:rPr>
          <w:b w:val="0"/>
          <w:i w:val="0"/>
          <w:highlight w:val="yellow"/>
        </w:rPr>
        <w:t>The present study estimated genetic parameters for a comprehensive set of alternative methane trait definitions in pasture-based sheep, comparing absolute, ratio-based, and residual methane phenotypes within a common analytical framework. Multiple methane phenotypes are used across the literature to quantify emissions, but their statistical properties, and the genetic relationships each carries with production traits, are not always made explicit. Lassen and Difford [16] highlighted the need for further empirical work establishing how ratio- and residual-based methane traits actually behave genetically; the results presented here address that gap directly.</w:t>
      </w:r>
      <w:r>
        <w:rPr>
          <w:b w:val="0"/>
          <w:i w:val="0"/>
          <w:highlight w:val="green"/>
        </w:rPr>
        <w:t xml:space="preserve"> </w:t>
      </w:r>
      <w:r>
        <w:rPr>
          <w:b w:val="0"/>
          <w:i w:val="0"/>
          <w:highlight w:val="green"/>
        </w:rPr>
        <w:t xml:space="preserve">We also asked how these definitions behave when used as the methane trait in a selection index, as a narrow test of the definitions rather than a model of a breeding programme.</w:t>
      </w:r>
    </w:p>
    <w:p>
      <w:pPr>
        <w:jc w:val="both"/>
      </w:pPr>
      <w:r>
        <w:rPr>
          <w:b w:val="0"/>
          <w:i w:val="0"/>
          <w:highlight w:val="yellow"/>
        </w:rPr>
        <w:t>Heritability estimates across the nine methane trait definitions ranged from 0.10 to 0.46, indicating that methane production carries meaningful additive genetic variation whichever way it is expressed. This is consistent with heritability estimates reported elsewhere in sheep [28], beef [7, 29] and dairy [30], and is comparable in magnitude to traits already used in livestock breeding programmes, such as somatic cell count [31], which has delivered sustained genetic gain in dairy cattle once incorporated into a breeding objective [32]. Ratio- and residual-based methane traits were originally proposed because feed intake -- the trait that most directly determines an animal's methane output for a given level of production -- is rarely measured at scale; scaling or residualising methane against body size, growth, or production traits is intended as a practical proxy for that missing feed-intake information [12, 13]. The results presented here show both the value and the limits of that approach.</w:t>
      </w:r>
    </w:p>
    <w:p>
      <w:pPr>
        <w:jc w:val="both"/>
      </w:pPr>
      <w:r>
        <w:rPr>
          <w:b w:val="0"/>
          <w:i w:val="0"/>
          <w:highlight w:val="yellow"/>
        </w:rPr>
        <w:t>Genetically, the alternative methane definitions were strongly correlated with absolute methane in most cases (rg = 0.71–1.00), indicating that they share much of the same underlying additive genetic variation rather than capturing a materially distinct trait. CH4/ADG was the most genetically distinct definition (rg = 0.38 with absolute methane), consistent with growth rate being measured over a different, non-instantaneous window than the gas measurement itself. Daily methane was also strongly and positively genetically correlated with body size and growth: metabolic body weight (rg = 0.72), live weight (rg = 0.71), and average daily gain (rg = 0.51). Ratio and residual methane traits did not remove these genetic relationships; instead, they redistributed them. Methane intensity and the residual methane traits were negatively genetically correlated with their own denominator or adjustment trait, while remaining strongly genetically correlated with absolute methane itself (rg = 0.78–0.86 for the three residual traits). This shows that scaling or residualising methane changes which trait absorbs the genetic association with body size, rather than eliminating that association, consistent with the general statistical behaviour of ratio and residual variables described by Kennedy et al. [33] and Kronmal [34]. A phenotypic residual is also not automatically a genetically independent trait: regressing methane on body weight removes their phenotypic association but does not guarantee the resulting residual is free of the same underlying additive genetic variation, and the strong genetic correlations observed here between the residual methane traits and absolute methane confirm that it is not.</w:t>
      </w:r>
    </w:p>
    <w:p>
      <w:pPr>
        <w:jc w:val="both"/>
      </w:pPr>
      <w:r>
        <w:rPr>
          <w:b w:val="0"/>
          <w:i w:val="0"/>
          <w:highlight w:val="yellow"/>
        </w:rPr>
        <w:t>Carbon dioxide production was itself moderately heritable (h² = 0.28 ± 0.02) and strongly genetically correlated with both daily methane (rg = 0.57 ± 0.04) and metabolic body weight (rg = 0.83 ± 0.03). Because CO2 output reflects overall aerobic metabolic rate rather than methanogenesis specifically, this is consistent with a large part of the genetic variation in gas production overall, methane included, tracking an animal's general metabolic size and intake level rather than a methane-specific physiological process. This supports treating CO2 as a useful additional descriptor of an animal's overall energy metabolism alongside methane, rather than only as a denominator for a ratio trait.</w:t>
      </w:r>
      <w:r>
        <w:rPr>
          <w:b w:val="0"/>
          <w:i w:val="0"/>
          <w:highlight w:val="green"/>
        </w:rPr>
        <w:t xml:space="preserve"> </w:t>
      </w:r>
      <w:r>
        <w:rPr>
          <w:b w:val="0"/>
          <w:i w:val="0"/>
          <w:highlight w:val="green"/>
        </w:rPr>
        <w:t xml:space="preserve">In the trivariate model used for the index analysis its heritability was 0.41 ± 0.02 (Table 6).</w:t>
      </w:r>
    </w:p>
    <w:p>
      <w:pPr>
        <w:jc w:val="both"/>
      </w:pPr>
      <w:r>
        <w:rPr>
          <w:b w:val="0"/>
          <w:i w:val="0"/>
          <w:highlight w:val="yellow"/>
        </w:rPr>
        <w:t>CH4 ratio's heritability (0.10 ± 0.01) was the lowest of the definitions examined, and is lower than the 0.17–0.25 (repeatability 0.27–0.43) reported by Jonker et al. [10] in respiration-chamber and PAC-measured lambs and ewes. Two findings narrow this gap without closing it fully. First, expressing the ratio on a molar rather than a mass basis raised its heritability moderately (to 0.13), showing the estimate is somewhat sensitive to the ratio's units, which are stated explicitly here as a mass basis (Methods). Second, allowing residual variance to differ across contemporary-group-mean classes raised CH4 ratio's heritability to 0.19, driven by its near-zero permanent-environmental variance under a single homogeneous residual recovering to a real, non-zero value once that heterogeneity was accommodated; an independent estimate derived from the component (co)variances of CH4 and CO2 gave a similar value. Both point toward CH4 ratio's very small genetic standard deviation, and the specific way its residual variance is structured, as more likely explanations for the discrepancy with Jonker et al. than a fundamental problem with the trait itself, though the estimate reported in Table 2 retains the homogeneous-residual specification used consistently for every definition.</w:t>
      </w:r>
    </w:p>
    <w:p>
      <w:pPr>
        <w:jc w:val="both"/>
      </w:pPr>
      <w:r>
        <w:rPr>
          <w:b w:val="0"/>
          <w:i w:val="0"/>
          <w:highlight w:val="yellow"/>
        </w:rPr>
        <w:t>PAC contemporary groups in this dataset pooled animals across a wide range of ages and physiological stages, and allowing residual variance to differ across these groups changed the estimated variance partitioning materially for several definitions (methane, CH4/MBW, RMTMBW and RMTMBW+CO2), lowering their heritability relative to a single pooled residual variance. This confirms that contemporary-group heterogeneity in absolute scale is a real feature of this dataset. However, the genetic correlation between methane and methane intensity was essentially unchanged whether estimated from the full dataset or from young and mature animals separately (rg = 0.85 in all three cases), and a direct young-versus-mature genetic correlation for methane itself was very high (rg = 0.99). Together these indicate that residual heterogeneity affects how precisely heritability is estimated more than it affects the underlying genetic relationships reported in Tables 3–5. A fully heterogeneous-residual bivariate model was attempted but was not estimable given the size and imbalance of the resulting contemporary-group classes; this is reported here as a limitation of the available data structure rather than evidence against the underlying genetic relationships.</w:t>
      </w:r>
    </w:p>
    <w:p>
      <w:pPr>
        <w:jc w:val="both"/>
      </w:pPr>
      <w:r>
        <w:rPr>
          <w:b w:val="0"/>
          <w:i w:val="0"/>
          <w:highlight w:val="green"/>
        </w:rPr>
        <w:t xml:space="preserve">The selection index analysis complements the genetic parameters by asking what each definition does when it is used as the methane goal. It is not an estimate of response under a national breeding index: it contains no economic weights, no other breeding-goal traits, and no breeding-programme structure, and is intended only to compare absolute, ratio and residual definitions on a common footing. Selecting on absolute methane gave the largest methane reduction, but with correlated reductions in body size and CO2, as expected from genetic correlations of 0.69 with MBW and 0.57 with CO2, and in line with the unfavourable association between methane and size reported previously [11, 12]. The ratio and residual definitions reduced methane less but reduced MBW by much less, which matches the redistribution of genetic associations seen in Tables 3–5. None of them, as defined, gave a favourable response.</w:t>
      </w:r>
    </w:p>
    <w:p>
      <w:pPr>
        <w:jc w:val="both"/>
      </w:pPr>
      <w:r>
        <w:rPr>
          <w:b w:val="0"/>
          <w:i w:val="0"/>
          <w:highlight w:val="green"/>
        </w:rPr>
        <w:t xml:space="preserve">The results also show why. A ratio or a residual is, to first order, a fixed weighting of methane against its denominator or adjustment trait: the CH4/MBW ratio implies a weight of 0.81 on MBW and the genetic residual 0.83, against a favourable range of about 0.86 to 1.10. Their outcome is therefore set by that implicit weight, not by anything specific to the definition, and an explicit index with a chosen weight or a restriction can reach any point on the frontier that they reach, and more [33, 36, 37, 38]. Direct multi-trait selection has likewise been shown to outperform selection on a ratio itself [36], and the relative merits of ratio, residual and index selection for feed efficiency have long been debated [22, 23]. That the genetic residual and the ratio lie close to the favourable range is a result of the parameters estimated here, and the ratio’s behaviour changed sign at a CH4–MBW genetic correlation of 0.63, close to the estimate of 0.69. These conclusions are therefore parameter-specific, and the direction of the ratio’s MBW response should not be generalised.</w:t>
      </w:r>
    </w:p>
    <w:p>
      <w:pPr>
        <w:jc w:val="both"/>
      </w:pPr>
      <w:r>
        <w:rPr>
          <w:b w:val="0"/>
          <w:i w:val="0"/>
          <w:highlight w:val="green"/>
        </w:rPr>
        <w:t xml:space="preserve">Carbon dioxide added almost nothing as an information trait once MBW was recorded, and the partial genetic correlation between CH4 and CO2 given MBW was close to zero. This is consistent with CO2 output tracking metabolic size, as discussed above, and we do not treat it as a validated proxy for feed intake: it is a spot PAC measurement, and its relationship with intake was not tested here. As a goal component it behaved differently: the CH4/CO2 ratio loads mainly on CO2 and was predicted to increase methane while raising MBW and CO2, a caution against ratios whose denominator is strongly genetically correlated with body size.</w:t>
      </w:r>
    </w:p>
    <w:p>
      <w:pPr>
        <w:jc w:val="both"/>
      </w:pPr>
      <w:r>
        <w:rPr>
          <w:b w:val="0"/>
          <w:i w:val="0"/>
          <w:highlight w:val="green"/>
        </w:rPr>
        <w:t xml:space="preserve">Several limitations bound these results. Genetic parameters were treated as constant across generations, although they change under selection (Cuyabano et al. [42]); the sampling variances of the estimates were not propagated, and sensitivity was examined only for the CH4–MBW genetic correlation, using CH4 and MBW as information traits.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stylised criterion; in practice the value placed on methane, and hence its weight in an index, depends on how emissions are priced or rewarded [35, 39, 40]. Finally, MBW is used here as a descriptor of body size, not as a complete representation of productivity, and fecundity, longevity and lamb survival, as noted below, were not included.</w:t>
      </w:r>
    </w:p>
    <w:p>
      <w:pPr>
        <w:jc w:val="both"/>
      </w:pPr>
      <w:r>
        <w:rPr>
          <w:b w:val="0"/>
          <w:i w:val="0"/>
          <w:highlight w:val="yellow"/>
        </w:rPr>
        <w:t>The alternative methane definitions examined here are, in effect, proxies for the feed-intake information this dataset does not contain: because feed intake was not measured, scaling or residualising methane against body size, growth or CT-derived body composition is the closest practical approximation to methane per unit of feed available. This is a real limitation. On a typical pasture-based ewe flock, roughly 70% of feed intake supports ewe maintenance and reproduction, with only around 30% going to lamb carcass production; fecundity, ewe longevity and lamb survival are therefore plausibly at least as important to a flock's overall bio-economic outcome as the liveweight- and growth-based traits examined here, and none of them are represented among the trait definitions in this study. The genetic parameters reported here should accordingly be read as a characterisation of methane's genetic relationship with body size and growth specifically, not as a complete accounting of methane's place in a real breeding objective.</w:t>
      </w:r>
      <w:r>
        <w:rPr>
          <w:b w:val="0"/>
          <w:i w:val="0"/>
          <w:highlight w:val="green"/>
        </w:rPr>
        <w:t xml:space="preserve"> </w:t>
      </w:r>
      <w:r>
        <w:rPr>
          <w:b w:val="0"/>
          <w:i w:val="0"/>
          <w:highlight w:val="green"/>
        </w:rPr>
        <w:t xml:space="preserve">The same qualification applies to the selection index analysis, which is restricted to methane, metabolic body weight and CO2.</w:t>
      </w:r>
    </w:p>
    <w:p>
      <w:pPr/>
      <w:r>
        <w:rPr>
          <w:b/>
          <w:i w:val="0"/>
          <w:sz w:val="36"/>
        </w:rPr>
        <w:t>Conclusions</w:t>
      </w:r>
    </w:p>
    <w:p>
      <w:pPr>
        <w:jc w:val="both"/>
      </w:pPr>
      <w:r>
        <w:rPr>
          <w:b w:val="0"/>
          <w:i w:val="0"/>
          <w:highlight w:val="yellow"/>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0.10–0.46).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The choice of methane trait definition is therefore a substantive genetic decision, not an arbitrary or purely statistical one: it determines the direction and magnitude of the genetic relationship between methane and production. As high-throughput methane phenotyping becomes increasingly routine, characterising these genetic relationships provides a necessary empirical basis for deciding how methane should be defined within pasture-based ruminant breeding objectives.</w:t>
      </w:r>
      <w:r>
        <w:rPr>
          <w:b w:val="0"/>
          <w:i w:val="0"/>
          <w:highlight w:val="green"/>
        </w:rPr>
        <w:t xml:space="preserve"> </w:t>
      </w:r>
      <w:r>
        <w:rPr>
          <w:b w:val="0"/>
          <w:i w:val="0"/>
          <w:highlight w:val="green"/>
        </w:rPr>
        <w:t xml:space="preserve">In a narrow index comparison restricted to methane, metabolic body weight and CO2, none of the definitions gave a methane reduction without a decline in body size when used as the index goal; ratio and genetic-residual definitions came closest, and their outcome reflected the implicit weight on body size, not the definition itself. The comparison does not represent a national breeding index.</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 xml:space="preserve">The datasets analysed in the current study are not publicly available as they contain commercially sensitive information collected from farmers and private enterprises. </w:t>
      </w:r>
      <w:r>
        <w:rPr>
          <w:b w:val="0"/>
          <w:i w:val="0"/>
          <w:highlight w:val="yellow"/>
        </w:rPr>
        <w:t>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pPr/>
      <w:r>
        <w:rPr>
          <w:b/>
          <w:i w:val="0"/>
          <w:sz w:val="36"/>
        </w:rPr>
        <w:t>Supplementary Material</w:t>
      </w:r>
    </w:p>
    <w:p>
      <w:pPr>
        <w:jc w:val="both"/>
      </w:pPr>
      <w:r>
        <w:rPr>
          <w:b/>
          <w:i w:val="0"/>
        </w:rPr>
        <w:t>S1. Fixed-effect significance and connectedness diagnostics.</w:t>
      </w:r>
      <w:r>
        <w:rPr>
          <w:b w:val="0"/>
          <w:i w:val="0"/>
        </w:rPr>
        <w:t xml:space="preserve"> [PENDING — not yet drafted.] Wald F-statistic table for the 7 univariate genetic-analysis models (breed-proportion covariates significant at p&lt;0.001 for every trait; Lleyn never significant), plus pedigree completeness/connectedness diagnostics (100% of phenotyped animals in the pedigree, 88.5% both parents known, 1,025 unique sires, mean pedigree depth 17.6 generations, 73.1% of sires linking 2+ contemporary groups) and the Cheviot/Lleyn breed-proportion/contemporary-group confounding result. Source analysis: `analysis/diagnostics/reviewer_a2_a3/` in the methane_selection_revision repo.</w:t>
      </w:r>
    </w:p>
    <w:p>
      <w:pPr>
        <w:jc w:val="both"/>
      </w:pPr>
      <w:r>
        <w:rPr>
          <w:b w:val="0"/>
          <w:i w:val="0"/>
          <w:highlight w:val="green"/>
        </w:rPr>
        <w:t xml:space="preserve">S2. Predicted responses at selection intensity 1.7, per generation and per year (generation interval 2.8 years). Table 7 responses multiplied by 1.7 and by 1.7/2.8 = 0.607, respectively; illustrative values only.</w:t>
      </w:r>
    </w:p>
    <w:tbl>
      <w:tblPr>
        <w:tblStyle w:val="PlainTable2"/>
        <w:tblW w:type="auto" w:w="0"/>
        <w:tblLook w:firstColumn="1" w:firstRow="1" w:lastColumn="0" w:lastRow="0" w:noHBand="0" w:noVBand="1" w:val="04A0"/>
      </w:tblPr>
      <w:tblGrid>
        <w:gridCol w:w="2700"/>
        <w:gridCol w:w="1100"/>
        <w:gridCol w:w="1000"/>
        <w:gridCol w:w="1100"/>
        <w:gridCol w:w="1000"/>
        <w:gridCol w:w="1000"/>
        <w:gridCol w:w="1000"/>
      </w:tblGrid>
      <w:tr>
        <w:trPr>
          <w:cantSplit/>
        </w:trPr>
        <w:tc>
          <w:tcPr>
            <w:tcW w:type="dxa" w:w="2700"/>
          </w:tcPr>
          <w:p>
            <w:pPr>
              <w:jc w:val="both"/>
            </w:pPr>
            <w:r/>
            <w:r>
              <w:rPr>
                <w:b w:val="0"/>
                <w:i w:val="0"/>
                <w:sz w:val="19"/>
                <w:highlight w:val="green"/>
              </w:rPr>
              <w:t xml:space="preserve">Methane goal</w:t>
            </w:r>
          </w:p>
        </w:tc>
        <w:tc>
          <w:tcPr>
            <w:tcW w:type="dxa" w:w="1100"/>
          </w:tcPr>
          <w:p>
            <w:pPr>
              <w:jc w:val="center"/>
            </w:pPr>
            <w:r/>
            <w:r>
              <w:rPr>
                <w:b w:val="0"/>
                <w:i w:val="0"/>
                <w:sz w:val="19"/>
                <w:highlight w:val="green"/>
              </w:rPr>
              <w:t xml:space="preserve">ΔCH4 (g day⁻¹) per generation</w:t>
            </w:r>
          </w:p>
        </w:tc>
        <w:tc>
          <w:tcPr>
            <w:tcW w:type="dxa" w:w="1000"/>
          </w:tcPr>
          <w:p>
            <w:pPr>
              <w:jc w:val="center"/>
            </w:pPr>
            <w:r/>
            <w:r>
              <w:rPr>
                <w:b w:val="0"/>
                <w:i w:val="0"/>
                <w:sz w:val="19"/>
                <w:highlight w:val="green"/>
              </w:rPr>
              <w:t xml:space="preserve">ΔMBW per generation</w:t>
            </w:r>
          </w:p>
        </w:tc>
        <w:tc>
          <w:tcPr>
            <w:tcW w:type="dxa" w:w="1100"/>
          </w:tcPr>
          <w:p>
            <w:pPr>
              <w:jc w:val="center"/>
            </w:pPr>
            <w:r/>
            <w:r>
              <w:rPr>
                <w:b w:val="0"/>
                <w:i w:val="0"/>
                <w:sz w:val="19"/>
                <w:highlight w:val="green"/>
              </w:rPr>
              <w:t xml:space="preserve">ΔCO2 (g day⁻¹) per generation</w:t>
            </w:r>
          </w:p>
        </w:tc>
        <w:tc>
          <w:tcPr>
            <w:tcW w:type="dxa" w:w="1000"/>
          </w:tcPr>
          <w:p>
            <w:pPr>
              <w:jc w:val="center"/>
            </w:pPr>
            <w:r/>
            <w:r>
              <w:rPr>
                <w:b w:val="0"/>
                <w:i w:val="0"/>
                <w:sz w:val="19"/>
                <w:highlight w:val="green"/>
              </w:rPr>
              <w:t xml:space="preserve">ΔCH4 per year</w:t>
            </w:r>
          </w:p>
        </w:tc>
        <w:tc>
          <w:tcPr>
            <w:tcW w:type="dxa" w:w="1000"/>
          </w:tcPr>
          <w:p>
            <w:pPr>
              <w:jc w:val="center"/>
            </w:pPr>
            <w:r/>
            <w:r>
              <w:rPr>
                <w:b w:val="0"/>
                <w:i w:val="0"/>
                <w:sz w:val="19"/>
                <w:highlight w:val="green"/>
              </w:rPr>
              <w:t xml:space="preserve">ΔMBW per year</w:t>
            </w:r>
          </w:p>
        </w:tc>
        <w:tc>
          <w:tcPr>
            <w:tcW w:type="dxa" w:w="1000"/>
          </w:tcPr>
          <w:p>
            <w:pPr>
              <w:jc w:val="center"/>
            </w:pPr>
            <w:r/>
            <w:r>
              <w:rPr>
                <w:b w:val="0"/>
                <w:i w:val="0"/>
                <w:sz w:val="19"/>
                <w:highlight w:val="green"/>
              </w:rPr>
              <w:t xml:space="preserve">ΔCO2 per year</w:t>
            </w:r>
          </w:p>
        </w:tc>
      </w:tr>
      <w:tr>
        <w:trPr>
          <w:cantSplit/>
        </w:trPr>
        <w:tc>
          <w:tcPr>
            <w:tcW w:type="dxa" w:w="2700"/>
          </w:tcPr>
          <w:p>
            <w:pPr>
              <w:jc w:val="both"/>
            </w:pPr>
            <w:r/>
            <w:r>
              <w:rPr>
                <w:b w:val="0"/>
                <w:i w:val="0"/>
                <w:sz w:val="19"/>
                <w:highlight w:val="green"/>
              </w:rPr>
              <w:t xml:space="preserve">Absolute CH4</w:t>
            </w:r>
          </w:p>
        </w:tc>
        <w:tc>
          <w:tcPr>
            <w:tcW w:type="dxa" w:w="1100"/>
          </w:tcPr>
          <w:p>
            <w:pPr>
              <w:jc w:val="center"/>
            </w:pPr>
            <w:r/>
            <w:r>
              <w:rPr>
                <w:b w:val="0"/>
                <w:i w:val="0"/>
                <w:sz w:val="19"/>
                <w:highlight w:val="green"/>
              </w:rPr>
              <w:t xml:space="preserve">−2.27</w:t>
            </w:r>
          </w:p>
        </w:tc>
        <w:tc>
          <w:tcPr>
            <w:tcW w:type="dxa" w:w="1000"/>
          </w:tcPr>
          <w:p>
            <w:pPr>
              <w:jc w:val="center"/>
            </w:pPr>
            <w:r/>
            <w:r>
              <w:rPr>
                <w:b w:val="0"/>
                <w:i w:val="0"/>
                <w:sz w:val="19"/>
                <w:highlight w:val="green"/>
              </w:rPr>
              <w:t xml:space="preserve">−2.06</w:t>
            </w:r>
          </w:p>
        </w:tc>
        <w:tc>
          <w:tcPr>
            <w:tcW w:type="dxa" w:w="1100"/>
          </w:tcPr>
          <w:p>
            <w:pPr>
              <w:jc w:val="center"/>
            </w:pPr>
            <w:r/>
            <w:r>
              <w:rPr>
                <w:b w:val="0"/>
                <w:i w:val="0"/>
                <w:sz w:val="19"/>
                <w:highlight w:val="green"/>
              </w:rPr>
              <w:t xml:space="preserve">−169.3</w:t>
            </w:r>
          </w:p>
        </w:tc>
        <w:tc>
          <w:tcPr>
            <w:tcW w:type="dxa" w:w="1000"/>
          </w:tcPr>
          <w:p>
            <w:pPr>
              <w:jc w:val="center"/>
            </w:pPr>
            <w:r/>
            <w:r>
              <w:rPr>
                <w:b w:val="0"/>
                <w:i w:val="0"/>
                <w:sz w:val="19"/>
                <w:highlight w:val="green"/>
              </w:rPr>
              <w:t xml:space="preserve">−0.81</w:t>
            </w:r>
          </w:p>
        </w:tc>
        <w:tc>
          <w:tcPr>
            <w:tcW w:type="dxa" w:w="1000"/>
          </w:tcPr>
          <w:p>
            <w:pPr>
              <w:jc w:val="center"/>
            </w:pPr>
            <w:r/>
            <w:r>
              <w:rPr>
                <w:b w:val="0"/>
                <w:i w:val="0"/>
                <w:sz w:val="19"/>
                <w:highlight w:val="green"/>
              </w:rPr>
              <w:t xml:space="preserve">−0.74</w:t>
            </w:r>
          </w:p>
        </w:tc>
        <w:tc>
          <w:tcPr>
            <w:tcW w:type="dxa" w:w="1000"/>
          </w:tcPr>
          <w:p>
            <w:pPr>
              <w:jc w:val="center"/>
            </w:pPr>
            <w:r/>
            <w:r>
              <w:rPr>
                <w:b w:val="0"/>
                <w:i w:val="0"/>
                <w:sz w:val="19"/>
                <w:highlight w:val="green"/>
              </w:rPr>
              <w:t xml:space="preserve">−60.5</w:t>
            </w:r>
          </w:p>
        </w:tc>
      </w:tr>
      <w:tr>
        <w:trPr>
          <w:cantSplit/>
        </w:trPr>
        <w:tc>
          <w:tcPr>
            <w:tcW w:type="dxa" w:w="2700"/>
          </w:tcPr>
          <w:p>
            <w:pPr>
              <w:jc w:val="both"/>
            </w:pPr>
            <w:r/>
            <w:r>
              <w:rPr>
                <w:b w:val="0"/>
                <w:i w:val="0"/>
                <w:sz w:val="19"/>
                <w:highlight w:val="green"/>
              </w:rPr>
              <w:t xml:space="preserve">Genetic residual (CH4 on MBW and CO2)</w:t>
            </w:r>
          </w:p>
        </w:tc>
        <w:tc>
          <w:tcPr>
            <w:tcW w:type="dxa" w:w="1100"/>
          </w:tcPr>
          <w:p>
            <w:pPr>
              <w:jc w:val="center"/>
            </w:pPr>
            <w:r/>
            <w:r>
              <w:rPr>
                <w:b w:val="0"/>
                <w:i w:val="0"/>
                <w:sz w:val="19"/>
                <w:highlight w:val="green"/>
              </w:rPr>
              <w:t xml:space="preserve">−1.20</w:t>
            </w:r>
          </w:p>
        </w:tc>
        <w:tc>
          <w:tcPr>
            <w:tcW w:type="dxa" w:w="1000"/>
          </w:tcPr>
          <w:p>
            <w:pPr>
              <w:jc w:val="center"/>
            </w:pPr>
            <w:r/>
            <w:r>
              <w:rPr>
                <w:b w:val="0"/>
                <w:i w:val="0"/>
                <w:sz w:val="19"/>
                <w:highlight w:val="green"/>
              </w:rPr>
              <w:t xml:space="preserve">−0.16</w:t>
            </w:r>
          </w:p>
        </w:tc>
        <w:tc>
          <w:tcPr>
            <w:tcW w:type="dxa" w:w="1100"/>
          </w:tcPr>
          <w:p>
            <w:pPr>
              <w:jc w:val="center"/>
            </w:pPr>
            <w:r/>
            <w:r>
              <w:rPr>
                <w:b w:val="0"/>
                <w:i w:val="0"/>
                <w:sz w:val="19"/>
                <w:highlight w:val="green"/>
              </w:rPr>
              <w:t xml:space="preserve">+3.4</w:t>
            </w:r>
          </w:p>
        </w:tc>
        <w:tc>
          <w:tcPr>
            <w:tcW w:type="dxa" w:w="1000"/>
          </w:tcPr>
          <w:p>
            <w:pPr>
              <w:jc w:val="center"/>
            </w:pPr>
            <w:r/>
            <w:r>
              <w:rPr>
                <w:b w:val="0"/>
                <w:i w:val="0"/>
                <w:sz w:val="19"/>
                <w:highlight w:val="green"/>
              </w:rPr>
              <w:t xml:space="preserve">−0.43</w:t>
            </w:r>
          </w:p>
        </w:tc>
        <w:tc>
          <w:tcPr>
            <w:tcW w:type="dxa" w:w="1000"/>
          </w:tcPr>
          <w:p>
            <w:pPr>
              <w:jc w:val="center"/>
            </w:pPr>
            <w:r/>
            <w:r>
              <w:rPr>
                <w:b w:val="0"/>
                <w:i w:val="0"/>
                <w:sz w:val="19"/>
                <w:highlight w:val="green"/>
              </w:rPr>
              <w:t xml:space="preserve">−0.06</w:t>
            </w:r>
          </w:p>
        </w:tc>
        <w:tc>
          <w:tcPr>
            <w:tcW w:type="dxa" w:w="1000"/>
          </w:tcPr>
          <w:p>
            <w:pPr>
              <w:jc w:val="center"/>
            </w:pPr>
            <w:r/>
            <w:r>
              <w:rPr>
                <w:b w:val="0"/>
                <w:i w:val="0"/>
                <w:sz w:val="19"/>
                <w:highlight w:val="green"/>
              </w:rPr>
              <w:t xml:space="preserve">+1.2</w:t>
            </w:r>
          </w:p>
        </w:tc>
      </w:tr>
      <w:tr>
        <w:trPr>
          <w:cantSplit/>
        </w:trPr>
        <w:tc>
          <w:tcPr>
            <w:tcW w:type="dxa" w:w="2700"/>
          </w:tcPr>
          <w:p>
            <w:pPr>
              <w:jc w:val="both"/>
            </w:pPr>
            <w:r/>
            <w:r>
              <w:rPr>
                <w:b w:val="0"/>
                <w:i w:val="0"/>
                <w:sz w:val="19"/>
                <w:highlight w:val="green"/>
              </w:rPr>
              <w:t xml:space="preserve">Phenotypic residual (CH4 on MBW and CO2)</w:t>
            </w:r>
          </w:p>
        </w:tc>
        <w:tc>
          <w:tcPr>
            <w:tcW w:type="dxa" w:w="1100"/>
          </w:tcPr>
          <w:p>
            <w:pPr>
              <w:jc w:val="center"/>
            </w:pPr>
            <w:r/>
            <w:r>
              <w:rPr>
                <w:b w:val="0"/>
                <w:i w:val="0"/>
                <w:sz w:val="19"/>
                <w:highlight w:val="green"/>
              </w:rPr>
              <w:t xml:space="preserve">−1.48</w:t>
            </w:r>
          </w:p>
        </w:tc>
        <w:tc>
          <w:tcPr>
            <w:tcW w:type="dxa" w:w="1000"/>
          </w:tcPr>
          <w:p>
            <w:pPr>
              <w:jc w:val="center"/>
            </w:pPr>
            <w:r/>
            <w:r>
              <w:rPr>
                <w:b w:val="0"/>
                <w:i w:val="0"/>
                <w:sz w:val="19"/>
                <w:highlight w:val="green"/>
              </w:rPr>
              <w:t xml:space="preserve">−0.54</w:t>
            </w:r>
          </w:p>
        </w:tc>
        <w:tc>
          <w:tcPr>
            <w:tcW w:type="dxa" w:w="1100"/>
          </w:tcPr>
          <w:p>
            <w:pPr>
              <w:jc w:val="center"/>
            </w:pPr>
            <w:r/>
            <w:r>
              <w:rPr>
                <w:b w:val="0"/>
                <w:i w:val="0"/>
                <w:sz w:val="19"/>
                <w:highlight w:val="green"/>
              </w:rPr>
              <w:t xml:space="preserve">−16.7</w:t>
            </w:r>
          </w:p>
        </w:tc>
        <w:tc>
          <w:tcPr>
            <w:tcW w:type="dxa" w:w="1000"/>
          </w:tcPr>
          <w:p>
            <w:pPr>
              <w:jc w:val="center"/>
            </w:pPr>
            <w:r/>
            <w:r>
              <w:rPr>
                <w:b w:val="0"/>
                <w:i w:val="0"/>
                <w:sz w:val="19"/>
                <w:highlight w:val="green"/>
              </w:rPr>
              <w:t xml:space="preserve">−0.53</w:t>
            </w:r>
          </w:p>
        </w:tc>
        <w:tc>
          <w:tcPr>
            <w:tcW w:type="dxa" w:w="1000"/>
          </w:tcPr>
          <w:p>
            <w:pPr>
              <w:jc w:val="center"/>
            </w:pPr>
            <w:r/>
            <w:r>
              <w:rPr>
                <w:b w:val="0"/>
                <w:i w:val="0"/>
                <w:sz w:val="19"/>
                <w:highlight w:val="green"/>
              </w:rPr>
              <w:t xml:space="preserve">−0.19</w:t>
            </w:r>
          </w:p>
        </w:tc>
        <w:tc>
          <w:tcPr>
            <w:tcW w:type="dxa" w:w="1000"/>
          </w:tcPr>
          <w:p>
            <w:pPr>
              <w:jc w:val="center"/>
            </w:pPr>
            <w:r/>
            <w:r>
              <w:rPr>
                <w:b w:val="0"/>
                <w:i w:val="0"/>
                <w:sz w:val="19"/>
                <w:highlight w:val="green"/>
              </w:rPr>
              <w:t xml:space="preserve">−6.0</w:t>
            </w:r>
          </w:p>
        </w:tc>
      </w:tr>
      <w:tr>
        <w:trPr>
          <w:cantSplit/>
        </w:trPr>
        <w:tc>
          <w:tcPr>
            <w:tcW w:type="dxa" w:w="2700"/>
          </w:tcPr>
          <w:p>
            <w:pPr>
              <w:jc w:val="both"/>
            </w:pPr>
            <w:r/>
            <w:r>
              <w:rPr>
                <w:b w:val="0"/>
                <w:i w:val="0"/>
                <w:sz w:val="19"/>
                <w:highlight w:val="green"/>
              </w:rPr>
              <w:t xml:space="preserve">Ratio CH4/MBW (linearised)</w:t>
            </w:r>
          </w:p>
        </w:tc>
        <w:tc>
          <w:tcPr>
            <w:tcW w:type="dxa" w:w="1100"/>
          </w:tcPr>
          <w:p>
            <w:pPr>
              <w:jc w:val="center"/>
            </w:pPr>
            <w:r/>
            <w:r>
              <w:rPr>
                <w:b w:val="0"/>
                <w:i w:val="0"/>
                <w:sz w:val="19"/>
                <w:highlight w:val="green"/>
              </w:rPr>
              <w:t xml:space="preserve">−1.28</w:t>
            </w:r>
          </w:p>
        </w:tc>
        <w:tc>
          <w:tcPr>
            <w:tcW w:type="dxa" w:w="1000"/>
          </w:tcPr>
          <w:p>
            <w:pPr>
              <w:jc w:val="center"/>
            </w:pPr>
            <w:r/>
            <w:r>
              <w:rPr>
                <w:b w:val="0"/>
                <w:i w:val="0"/>
                <w:sz w:val="19"/>
                <w:highlight w:val="green"/>
              </w:rPr>
              <w:t xml:space="preserve">−0.24</w:t>
            </w:r>
          </w:p>
        </w:tc>
        <w:tc>
          <w:tcPr>
            <w:tcW w:type="dxa" w:w="1100"/>
          </w:tcPr>
          <w:p>
            <w:pPr>
              <w:jc w:val="center"/>
            </w:pPr>
            <w:r/>
            <w:r>
              <w:rPr>
                <w:b w:val="0"/>
                <w:i w:val="0"/>
                <w:sz w:val="19"/>
                <w:highlight w:val="green"/>
              </w:rPr>
              <w:t xml:space="preserve">−4.0</w:t>
            </w:r>
          </w:p>
        </w:tc>
        <w:tc>
          <w:tcPr>
            <w:tcW w:type="dxa" w:w="1000"/>
          </w:tcPr>
          <w:p>
            <w:pPr>
              <w:jc w:val="center"/>
            </w:pPr>
            <w:r/>
            <w:r>
              <w:rPr>
                <w:b w:val="0"/>
                <w:i w:val="0"/>
                <w:sz w:val="19"/>
                <w:highlight w:val="green"/>
              </w:rPr>
              <w:t xml:space="preserve">−0.46</w:t>
            </w:r>
          </w:p>
        </w:tc>
        <w:tc>
          <w:tcPr>
            <w:tcW w:type="dxa" w:w="1000"/>
          </w:tcPr>
          <w:p>
            <w:pPr>
              <w:jc w:val="center"/>
            </w:pPr>
            <w:r/>
            <w:r>
              <w:rPr>
                <w:b w:val="0"/>
                <w:i w:val="0"/>
                <w:sz w:val="19"/>
                <w:highlight w:val="green"/>
              </w:rPr>
              <w:t xml:space="preserve">−0.09</w:t>
            </w:r>
          </w:p>
        </w:tc>
        <w:tc>
          <w:tcPr>
            <w:tcW w:type="dxa" w:w="1000"/>
          </w:tcPr>
          <w:p>
            <w:pPr>
              <w:jc w:val="center"/>
            </w:pPr>
            <w:r/>
            <w:r>
              <w:rPr>
                <w:b w:val="0"/>
                <w:i w:val="0"/>
                <w:sz w:val="19"/>
                <w:highlight w:val="green"/>
              </w:rPr>
              <w:t xml:space="preserve">−1.4</w:t>
            </w:r>
          </w:p>
        </w:tc>
      </w:tr>
      <w:tr>
        <w:trPr>
          <w:cantSplit/>
        </w:trPr>
        <w:tc>
          <w:tcPr>
            <w:tcW w:type="dxa" w:w="2700"/>
          </w:tcPr>
          <w:p>
            <w:pPr>
              <w:jc w:val="both"/>
            </w:pPr>
            <w:r/>
            <w:r>
              <w:rPr>
                <w:b w:val="0"/>
                <w:i w:val="0"/>
                <w:sz w:val="19"/>
                <w:highlight w:val="green"/>
              </w:rPr>
              <w:t xml:space="preserve">Ratio CH4/CO2 (linearised)</w:t>
            </w:r>
          </w:p>
        </w:tc>
        <w:tc>
          <w:tcPr>
            <w:tcW w:type="dxa" w:w="1100"/>
          </w:tcPr>
          <w:p>
            <w:pPr>
              <w:jc w:val="center"/>
            </w:pPr>
            <w:r/>
            <w:r>
              <w:rPr>
                <w:b w:val="0"/>
                <w:i w:val="0"/>
                <w:sz w:val="19"/>
                <w:highlight w:val="green"/>
              </w:rPr>
              <w:t xml:space="preserve">+0.32</w:t>
            </w:r>
          </w:p>
        </w:tc>
        <w:tc>
          <w:tcPr>
            <w:tcW w:type="dxa" w:w="1000"/>
          </w:tcPr>
          <w:p>
            <w:pPr>
              <w:jc w:val="center"/>
            </w:pPr>
            <w:r/>
            <w:r>
              <w:rPr>
                <w:b w:val="0"/>
                <w:i w:val="0"/>
                <w:sz w:val="19"/>
                <w:highlight w:val="green"/>
              </w:rPr>
              <w:t xml:space="preserve">+1.23</w:t>
            </w:r>
          </w:p>
        </w:tc>
        <w:tc>
          <w:tcPr>
            <w:tcW w:type="dxa" w:w="1100"/>
          </w:tcPr>
          <w:p>
            <w:pPr>
              <w:jc w:val="center"/>
            </w:pPr>
            <w:r/>
            <w:r>
              <w:rPr>
                <w:b w:val="0"/>
                <w:i w:val="0"/>
                <w:sz w:val="19"/>
                <w:highlight w:val="green"/>
              </w:rPr>
              <w:t xml:space="preserve">+150.1</w:t>
            </w:r>
          </w:p>
        </w:tc>
        <w:tc>
          <w:tcPr>
            <w:tcW w:type="dxa" w:w="1000"/>
          </w:tcPr>
          <w:p>
            <w:pPr>
              <w:jc w:val="center"/>
            </w:pPr>
            <w:r/>
            <w:r>
              <w:rPr>
                <w:b w:val="0"/>
                <w:i w:val="0"/>
                <w:sz w:val="19"/>
                <w:highlight w:val="green"/>
              </w:rPr>
              <w:t xml:space="preserve">+0.11</w:t>
            </w:r>
          </w:p>
        </w:tc>
        <w:tc>
          <w:tcPr>
            <w:tcW w:type="dxa" w:w="1000"/>
          </w:tcPr>
          <w:p>
            <w:pPr>
              <w:jc w:val="center"/>
            </w:pPr>
            <w:r/>
            <w:r>
              <w:rPr>
                <w:b w:val="0"/>
                <w:i w:val="0"/>
                <w:sz w:val="19"/>
                <w:highlight w:val="green"/>
              </w:rPr>
              <w:t xml:space="preserve">+0.44</w:t>
            </w:r>
          </w:p>
        </w:tc>
        <w:tc>
          <w:tcPr>
            <w:tcW w:type="dxa" w:w="1000"/>
          </w:tcPr>
          <w:p>
            <w:pPr>
              <w:jc w:val="center"/>
            </w:pPr>
            <w:r/>
            <w:r>
              <w:rPr>
                <w:b w:val="0"/>
                <w:i w:val="0"/>
                <w:sz w:val="19"/>
                <w:highlight w:val="green"/>
              </w:rPr>
              <w:t xml:space="preserve">+53.6</w:t>
            </w:r>
          </w:p>
        </w:tc>
      </w:tr>
      <w:tr>
        <w:trPr>
          <w:cantSplit/>
        </w:trPr>
        <w:tc>
          <w:tcPr>
            <w:tcW w:type="dxa" w:w="2700"/>
          </w:tcPr>
          <w:p>
            <w:pPr>
              <w:jc w:val="both"/>
            </w:pPr>
            <w:r/>
            <w:r>
              <w:rPr>
                <w:b w:val="0"/>
                <w:i w:val="0"/>
                <w:sz w:val="19"/>
                <w:highlight w:val="green"/>
              </w:rPr>
              <w:t xml:space="preserve">Reference: CH4 reduced, MBW held at zero</w:t>
            </w:r>
          </w:p>
        </w:tc>
        <w:tc>
          <w:tcPr>
            <w:tcW w:type="dxa" w:w="1100"/>
          </w:tcPr>
          <w:p>
            <w:pPr>
              <w:jc w:val="center"/>
            </w:pPr>
            <w:r/>
            <w:r>
              <w:rPr>
                <w:b w:val="0"/>
                <w:i w:val="0"/>
                <w:sz w:val="19"/>
                <w:highlight w:val="green"/>
              </w:rPr>
              <w:t xml:space="preserve">−1.07</w:t>
            </w:r>
          </w:p>
        </w:tc>
        <w:tc>
          <w:tcPr>
            <w:tcW w:type="dxa" w:w="1000"/>
          </w:tcPr>
          <w:p>
            <w:pPr>
              <w:jc w:val="center"/>
            </w:pPr>
            <w:r/>
            <w:r>
              <w:rPr>
                <w:b w:val="0"/>
                <w:i w:val="0"/>
                <w:sz w:val="19"/>
                <w:highlight w:val="green"/>
              </w:rPr>
              <w:t xml:space="preserve">0.00</w:t>
            </w:r>
          </w:p>
        </w:tc>
        <w:tc>
          <w:tcPr>
            <w:tcW w:type="dxa" w:w="1100"/>
          </w:tcPr>
          <w:p>
            <w:pPr>
              <w:jc w:val="center"/>
            </w:pPr>
            <w:r/>
            <w:r>
              <w:rPr>
                <w:b w:val="0"/>
                <w:i w:val="0"/>
                <w:sz w:val="19"/>
                <w:highlight w:val="green"/>
              </w:rPr>
              <w:t xml:space="preserve">+17.0</w:t>
            </w:r>
          </w:p>
        </w:tc>
        <w:tc>
          <w:tcPr>
            <w:tcW w:type="dxa" w:w="1000"/>
          </w:tcPr>
          <w:p>
            <w:pPr>
              <w:jc w:val="center"/>
            </w:pPr>
            <w:r/>
            <w:r>
              <w:rPr>
                <w:b w:val="0"/>
                <w:i w:val="0"/>
                <w:sz w:val="19"/>
                <w:highlight w:val="green"/>
              </w:rPr>
              <w:t xml:space="preserve">−0.38</w:t>
            </w:r>
          </w:p>
        </w:tc>
        <w:tc>
          <w:tcPr>
            <w:tcW w:type="dxa" w:w="1000"/>
          </w:tcPr>
          <w:p>
            <w:pPr>
              <w:jc w:val="center"/>
            </w:pPr>
            <w:r/>
            <w:r>
              <w:rPr>
                <w:b w:val="0"/>
                <w:i w:val="0"/>
                <w:sz w:val="19"/>
                <w:highlight w:val="green"/>
              </w:rPr>
              <w:t xml:space="preserve">0.00</w:t>
            </w:r>
          </w:p>
        </w:tc>
        <w:tc>
          <w:tcPr>
            <w:tcW w:type="dxa" w:w="1000"/>
          </w:tcPr>
          <w:p>
            <w:pPr>
              <w:jc w:val="center"/>
            </w:pPr>
            <w:r/>
            <w:r>
              <w:rPr>
                <w:b w:val="0"/>
                <w:i w:val="0"/>
                <w:sz w:val="19"/>
                <w:highlight w:val="green"/>
              </w:rPr>
              <w:t xml:space="preserve">+6.1</w:t>
            </w:r>
          </w:p>
        </w:tc>
      </w:tr>
    </w:tbl>
    <w:p/>
    <w:p>
      <w:pPr>
        <w:jc w:val="both"/>
      </w:pPr>
      <w:r>
        <w:rPr>
          <w:b w:val="0"/>
          <w:i w:val="0"/>
          <w:highlight w:val="green"/>
        </w:rPr>
        <w:t xml:space="preserve">S3. Effect of the information traits on predicted responses (per generation, i = 1). r_IH is the correlation between the index and the goal it targets.</w:t>
      </w:r>
    </w:p>
    <w:tbl>
      <w:tblPr>
        <w:tblStyle w:val="PlainTable2"/>
        <w:tblW w:type="auto" w:w="0"/>
        <w:tblLook w:firstColumn="1" w:firstRow="1" w:lastColumn="0" w:lastRow="0" w:noHBand="0" w:noVBand="1" w:val="04A0"/>
      </w:tblPr>
      <w:tblGrid>
        <w:gridCol w:w="1700"/>
        <w:gridCol w:w="3000"/>
        <w:gridCol w:w="900"/>
        <w:gridCol w:w="1200"/>
        <w:gridCol w:w="1200"/>
        <w:gridCol w:w="1200"/>
      </w:tblGrid>
      <w:tr>
        <w:trPr>
          <w:cantSplit/>
        </w:trPr>
        <w:tc>
          <w:tcPr>
            <w:tcW w:type="dxa" w:w="1700"/>
          </w:tcPr>
          <w:p>
            <w:pPr>
              <w:jc w:val="both"/>
            </w:pPr>
            <w:r/>
            <w:r>
              <w:rPr>
                <w:b w:val="0"/>
                <w:i w:val="0"/>
                <w:sz w:val="19"/>
                <w:highlight w:val="green"/>
              </w:rPr>
              <w:t xml:space="preserve">Information traits</w:t>
            </w:r>
          </w:p>
        </w:tc>
        <w:tc>
          <w:tcPr>
            <w:tcW w:type="dxa" w:w="3000"/>
          </w:tcPr>
          <w:p>
            <w:pPr>
              <w:jc w:val="center"/>
            </w:pPr>
            <w:r/>
            <w:r>
              <w:rPr>
                <w:b w:val="0"/>
                <w:i w:val="0"/>
                <w:sz w:val="19"/>
                <w:highlight w:val="green"/>
              </w:rPr>
              <w:t xml:space="preserve">Goal</w:t>
            </w:r>
          </w:p>
        </w:tc>
        <w:tc>
          <w:tcPr>
            <w:tcW w:type="dxa" w:w="900"/>
          </w:tcPr>
          <w:p>
            <w:pPr>
              <w:jc w:val="center"/>
            </w:pPr>
            <w:r/>
            <w:r>
              <w:rPr>
                <w:b w:val="0"/>
                <w:i w:val="0"/>
                <w:sz w:val="19"/>
                <w:highlight w:val="green"/>
              </w:rPr>
              <w:t xml:space="preserve">r_IH</w:t>
            </w:r>
          </w:p>
        </w:tc>
        <w:tc>
          <w:tcPr>
            <w:tcW w:type="dxa" w:w="1200"/>
          </w:tcPr>
          <w:p>
            <w:pPr>
              <w:jc w:val="center"/>
            </w:pPr>
            <w:r/>
            <w:r>
              <w:rPr>
                <w:b w:val="0"/>
                <w:i w:val="0"/>
                <w:sz w:val="19"/>
                <w:highlight w:val="green"/>
              </w:rPr>
              <w:t xml:space="preserve">ΔCH4 (g day⁻¹)</w:t>
            </w:r>
          </w:p>
        </w:tc>
        <w:tc>
          <w:tcPr>
            <w:tcW w:type="dxa" w:w="1200"/>
          </w:tcPr>
          <w:p>
            <w:pPr>
              <w:jc w:val="center"/>
            </w:pPr>
            <w:r/>
            <w:r>
              <w:rPr>
                <w:b w:val="0"/>
                <w:i w:val="0"/>
                <w:sz w:val="19"/>
                <w:highlight w:val="green"/>
              </w:rPr>
              <w:t xml:space="preserve">ΔMBW (kg⁰·⁷⁵)</w:t>
            </w:r>
          </w:p>
        </w:tc>
        <w:tc>
          <w:tcPr>
            <w:tcW w:type="dxa" w:w="1200"/>
          </w:tcPr>
          <w:p>
            <w:pPr>
              <w:jc w:val="center"/>
            </w:pPr>
            <w:r/>
            <w:r>
              <w:rPr>
                <w:b w:val="0"/>
                <w:i w:val="0"/>
                <w:sz w:val="19"/>
                <w:highlight w:val="green"/>
              </w:rPr>
              <w:t xml:space="preserve">ΔCO2 (g day⁻¹)</w:t>
            </w:r>
          </w:p>
        </w:tc>
      </w:tr>
      <w:tr>
        <w:trPr>
          <w:cantSplit/>
        </w:trPr>
        <w:tc>
          <w:tcPr>
            <w:tcW w:type="dxa" w:w="1700"/>
          </w:tcPr>
          <w:p>
            <w:pPr>
              <w:jc w:val="both"/>
            </w:pPr>
            <w:r/>
            <w:r>
              <w:rPr>
                <w:b w:val="0"/>
                <w:i w:val="0"/>
                <w:sz w:val="19"/>
                <w:highlight w:val="green"/>
              </w:rPr>
              <w:t xml:space="preserve">CH4 only</w:t>
            </w:r>
          </w:p>
        </w:tc>
        <w:tc>
          <w:tcPr>
            <w:tcW w:type="dxa" w:w="3000"/>
          </w:tcPr>
          <w:p>
            <w:pPr>
              <w:jc w:val="center"/>
            </w:pPr>
            <w:r/>
            <w:r>
              <w:rPr>
                <w:b w:val="0"/>
                <w:i w:val="0"/>
                <w:sz w:val="19"/>
                <w:highlight w:val="green"/>
              </w:rPr>
              <w:t xml:space="preserve">CH4 reduced, unconstrained</w:t>
            </w:r>
          </w:p>
        </w:tc>
        <w:tc>
          <w:tcPr>
            <w:tcW w:type="dxa" w:w="900"/>
          </w:tcPr>
          <w:p>
            <w:pPr>
              <w:jc w:val="center"/>
            </w:pPr>
            <w:r/>
            <w:r>
              <w:rPr>
                <w:b w:val="0"/>
                <w:i w:val="0"/>
                <w:sz w:val="19"/>
                <w:highlight w:val="green"/>
              </w:rPr>
              <w:t xml:space="preserve">0.523</w:t>
            </w:r>
          </w:p>
        </w:tc>
        <w:tc>
          <w:tcPr>
            <w:tcW w:type="dxa" w:w="1200"/>
          </w:tcPr>
          <w:p>
            <w:pPr>
              <w:jc w:val="center"/>
            </w:pPr>
            <w:r/>
            <w:r>
              <w:rPr>
                <w:b w:val="0"/>
                <w:i w:val="0"/>
                <w:sz w:val="19"/>
                <w:highlight w:val="green"/>
              </w:rPr>
              <w:t xml:space="preserve">−1.10</w:t>
            </w:r>
          </w:p>
        </w:tc>
        <w:tc>
          <w:tcPr>
            <w:tcW w:type="dxa" w:w="1200"/>
          </w:tcPr>
          <w:p>
            <w:pPr>
              <w:jc w:val="center"/>
            </w:pPr>
            <w:r/>
            <w:r>
              <w:rPr>
                <w:b w:val="0"/>
                <w:i w:val="0"/>
                <w:sz w:val="19"/>
                <w:highlight w:val="green"/>
              </w:rPr>
              <w:t xml:space="preserve">−0.63</w:t>
            </w:r>
          </w:p>
        </w:tc>
        <w:tc>
          <w:tcPr>
            <w:tcW w:type="dxa" w:w="1200"/>
          </w:tcPr>
          <w:p>
            <w:pPr>
              <w:jc w:val="center"/>
            </w:pPr>
            <w:r/>
            <w:r>
              <w:rPr>
                <w:b w:val="0"/>
                <w:i w:val="0"/>
                <w:sz w:val="19"/>
                <w:highlight w:val="green"/>
              </w:rPr>
              <w:t xml:space="preserve">−50.8</w:t>
            </w:r>
          </w:p>
        </w:tc>
      </w:tr>
      <w:tr>
        <w:trPr>
          <w:cantSplit/>
        </w:trPr>
        <w:tc>
          <w:tcPr>
            <w:tcW w:type="dxa" w:w="1700"/>
          </w:tcPr>
          <w:p>
            <w:pPr>
              <w:jc w:val="both"/>
            </w:pPr>
            <w:r/>
            <w:r>
              <w:rPr>
                <w:b w:val="0"/>
                <w:i w:val="0"/>
                <w:sz w:val="19"/>
                <w:highlight w:val="green"/>
              </w:rPr>
              <w:t xml:space="preserve">CH4 + MBW</w:t>
            </w:r>
          </w:p>
        </w:tc>
        <w:tc>
          <w:tcPr>
            <w:tcW w:type="dxa" w:w="3000"/>
          </w:tcPr>
          <w:p>
            <w:pPr>
              <w:jc w:val="center"/>
            </w:pPr>
            <w:r/>
            <w:r>
              <w:rPr>
                <w:b w:val="0"/>
                <w:i w:val="0"/>
                <w:sz w:val="19"/>
                <w:highlight w:val="green"/>
              </w:rPr>
              <w:t xml:space="preserve">CH4 reduced, unconstrained</w:t>
            </w:r>
          </w:p>
        </w:tc>
        <w:tc>
          <w:tcPr>
            <w:tcW w:type="dxa" w:w="900"/>
          </w:tcPr>
          <w:p>
            <w:pPr>
              <w:jc w:val="center"/>
            </w:pPr>
            <w:r/>
            <w:r>
              <w:rPr>
                <w:b w:val="0"/>
                <w:i w:val="0"/>
                <w:sz w:val="19"/>
                <w:highlight w:val="green"/>
              </w:rPr>
              <w:t xml:space="preserve">0.636</w:t>
            </w:r>
          </w:p>
        </w:tc>
        <w:tc>
          <w:tcPr>
            <w:tcW w:type="dxa" w:w="1200"/>
          </w:tcPr>
          <w:p>
            <w:pPr>
              <w:jc w:val="center"/>
            </w:pPr>
            <w:r/>
            <w:r>
              <w:rPr>
                <w:b w:val="0"/>
                <w:i w:val="0"/>
                <w:sz w:val="19"/>
                <w:highlight w:val="green"/>
              </w:rPr>
              <w:t xml:space="preserve">−1.34</w:t>
            </w:r>
          </w:p>
        </w:tc>
        <w:tc>
          <w:tcPr>
            <w:tcW w:type="dxa" w:w="1200"/>
          </w:tcPr>
          <w:p>
            <w:pPr>
              <w:jc w:val="center"/>
            </w:pPr>
            <w:r/>
            <w:r>
              <w:rPr>
                <w:b w:val="0"/>
                <w:i w:val="0"/>
                <w:sz w:val="19"/>
                <w:highlight w:val="green"/>
              </w:rPr>
              <w:t xml:space="preserve">−1.20</w:t>
            </w:r>
          </w:p>
        </w:tc>
        <w:tc>
          <w:tcPr>
            <w:tcW w:type="dxa" w:w="1200"/>
          </w:tcPr>
          <w:p>
            <w:pPr>
              <w:jc w:val="center"/>
            </w:pPr>
            <w:r/>
            <w:r>
              <w:rPr>
                <w:b w:val="0"/>
                <w:i w:val="0"/>
                <w:sz w:val="19"/>
                <w:highlight w:val="green"/>
              </w:rPr>
              <w:t xml:space="preserve">−96.1</w:t>
            </w:r>
          </w:p>
        </w:tc>
      </w:tr>
      <w:tr>
        <w:trPr>
          <w:cantSplit/>
        </w:trPr>
        <w:tc>
          <w:tcPr>
            <w:tcW w:type="dxa" w:w="1700"/>
          </w:tcPr>
          <w:p>
            <w:pPr>
              <w:jc w:val="both"/>
            </w:pPr>
            <w:r/>
            <w:r>
              <w:rPr>
                <w:b w:val="0"/>
                <w:i w:val="0"/>
                <w:sz w:val="19"/>
                <w:highlight w:val="green"/>
              </w:rPr>
              <w:t xml:space="preserve">CH4 + MBW</w:t>
            </w:r>
          </w:p>
        </w:tc>
        <w:tc>
          <w:tcPr>
            <w:tcW w:type="dxa" w:w="3000"/>
          </w:tcPr>
          <w:p>
            <w:pPr>
              <w:jc w:val="center"/>
            </w:pPr>
            <w:r/>
            <w:r>
              <w:rPr>
                <w:b w:val="0"/>
                <w:i w:val="0"/>
                <w:sz w:val="19"/>
                <w:highlight w:val="green"/>
              </w:rPr>
              <w:t xml:space="preserve">CH4 reduced, MBW held constant</w:t>
            </w:r>
          </w:p>
        </w:tc>
        <w:tc>
          <w:tcPr>
            <w:tcW w:type="dxa" w:w="900"/>
          </w:tcPr>
          <w:p>
            <w:pPr>
              <w:jc w:val="center"/>
            </w:pPr>
            <w:r/>
            <w:r>
              <w:rPr>
                <w:b w:val="0"/>
                <w:i w:val="0"/>
                <w:sz w:val="19"/>
                <w:highlight w:val="green"/>
              </w:rPr>
              <w:t xml:space="preserve">0.291</w:t>
            </w:r>
          </w:p>
        </w:tc>
        <w:tc>
          <w:tcPr>
            <w:tcW w:type="dxa" w:w="1200"/>
          </w:tcPr>
          <w:p>
            <w:pPr>
              <w:jc w:val="center"/>
            </w:pPr>
            <w:r/>
            <w:r>
              <w:rPr>
                <w:b w:val="0"/>
                <w:i w:val="0"/>
                <w:sz w:val="19"/>
                <w:highlight w:val="green"/>
              </w:rPr>
              <w:t xml:space="preserve">−0.61</w:t>
            </w:r>
          </w:p>
        </w:tc>
        <w:tc>
          <w:tcPr>
            <w:tcW w:type="dxa" w:w="1200"/>
          </w:tcPr>
          <w:p>
            <w:pPr>
              <w:jc w:val="center"/>
            </w:pPr>
            <w:r/>
            <w:r>
              <w:rPr>
                <w:b w:val="0"/>
                <w:i w:val="0"/>
                <w:sz w:val="19"/>
                <w:highlight w:val="green"/>
              </w:rPr>
              <w:t xml:space="preserve">0 (held)</w:t>
            </w:r>
          </w:p>
        </w:tc>
        <w:tc>
          <w:tcPr>
            <w:tcW w:type="dxa" w:w="1200"/>
          </w:tcPr>
          <w:p>
            <w:pPr>
              <w:jc w:val="center"/>
            </w:pPr>
            <w:r/>
            <w:r>
              <w:rPr>
                <w:b w:val="0"/>
                <w:i w:val="0"/>
                <w:sz w:val="19"/>
                <w:highlight w:val="green"/>
              </w:rPr>
              <w:t xml:space="preserve">+0.1</w:t>
            </w:r>
          </w:p>
        </w:tc>
      </w:tr>
      <w:tr>
        <w:trPr>
          <w:cantSplit/>
        </w:trPr>
        <w:tc>
          <w:tcPr>
            <w:tcW w:type="dxa" w:w="1700"/>
          </w:tcPr>
          <w:p>
            <w:pPr>
              <w:jc w:val="both"/>
            </w:pPr>
            <w:r/>
            <w:r>
              <w:rPr>
                <w:b w:val="0"/>
                <w:i w:val="0"/>
                <w:sz w:val="19"/>
                <w:highlight w:val="green"/>
              </w:rPr>
              <w:t xml:space="preserve">CH4 + MBW + CO2</w:t>
            </w:r>
          </w:p>
        </w:tc>
        <w:tc>
          <w:tcPr>
            <w:tcW w:type="dxa" w:w="3000"/>
          </w:tcPr>
          <w:p>
            <w:pPr>
              <w:jc w:val="center"/>
            </w:pPr>
            <w:r/>
            <w:r>
              <w:rPr>
                <w:b w:val="0"/>
                <w:i w:val="0"/>
                <w:sz w:val="19"/>
                <w:highlight w:val="green"/>
              </w:rPr>
              <w:t xml:space="preserve">CH4 reduced, unconstrained</w:t>
            </w:r>
          </w:p>
        </w:tc>
        <w:tc>
          <w:tcPr>
            <w:tcW w:type="dxa" w:w="900"/>
          </w:tcPr>
          <w:p>
            <w:pPr>
              <w:jc w:val="center"/>
            </w:pPr>
            <w:r/>
            <w:r>
              <w:rPr>
                <w:b w:val="0"/>
                <w:i w:val="0"/>
                <w:sz w:val="19"/>
                <w:highlight w:val="green"/>
              </w:rPr>
              <w:t xml:space="preserve">0.637</w:t>
            </w:r>
          </w:p>
        </w:tc>
        <w:tc>
          <w:tcPr>
            <w:tcW w:type="dxa" w:w="1200"/>
          </w:tcPr>
          <w:p>
            <w:pPr>
              <w:jc w:val="center"/>
            </w:pPr>
            <w:r/>
            <w:r>
              <w:rPr>
                <w:b w:val="0"/>
                <w:i w:val="0"/>
                <w:sz w:val="19"/>
                <w:highlight w:val="green"/>
              </w:rPr>
              <w:t xml:space="preserve">−1.34</w:t>
            </w:r>
          </w:p>
        </w:tc>
        <w:tc>
          <w:tcPr>
            <w:tcW w:type="dxa" w:w="1200"/>
          </w:tcPr>
          <w:p>
            <w:pPr>
              <w:jc w:val="center"/>
            </w:pPr>
            <w:r/>
            <w:r>
              <w:rPr>
                <w:b w:val="0"/>
                <w:i w:val="0"/>
                <w:sz w:val="19"/>
                <w:highlight w:val="green"/>
              </w:rPr>
              <w:t xml:space="preserve">−1.21</w:t>
            </w:r>
          </w:p>
        </w:tc>
        <w:tc>
          <w:tcPr>
            <w:tcW w:type="dxa" w:w="1200"/>
          </w:tcPr>
          <w:p>
            <w:pPr>
              <w:jc w:val="center"/>
            </w:pPr>
            <w:r/>
            <w:r>
              <w:rPr>
                <w:b w:val="0"/>
                <w:i w:val="0"/>
                <w:sz w:val="19"/>
                <w:highlight w:val="green"/>
              </w:rPr>
              <w:t xml:space="preserve">−99.6</w:t>
            </w:r>
          </w:p>
        </w:tc>
      </w:tr>
      <w:tr>
        <w:trPr>
          <w:cantSplit/>
        </w:trPr>
        <w:tc>
          <w:tcPr>
            <w:tcW w:type="dxa" w:w="1700"/>
          </w:tcPr>
          <w:p>
            <w:pPr>
              <w:jc w:val="both"/>
            </w:pPr>
            <w:r/>
            <w:r>
              <w:rPr>
                <w:b w:val="0"/>
                <w:i w:val="0"/>
                <w:sz w:val="19"/>
                <w:highlight w:val="green"/>
              </w:rPr>
              <w:t xml:space="preserve">CH4 + MBW + CO2</w:t>
            </w:r>
          </w:p>
        </w:tc>
        <w:tc>
          <w:tcPr>
            <w:tcW w:type="dxa" w:w="3000"/>
          </w:tcPr>
          <w:p>
            <w:pPr>
              <w:jc w:val="center"/>
            </w:pPr>
            <w:r/>
            <w:r>
              <w:rPr>
                <w:b w:val="0"/>
                <w:i w:val="0"/>
                <w:sz w:val="19"/>
                <w:highlight w:val="green"/>
              </w:rPr>
              <w:t xml:space="preserve">CH4 reduced, MBW held constant</w:t>
            </w:r>
          </w:p>
        </w:tc>
        <w:tc>
          <w:tcPr>
            <w:tcW w:type="dxa" w:w="900"/>
          </w:tcPr>
          <w:p>
            <w:pPr>
              <w:jc w:val="center"/>
            </w:pPr>
            <w:r/>
            <w:r>
              <w:rPr>
                <w:b w:val="0"/>
                <w:i w:val="0"/>
                <w:sz w:val="19"/>
                <w:highlight w:val="green"/>
              </w:rPr>
              <w:t xml:space="preserve">0.300</w:t>
            </w:r>
          </w:p>
        </w:tc>
        <w:tc>
          <w:tcPr>
            <w:tcW w:type="dxa" w:w="1200"/>
          </w:tcPr>
          <w:p>
            <w:pPr>
              <w:jc w:val="center"/>
            </w:pPr>
            <w:r/>
            <w:r>
              <w:rPr>
                <w:b w:val="0"/>
                <w:i w:val="0"/>
                <w:sz w:val="19"/>
                <w:highlight w:val="green"/>
              </w:rPr>
              <w:t xml:space="preserve">−0.63</w:t>
            </w:r>
          </w:p>
        </w:tc>
        <w:tc>
          <w:tcPr>
            <w:tcW w:type="dxa" w:w="1200"/>
          </w:tcPr>
          <w:p>
            <w:pPr>
              <w:jc w:val="center"/>
            </w:pPr>
            <w:r/>
            <w:r>
              <w:rPr>
                <w:b w:val="0"/>
                <w:i w:val="0"/>
                <w:sz w:val="19"/>
                <w:highlight w:val="green"/>
              </w:rPr>
              <w:t xml:space="preserve">0 (held)</w:t>
            </w:r>
          </w:p>
        </w:tc>
        <w:tc>
          <w:tcPr>
            <w:tcW w:type="dxa" w:w="1200"/>
          </w:tcPr>
          <w:p>
            <w:pPr>
              <w:jc w:val="center"/>
            </w:pPr>
            <w:r/>
            <w:r>
              <w:rPr>
                <w:b w:val="0"/>
                <w:i w:val="0"/>
                <w:sz w:val="19"/>
                <w:highlight w:val="green"/>
              </w:rPr>
              <w:t xml:space="preserve">+10.0</w:t>
            </w:r>
          </w:p>
        </w:tc>
      </w:tr>
      <w:tr>
        <w:trPr>
          <w:cantSplit/>
        </w:trPr>
        <w:tc>
          <w:tcPr>
            <w:tcW w:type="dxa" w:w="1700"/>
          </w:tcPr>
          <w:p>
            <w:pPr>
              <w:jc w:val="both"/>
            </w:pPr>
            <w:r/>
            <w:r>
              <w:rPr>
                <w:b w:val="0"/>
                <w:i w:val="0"/>
                <w:sz w:val="19"/>
                <w:highlight w:val="green"/>
              </w:rPr>
              <w:t xml:space="preserve">CH4 + MBW + CO2</w:t>
            </w:r>
          </w:p>
        </w:tc>
        <w:tc>
          <w:tcPr>
            <w:tcW w:type="dxa" w:w="3000"/>
          </w:tcPr>
          <w:p>
            <w:pPr>
              <w:jc w:val="center"/>
            </w:pPr>
            <w:r/>
            <w:r>
              <w:rPr>
                <w:b w:val="0"/>
                <w:i w:val="0"/>
                <w:sz w:val="19"/>
                <w:highlight w:val="green"/>
              </w:rPr>
              <w:t xml:space="preserve">CH4 reduced, MBW and CO2 held constant</w:t>
            </w:r>
          </w:p>
        </w:tc>
        <w:tc>
          <w:tcPr>
            <w:tcW w:type="dxa" w:w="900"/>
          </w:tcPr>
          <w:p>
            <w:pPr>
              <w:jc w:val="center"/>
            </w:pPr>
            <w:r/>
            <w:r>
              <w:rPr>
                <w:b w:val="0"/>
                <w:i w:val="0"/>
                <w:sz w:val="19"/>
                <w:highlight w:val="green"/>
              </w:rPr>
              <w:t xml:space="preserve">0.290</w:t>
            </w:r>
          </w:p>
        </w:tc>
        <w:tc>
          <w:tcPr>
            <w:tcW w:type="dxa" w:w="1200"/>
          </w:tcPr>
          <w:p>
            <w:pPr>
              <w:jc w:val="center"/>
            </w:pPr>
            <w:r/>
            <w:r>
              <w:rPr>
                <w:b w:val="0"/>
                <w:i w:val="0"/>
                <w:sz w:val="19"/>
                <w:highlight w:val="green"/>
              </w:rPr>
              <w:t xml:space="preserve">−0.61</w:t>
            </w:r>
          </w:p>
        </w:tc>
        <w:tc>
          <w:tcPr>
            <w:tcW w:type="dxa" w:w="1200"/>
          </w:tcPr>
          <w:p>
            <w:pPr>
              <w:jc w:val="center"/>
            </w:pPr>
            <w:r/>
            <w:r>
              <w:rPr>
                <w:b w:val="0"/>
                <w:i w:val="0"/>
                <w:sz w:val="19"/>
                <w:highlight w:val="green"/>
              </w:rPr>
              <w:t xml:space="preserve">0 (held)</w:t>
            </w:r>
          </w:p>
        </w:tc>
        <w:tc>
          <w:tcPr>
            <w:tcW w:type="dxa" w:w="1200"/>
          </w:tcPr>
          <w:p>
            <w:pPr>
              <w:jc w:val="center"/>
            </w:pPr>
            <w:r/>
            <w:r>
              <w:rPr>
                <w:b w:val="0"/>
                <w:i w:val="0"/>
                <w:sz w:val="19"/>
                <w:highlight w:val="green"/>
              </w:rPr>
              <w:t xml:space="preserve">0 (held)</w:t>
            </w:r>
          </w:p>
        </w:tc>
      </w:tr>
    </w:tbl>
    <w:p/>
    <w:p>
      <w:pPr>
        <w:jc w:val="both"/>
      </w:pPr>
      <w:r>
        <w:rPr>
          <w:b w:val="0"/>
          <w:i w:val="0"/>
          <w:highlight w:val="green"/>
        </w:rPr>
        <w:t xml:space="preserve">S4. Sensitivity of predicted responses to the CH4–MBW genetic correlation, with CH4 and MBW as the information traits (per generation, i = 1). All other parameters held at their estimates; not re-run with CO2 as an information trait.</w:t>
      </w:r>
    </w:p>
    <w:tbl>
      <w:tblPr>
        <w:tblStyle w:val="PlainTable2"/>
        <w:tblW w:type="auto" w:w="0"/>
        <w:tblLook w:firstColumn="1" w:firstRow="1" w:lastColumn="0" w:lastRow="0" w:noHBand="0" w:noVBand="1" w:val="04A0"/>
      </w:tblPr>
      <w:tblGrid>
        <w:gridCol w:w="1800"/>
        <w:gridCol w:w="1400"/>
        <w:gridCol w:w="1200"/>
        <w:gridCol w:w="1500"/>
        <w:gridCol w:w="1500"/>
        <w:gridCol w:w="1500"/>
      </w:tblGrid>
      <w:tr>
        <w:trPr>
          <w:cantSplit/>
        </w:trPr>
        <w:tc>
          <w:tcPr>
            <w:tcW w:type="dxa" w:w="1800"/>
          </w:tcPr>
          <w:p>
            <w:pPr>
              <w:jc w:val="both"/>
            </w:pPr>
            <w:r/>
            <w:r>
              <w:rPr>
                <w:b w:val="0"/>
                <w:i w:val="0"/>
                <w:sz w:val="19"/>
                <w:highlight w:val="green"/>
              </w:rPr>
              <w:t xml:space="preserve">rg CH4–MBW</w:t>
            </w:r>
          </w:p>
        </w:tc>
        <w:tc>
          <w:tcPr>
            <w:tcW w:type="dxa" w:w="1400"/>
          </w:tcPr>
          <w:p>
            <w:pPr>
              <w:jc w:val="center"/>
            </w:pPr>
            <w:r/>
            <w:r>
              <w:rPr>
                <w:b w:val="0"/>
                <w:i w:val="0"/>
                <w:sz w:val="19"/>
                <w:highlight w:val="green"/>
              </w:rPr>
              <w:t xml:space="preserve">Ratio CH4/MBW: ΔCH4</w:t>
            </w:r>
          </w:p>
        </w:tc>
        <w:tc>
          <w:tcPr>
            <w:tcW w:type="dxa" w:w="1200"/>
          </w:tcPr>
          <w:p>
            <w:pPr>
              <w:jc w:val="center"/>
            </w:pPr>
            <w:r/>
            <w:r>
              <w:rPr>
                <w:b w:val="0"/>
                <w:i w:val="0"/>
                <w:sz w:val="19"/>
                <w:highlight w:val="green"/>
              </w:rPr>
              <w:t xml:space="preserve">Ratio: ΔMBW</w:t>
            </w:r>
          </w:p>
        </w:tc>
        <w:tc>
          <w:tcPr>
            <w:tcW w:type="dxa" w:w="1500"/>
          </w:tcPr>
          <w:p>
            <w:pPr>
              <w:jc w:val="center"/>
            </w:pPr>
            <w:r/>
            <w:r>
              <w:rPr>
                <w:b w:val="0"/>
                <w:i w:val="0"/>
                <w:sz w:val="19"/>
                <w:highlight w:val="green"/>
              </w:rPr>
              <w:t xml:space="preserve">Phenotypic residual: ΔCH4</w:t>
            </w:r>
          </w:p>
        </w:tc>
        <w:tc>
          <w:tcPr>
            <w:tcW w:type="dxa" w:w="1500"/>
          </w:tcPr>
          <w:p>
            <w:pPr>
              <w:jc w:val="center"/>
            </w:pPr>
            <w:r/>
            <w:r>
              <w:rPr>
                <w:b w:val="0"/>
                <w:i w:val="0"/>
                <w:sz w:val="19"/>
                <w:highlight w:val="green"/>
              </w:rPr>
              <w:t xml:space="preserve">Phenotypic residual: ΔMBW</w:t>
            </w:r>
          </w:p>
        </w:tc>
        <w:tc>
          <w:tcPr>
            <w:tcW w:type="dxa" w:w="1500"/>
          </w:tcPr>
          <w:p>
            <w:pPr>
              <w:jc w:val="center"/>
            </w:pPr>
            <w:r/>
            <w:r>
              <w:rPr>
                <w:b w:val="0"/>
                <w:i w:val="0"/>
                <w:sz w:val="19"/>
                <w:highlight w:val="green"/>
              </w:rPr>
              <w:t xml:space="preserve">CH4 goal, MBW held: ΔCH4</w:t>
            </w:r>
          </w:p>
        </w:tc>
      </w:tr>
      <w:tr>
        <w:trPr>
          <w:cantSplit/>
        </w:trPr>
        <w:tc>
          <w:tcPr>
            <w:tcW w:type="dxa" w:w="1800"/>
          </w:tcPr>
          <w:p>
            <w:pPr>
              <w:jc w:val="both"/>
            </w:pPr>
            <w:r/>
            <w:r>
              <w:rPr>
                <w:b w:val="0"/>
                <w:i w:val="0"/>
                <w:sz w:val="19"/>
                <w:highlight w:val="green"/>
              </w:rPr>
              <w:t xml:space="preserve">−0.033 (submitted)</w:t>
            </w:r>
          </w:p>
        </w:tc>
        <w:tc>
          <w:tcPr>
            <w:tcW w:type="dxa" w:w="1400"/>
          </w:tcPr>
          <w:p>
            <w:pPr>
              <w:jc w:val="center"/>
            </w:pPr>
            <w:r/>
            <w:r>
              <w:rPr>
                <w:b w:val="0"/>
                <w:i w:val="0"/>
                <w:sz w:val="19"/>
                <w:highlight w:val="green"/>
              </w:rPr>
              <w:t xml:space="preserve">−0.84</w:t>
            </w:r>
          </w:p>
        </w:tc>
        <w:tc>
          <w:tcPr>
            <w:tcW w:type="dxa" w:w="1200"/>
          </w:tcPr>
          <w:p>
            <w:pPr>
              <w:jc w:val="center"/>
            </w:pPr>
            <w:r/>
            <w:r>
              <w:rPr>
                <w:b w:val="0"/>
                <w:i w:val="0"/>
                <w:sz w:val="19"/>
                <w:highlight w:val="green"/>
              </w:rPr>
              <w:t xml:space="preserve">+1.01</w:t>
            </w:r>
          </w:p>
        </w:tc>
        <w:tc>
          <w:tcPr>
            <w:tcW w:type="dxa" w:w="1500"/>
          </w:tcPr>
          <w:p>
            <w:pPr>
              <w:jc w:val="center"/>
            </w:pPr>
            <w:r/>
            <w:r>
              <w:rPr>
                <w:b w:val="0"/>
                <w:i w:val="0"/>
                <w:sz w:val="19"/>
                <w:highlight w:val="green"/>
              </w:rPr>
              <w:t xml:space="preserve">−1.09</w:t>
            </w:r>
          </w:p>
        </w:tc>
        <w:tc>
          <w:tcPr>
            <w:tcW w:type="dxa" w:w="1500"/>
          </w:tcPr>
          <w:p>
            <w:pPr>
              <w:jc w:val="center"/>
            </w:pPr>
            <w:r/>
            <w:r>
              <w:rPr>
                <w:b w:val="0"/>
                <w:i w:val="0"/>
                <w:sz w:val="19"/>
                <w:highlight w:val="green"/>
              </w:rPr>
              <w:t xml:space="preserve">+0.40</w:t>
            </w:r>
          </w:p>
        </w:tc>
        <w:tc>
          <w:tcPr>
            <w:tcW w:type="dxa" w:w="1500"/>
          </w:tcPr>
          <w:p>
            <w:pPr>
              <w:jc w:val="center"/>
            </w:pPr>
            <w:r/>
            <w:r>
              <w:rPr>
                <w:b w:val="0"/>
                <w:i w:val="0"/>
                <w:sz w:val="19"/>
                <w:highlight w:val="green"/>
              </w:rPr>
              <w:t xml:space="preserve">−1.09</w:t>
            </w:r>
          </w:p>
        </w:tc>
      </w:tr>
      <w:tr>
        <w:trPr>
          <w:cantSplit/>
        </w:trPr>
        <w:tc>
          <w:tcPr>
            <w:tcW w:type="dxa" w:w="1800"/>
          </w:tcPr>
          <w:p>
            <w:pPr>
              <w:jc w:val="both"/>
            </w:pPr>
            <w:r/>
            <w:r>
              <w:rPr>
                <w:b w:val="0"/>
                <w:i w:val="0"/>
                <w:sz w:val="19"/>
                <w:highlight w:val="green"/>
              </w:rPr>
              <w:t xml:space="preserve">0.20</w:t>
            </w:r>
          </w:p>
        </w:tc>
        <w:tc>
          <w:tcPr>
            <w:tcW w:type="dxa" w:w="1400"/>
          </w:tcPr>
          <w:p>
            <w:pPr>
              <w:jc w:val="center"/>
            </w:pPr>
            <w:r/>
            <w:r>
              <w:rPr>
                <w:b w:val="0"/>
                <w:i w:val="0"/>
                <w:sz w:val="19"/>
                <w:highlight w:val="green"/>
              </w:rPr>
              <w:t xml:space="preserve">−0.68</w:t>
            </w:r>
          </w:p>
        </w:tc>
        <w:tc>
          <w:tcPr>
            <w:tcW w:type="dxa" w:w="1200"/>
          </w:tcPr>
          <w:p>
            <w:pPr>
              <w:jc w:val="center"/>
            </w:pPr>
            <w:r/>
            <w:r>
              <w:rPr>
                <w:b w:val="0"/>
                <w:i w:val="0"/>
                <w:sz w:val="19"/>
                <w:highlight w:val="green"/>
              </w:rPr>
              <w:t xml:space="preserve">+0.80</w:t>
            </w:r>
          </w:p>
        </w:tc>
        <w:tc>
          <w:tcPr>
            <w:tcW w:type="dxa" w:w="1500"/>
          </w:tcPr>
          <w:p>
            <w:pPr>
              <w:jc w:val="center"/>
            </w:pPr>
            <w:r/>
            <w:r>
              <w:rPr>
                <w:b w:val="0"/>
                <w:i w:val="0"/>
                <w:sz w:val="19"/>
                <w:highlight w:val="green"/>
              </w:rPr>
              <w:t xml:space="preserve">−1.03</w:t>
            </w:r>
          </w:p>
        </w:tc>
        <w:tc>
          <w:tcPr>
            <w:tcW w:type="dxa" w:w="1500"/>
          </w:tcPr>
          <w:p>
            <w:pPr>
              <w:jc w:val="center"/>
            </w:pPr>
            <w:r/>
            <w:r>
              <w:rPr>
                <w:b w:val="0"/>
                <w:i w:val="0"/>
                <w:sz w:val="19"/>
                <w:highlight w:val="green"/>
              </w:rPr>
              <w:t xml:space="preserve">+0.13</w:t>
            </w:r>
          </w:p>
        </w:tc>
        <w:tc>
          <w:tcPr>
            <w:tcW w:type="dxa" w:w="1500"/>
          </w:tcPr>
          <w:p>
            <w:pPr>
              <w:jc w:val="center"/>
            </w:pPr>
            <w:r/>
            <w:r>
              <w:rPr>
                <w:b w:val="0"/>
                <w:i w:val="0"/>
                <w:sz w:val="19"/>
                <w:highlight w:val="green"/>
              </w:rPr>
              <w:t xml:space="preserve">−1.07</w:t>
            </w:r>
          </w:p>
        </w:tc>
      </w:tr>
      <w:tr>
        <w:trPr>
          <w:cantSplit/>
        </w:trPr>
        <w:tc>
          <w:tcPr>
            <w:tcW w:type="dxa" w:w="1800"/>
          </w:tcPr>
          <w:p>
            <w:pPr>
              <w:jc w:val="both"/>
            </w:pPr>
            <w:r/>
            <w:r>
              <w:rPr>
                <w:b w:val="0"/>
                <w:i w:val="0"/>
                <w:sz w:val="19"/>
                <w:highlight w:val="green"/>
              </w:rPr>
              <w:t xml:space="preserve">0.40</w:t>
            </w:r>
          </w:p>
        </w:tc>
        <w:tc>
          <w:tcPr>
            <w:tcW w:type="dxa" w:w="1400"/>
          </w:tcPr>
          <w:p>
            <w:pPr>
              <w:jc w:val="center"/>
            </w:pPr>
            <w:r/>
            <w:r>
              <w:rPr>
                <w:b w:val="0"/>
                <w:i w:val="0"/>
                <w:sz w:val="19"/>
                <w:highlight w:val="green"/>
              </w:rPr>
              <w:t xml:space="preserve">−0.60</w:t>
            </w:r>
          </w:p>
        </w:tc>
        <w:tc>
          <w:tcPr>
            <w:tcW w:type="dxa" w:w="1200"/>
          </w:tcPr>
          <w:p>
            <w:pPr>
              <w:jc w:val="center"/>
            </w:pPr>
            <w:r/>
            <w:r>
              <w:rPr>
                <w:b w:val="0"/>
                <w:i w:val="0"/>
                <w:sz w:val="19"/>
                <w:highlight w:val="green"/>
              </w:rPr>
              <w:t xml:space="preserve">+0.54</w:t>
            </w:r>
          </w:p>
        </w:tc>
        <w:tc>
          <w:tcPr>
            <w:tcW w:type="dxa" w:w="1500"/>
          </w:tcPr>
          <w:p>
            <w:pPr>
              <w:jc w:val="center"/>
            </w:pPr>
            <w:r/>
            <w:r>
              <w:rPr>
                <w:b w:val="0"/>
                <w:i w:val="0"/>
                <w:sz w:val="19"/>
                <w:highlight w:val="green"/>
              </w:rPr>
              <w:t xml:space="preserve">−1.01</w:t>
            </w:r>
          </w:p>
        </w:tc>
        <w:tc>
          <w:tcPr>
            <w:tcW w:type="dxa" w:w="1500"/>
          </w:tcPr>
          <w:p>
            <w:pPr>
              <w:jc w:val="center"/>
            </w:pPr>
            <w:r/>
            <w:r>
              <w:rPr>
                <w:b w:val="0"/>
                <w:i w:val="0"/>
                <w:sz w:val="19"/>
                <w:highlight w:val="green"/>
              </w:rPr>
              <w:t xml:space="preserve">−0.12</w:t>
            </w:r>
          </w:p>
        </w:tc>
        <w:tc>
          <w:tcPr>
            <w:tcW w:type="dxa" w:w="1500"/>
          </w:tcPr>
          <w:p>
            <w:pPr>
              <w:jc w:val="center"/>
            </w:pPr>
            <w:r/>
            <w:r>
              <w:rPr>
                <w:b w:val="0"/>
                <w:i w:val="0"/>
                <w:sz w:val="19"/>
                <w:highlight w:val="green"/>
              </w:rPr>
              <w:t xml:space="preserve">−0.95</w:t>
            </w:r>
          </w:p>
        </w:tc>
      </w:tr>
      <w:tr>
        <w:trPr>
          <w:cantSplit/>
        </w:trPr>
        <w:tc>
          <w:tcPr>
            <w:tcW w:type="dxa" w:w="1800"/>
          </w:tcPr>
          <w:p>
            <w:pPr>
              <w:jc w:val="both"/>
            </w:pPr>
            <w:r/>
            <w:r>
              <w:rPr>
                <w:b w:val="0"/>
                <w:i w:val="0"/>
                <w:sz w:val="19"/>
                <w:highlight w:val="green"/>
              </w:rPr>
              <w:t xml:space="preserve">0.60</w:t>
            </w:r>
          </w:p>
        </w:tc>
        <w:tc>
          <w:tcPr>
            <w:tcW w:type="dxa" w:w="1400"/>
          </w:tcPr>
          <w:p>
            <w:pPr>
              <w:jc w:val="center"/>
            </w:pPr>
            <w:r/>
            <w:r>
              <w:rPr>
                <w:b w:val="0"/>
                <w:i w:val="0"/>
                <w:sz w:val="19"/>
                <w:highlight w:val="green"/>
              </w:rPr>
              <w:t xml:space="preserve">−0.66</w:t>
            </w:r>
          </w:p>
        </w:tc>
        <w:tc>
          <w:tcPr>
            <w:tcW w:type="dxa" w:w="1200"/>
          </w:tcPr>
          <w:p>
            <w:pPr>
              <w:jc w:val="center"/>
            </w:pPr>
            <w:r/>
            <w:r>
              <w:rPr>
                <w:b w:val="0"/>
                <w:i w:val="0"/>
                <w:sz w:val="19"/>
                <w:highlight w:val="green"/>
              </w:rPr>
              <w:t xml:space="preserve">+0.11</w:t>
            </w:r>
          </w:p>
        </w:tc>
        <w:tc>
          <w:tcPr>
            <w:tcW w:type="dxa" w:w="1500"/>
          </w:tcPr>
          <w:p>
            <w:pPr>
              <w:jc w:val="center"/>
            </w:pPr>
            <w:r/>
            <w:r>
              <w:rPr>
                <w:b w:val="0"/>
                <w:i w:val="0"/>
                <w:sz w:val="19"/>
                <w:highlight w:val="green"/>
              </w:rPr>
              <w:t xml:space="preserve">−1.04</w:t>
            </w:r>
          </w:p>
        </w:tc>
        <w:tc>
          <w:tcPr>
            <w:tcW w:type="dxa" w:w="1500"/>
          </w:tcPr>
          <w:p>
            <w:pPr>
              <w:jc w:val="center"/>
            </w:pPr>
            <w:r/>
            <w:r>
              <w:rPr>
                <w:b w:val="0"/>
                <w:i w:val="0"/>
                <w:sz w:val="19"/>
                <w:highlight w:val="green"/>
              </w:rPr>
              <w:t xml:space="preserve">−0.45</w:t>
            </w:r>
          </w:p>
        </w:tc>
        <w:tc>
          <w:tcPr>
            <w:tcW w:type="dxa" w:w="1500"/>
          </w:tcPr>
          <w:p>
            <w:pPr>
              <w:jc w:val="center"/>
            </w:pPr>
            <w:r/>
            <w:r>
              <w:rPr>
                <w:b w:val="0"/>
                <w:i w:val="0"/>
                <w:sz w:val="19"/>
                <w:highlight w:val="green"/>
              </w:rPr>
              <w:t xml:space="preserve">−0.74</w:t>
            </w:r>
          </w:p>
        </w:tc>
      </w:tr>
      <w:tr>
        <w:trPr>
          <w:cantSplit/>
        </w:trPr>
        <w:tc>
          <w:tcPr>
            <w:tcW w:type="dxa" w:w="1800"/>
          </w:tcPr>
          <w:p>
            <w:pPr>
              <w:jc w:val="both"/>
            </w:pPr>
            <w:r/>
            <w:r>
              <w:rPr>
                <w:b w:val="0"/>
                <w:i w:val="0"/>
                <w:sz w:val="19"/>
                <w:highlight w:val="green"/>
              </w:rPr>
              <w:t xml:space="preserve">0.69 (estimate)</w:t>
            </w:r>
          </w:p>
        </w:tc>
        <w:tc>
          <w:tcPr>
            <w:tcW w:type="dxa" w:w="1400"/>
          </w:tcPr>
          <w:p>
            <w:pPr>
              <w:jc w:val="center"/>
            </w:pPr>
            <w:r/>
            <w:r>
              <w:rPr>
                <w:b w:val="0"/>
                <w:i w:val="0"/>
                <w:sz w:val="19"/>
                <w:highlight w:val="green"/>
              </w:rPr>
              <w:t xml:space="preserve">−0.79</w:t>
            </w:r>
          </w:p>
        </w:tc>
        <w:tc>
          <w:tcPr>
            <w:tcW w:type="dxa" w:w="1200"/>
          </w:tcPr>
          <w:p>
            <w:pPr>
              <w:jc w:val="center"/>
            </w:pPr>
            <w:r/>
            <w:r>
              <w:rPr>
                <w:b w:val="0"/>
                <w:i w:val="0"/>
                <w:sz w:val="19"/>
                <w:highlight w:val="green"/>
              </w:rPr>
              <w:t xml:space="preserve">−0.21</w:t>
            </w:r>
          </w:p>
        </w:tc>
        <w:tc>
          <w:tcPr>
            <w:tcW w:type="dxa" w:w="1500"/>
          </w:tcPr>
          <w:p>
            <w:pPr>
              <w:jc w:val="center"/>
            </w:pPr>
            <w:r/>
            <w:r>
              <w:rPr>
                <w:b w:val="0"/>
                <w:i w:val="0"/>
                <w:sz w:val="19"/>
                <w:highlight w:val="green"/>
              </w:rPr>
              <w:t xml:space="preserve">−1.10</w:t>
            </w:r>
          </w:p>
        </w:tc>
        <w:tc>
          <w:tcPr>
            <w:tcW w:type="dxa" w:w="1500"/>
          </w:tcPr>
          <w:p>
            <w:pPr>
              <w:jc w:val="center"/>
            </w:pPr>
            <w:r/>
            <w:r>
              <w:rPr>
                <w:b w:val="0"/>
                <w:i w:val="0"/>
                <w:sz w:val="19"/>
                <w:highlight w:val="green"/>
              </w:rPr>
              <w:t xml:space="preserve">−0.64</w:t>
            </w:r>
          </w:p>
        </w:tc>
        <w:tc>
          <w:tcPr>
            <w:tcW w:type="dxa" w:w="1500"/>
          </w:tcPr>
          <w:p>
            <w:pPr>
              <w:jc w:val="center"/>
            </w:pPr>
            <w:r/>
            <w:r>
              <w:rPr>
                <w:b w:val="0"/>
                <w:i w:val="0"/>
                <w:sz w:val="19"/>
                <w:highlight w:val="green"/>
              </w:rPr>
              <w:t xml:space="preserve">−0.61</w:t>
            </w:r>
          </w:p>
        </w:tc>
      </w:tr>
      <w:tr>
        <w:trPr>
          <w:cantSplit/>
        </w:trPr>
        <w:tc>
          <w:tcPr>
            <w:tcW w:type="dxa" w:w="1800"/>
          </w:tcPr>
          <w:p>
            <w:pPr>
              <w:jc w:val="both"/>
            </w:pPr>
            <w:r/>
            <w:r>
              <w:rPr>
                <w:b w:val="0"/>
                <w:i w:val="0"/>
                <w:sz w:val="19"/>
                <w:highlight w:val="green"/>
              </w:rPr>
              <w:t xml:space="preserve">0.80</w:t>
            </w:r>
          </w:p>
        </w:tc>
        <w:tc>
          <w:tcPr>
            <w:tcW w:type="dxa" w:w="1400"/>
          </w:tcPr>
          <w:p>
            <w:pPr>
              <w:jc w:val="center"/>
            </w:pPr>
            <w:r/>
            <w:r>
              <w:rPr>
                <w:b w:val="0"/>
                <w:i w:val="0"/>
                <w:sz w:val="19"/>
                <w:highlight w:val="green"/>
              </w:rPr>
              <w:t xml:space="preserve">−1.08</w:t>
            </w:r>
          </w:p>
        </w:tc>
        <w:tc>
          <w:tcPr>
            <w:tcW w:type="dxa" w:w="1200"/>
          </w:tcPr>
          <w:p>
            <w:pPr>
              <w:jc w:val="center"/>
            </w:pPr>
            <w:r/>
            <w:r>
              <w:rPr>
                <w:b w:val="0"/>
                <w:i w:val="0"/>
                <w:sz w:val="19"/>
                <w:highlight w:val="green"/>
              </w:rPr>
              <w:t xml:space="preserve">−0.71</w:t>
            </w:r>
          </w:p>
        </w:tc>
        <w:tc>
          <w:tcPr>
            <w:tcW w:type="dxa" w:w="1500"/>
          </w:tcPr>
          <w:p>
            <w:pPr>
              <w:jc w:val="center"/>
            </w:pPr>
            <w:r/>
            <w:r>
              <w:rPr>
                <w:b w:val="0"/>
                <w:i w:val="0"/>
                <w:sz w:val="19"/>
                <w:highlight w:val="green"/>
              </w:rPr>
              <w:t xml:space="preserve">−1.24</w:t>
            </w:r>
          </w:p>
        </w:tc>
        <w:tc>
          <w:tcPr>
            <w:tcW w:type="dxa" w:w="1500"/>
          </w:tcPr>
          <w:p>
            <w:pPr>
              <w:jc w:val="center"/>
            </w:pPr>
            <w:r/>
            <w:r>
              <w:rPr>
                <w:b w:val="0"/>
                <w:i w:val="0"/>
                <w:sz w:val="19"/>
                <w:highlight w:val="green"/>
              </w:rPr>
              <w:t xml:space="preserve">−0.92</w:t>
            </w:r>
          </w:p>
        </w:tc>
        <w:tc>
          <w:tcPr>
            <w:tcW w:type="dxa" w:w="1500"/>
          </w:tcPr>
          <w:p>
            <w:pPr>
              <w:jc w:val="center"/>
            </w:pPr>
            <w:r/>
            <w:r>
              <w:rPr>
                <w:b w:val="0"/>
                <w:i w:val="0"/>
                <w:sz w:val="19"/>
                <w:highlight w:val="green"/>
              </w:rPr>
              <w:t xml:space="preserve">−0.43</w:t>
            </w:r>
          </w:p>
        </w:tc>
      </w:tr>
    </w:tbl>
    <w:p/>
    <w:p>
      <w:pPr>
        <w:pStyle w:val="Subheadings"/>
      </w:pPr>
      <w:r>
        <w:rPr>
          <w:b w:val="0"/>
          <w:i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2024.</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pPr>
      <w:r>
        <w:rPr>
          <w:highlight w:val="green"/>
        </w:rPr>
        <w:t xml:space="preserve">[42]	Cuyabano B.C.D. et al., Trajectories of Genetic Correlations in Populations under Selection, bioRxiv (2025). [VERIFY author list and DOI]</w:t>
      </w:r>
    </w:p>
    <w:p>
      <w:pPr>
        <w:pStyle w:val="EndNoteBibliography"/>
      </w:pPr>
      <w:r>
        <w:rPr>
          <w:highlight w:val="green"/>
        </w:rPr>
        <w:t xml:space="preserve">[43]	Kempthorne O., Nordskog A.W., Restricted selection indices, Biometrics. 15 (1959) 10-19.</w:t>
      </w:r>
    </w:p>
    <w:p>
      <w:pPr>
        <w:pStyle w:val="EndNoteBibliography"/>
      </w:pPr>
      <w:r>
        <w:rPr>
          <w:highlight w:val="green"/>
        </w:rPr>
        <w:t xml:space="preserve">[44]	Smith H.F., A discriminant function for plant selection, Annals of Eugenics. 7 (1936) 240-250.</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