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i w:val="0"/>
          <w:sz w:val="36"/>
        </w:rPr>
        <w:t>Genetic Parameters and Selection Responses for Alternative Methane Trait Definitions in Pasture-Based Sheep</w:t>
      </w:r>
    </w:p>
    <w:p>
      <w:pPr>
        <w:pStyle w:val="AuthorNames"/>
      </w:pPr>
      <w:r>
        <w:rPr>
          <w:b w:val="0"/>
          <w:i w:val="0"/>
        </w:rPr>
        <w:t>Dermot J. Kelly ²'³'*, Fiona McGovern ¹, Deirdre Purfield ², Patrick McCarron ¹, Eoin Dunne ¹, Thierry Pabiou ⁴, Nóirín McHugh ³</w:t>
      </w:r>
    </w:p>
    <w:p>
      <w:pPr>
        <w:pStyle w:val="Affiliations"/>
      </w:pPr>
      <w:r>
        <w:rPr>
          <w:b w:val="0"/>
          <w:i w:val="0"/>
        </w:rPr>
        <w:t>¹ Teagasc, Animal &amp; Grassland Research and Innovation Centre, Mellows Campus, Athenry, Co. Galway, H65 R718, Ireland</w:t>
      </w:r>
    </w:p>
    <w:p>
      <w:pPr>
        <w:pStyle w:val="Affiliations"/>
      </w:pPr>
      <w:r>
        <w:rPr>
          <w:b w:val="0"/>
          <w:i w:val="0"/>
        </w:rPr>
        <w:t>² Department of Biological Sciences, Munster Technological University, Bishopstown, Co. Cork T12 P928, Ireland</w:t>
      </w:r>
    </w:p>
    <w:p>
      <w:pPr>
        <w:pStyle w:val="Affiliations"/>
      </w:pPr>
      <w:r>
        <w:rPr>
          <w:b w:val="0"/>
          <w:i w:val="0"/>
        </w:rPr>
        <w:t>³ Teagasc, Animal and Grassland Research and Innovation Centre, Fermoy, Co. Cork P61 P302, Ireland</w:t>
      </w:r>
    </w:p>
    <w:p>
      <w:r>
        <w:rPr>
          <w:b w:val="0"/>
          <w:i w:val="0"/>
        </w:rPr>
        <w:t>⁴ Sheep Ireland, Link Road, Ballincollig, Co. Cork, P31 D452, Ireland</w:t>
      </w:r>
    </w:p>
    <w:p>
      <w:r>
        <w:rPr>
          <w:b w:val="0"/>
          <w:i w:val="0"/>
        </w:rPr>
        <w:t>*Corresponding author. Email: dermot.kelly@teagasc.ie</w:t>
      </w:r>
    </w:p>
    <w:p/>
    <w:p>
      <w:r>
        <w:rPr>
          <w:b/>
          <w:i w:val="0"/>
          <w:sz w:val="36"/>
        </w:rPr>
        <w:t>Abstract</w:t>
      </w:r>
    </w:p>
    <w:p>
      <w:pPr>
        <w:pStyle w:val="Subheadings"/>
      </w:pPr>
      <w:r>
        <w:t>Background</w:t>
      </w:r>
    </w:p>
    <w:p>
      <w:pPr>
        <w:jc w:val="both"/>
      </w:pPr>
      <w:r>
        <w:rPr>
          <w:b w:val="0"/>
          <w:i w:val="0"/>
        </w:rPr>
        <w:t>Enteric methane, produced during rumen fermentation and released mainly by eructation, is a major challenge for environmentally sustainable ruminant production. Genetic selection can deliver long-term and cumulative reductions in emissions; however, methane production is positively correlated with key performance traits such as feed intake, body size and growth. Ratio- and residual-based methane definitions have therefore been proposed. The objectives of this study were to estimate genetic parameters for a range of alternative methane trait definitions in sheep, to characterise the genetic and phenotypic relationships between them and with key production traits, and to examine their use in a selection index.</w:t>
      </w:r>
    </w:p>
    <w:p>
      <w:pPr>
        <w:pStyle w:val="Subheadings"/>
      </w:pPr>
      <w:r>
        <w:t>Results</w:t>
      </w:r>
    </w:p>
    <w:p>
      <w:pPr>
        <w:jc w:val="both"/>
      </w:pPr>
      <w:r>
        <w:rPr>
          <w:b w:val="0"/>
          <w:i w:val="0"/>
        </w:rPr>
        <w:t xml:space="preserve">In total, 16,535 methane (CH₄) records from 8,354 sheep across 132 Irish flocks were analysed. </w:t>
      </w:r>
      <w:r>
        <w:rPr>
          <w:b w:val="0"/>
          <w:i w:val="0"/>
          <w:highlight w:val="yellow"/>
        </w:rPr>
        <w:t>Alternative methane traits were defined as ratios of methane relative to metabolic body weight (MBW), average daily gain (ADG), muscle mass and rumen volume, and as residuals of methane regressed on these traits.</w:t>
      </w:r>
      <w:r>
        <w:rPr>
          <w:b w:val="0"/>
          <w:i w:val="0"/>
        </w:rPr>
        <w:t xml:space="preserve"> Heritability estimates ranged from 0.12 to 0.46. Daily methane was positively genetically correlated with MBW (rg = 0.72), live weight (0.71) and ADG (0.51). Ratio and residual definitions were negatively genetically correlated with their denominator or adjustment traits, while the residual traits remained strongly genetically correlated with absolute methane (rg = 0.78–1.00). In a selection index of CH₄, MBW and carbon dioxide (CO₂), a favourable response, reducing methane by 0.61 g day⁻¹ with no decline in MBW or CO₂, was reached from every methane trait once appropriate weights on MBW and CO₂ were included in the breeding goal, so the weighting rather than the trait definition determined the outcome.</w:t>
      </w:r>
    </w:p>
    <w:p>
      <w:pPr>
        <w:pStyle w:val="Subheadings"/>
      </w:pPr>
      <w:r>
        <w:t>Conclusions</w:t>
      </w:r>
    </w:p>
    <w:p>
      <w:pPr>
        <w:jc w:val="both"/>
      </w:pPr>
      <w:r>
        <w:rPr>
          <w:b w:val="0"/>
          <w:i w:val="0"/>
        </w:rPr>
        <w:t>Methane in sheep shows meaningful additive genetic variation across trait definitions. Ratio and residual methane traits remained strongly genetically correlated with absolute methane but differed in their genetic relationships with body size and growth, and therefore in the correlated responses expected in production traits. Methane can be reduced within a selection index without undesirable responses in other important traits, but the outcome is determined by how methane and these traits are weighted in the breeding goal rather than by the choice of methane trait definition.</w:t>
      </w:r>
    </w:p>
    <w:p>
      <w:r>
        <w:rPr>
          <w:b/>
          <w:i w:val="0"/>
          <w:sz w:val="36"/>
        </w:rPr>
        <w:t>Background</w:t>
      </w:r>
    </w:p>
    <w:p>
      <w:pPr>
        <w:jc w:val="both"/>
      </w:pPr>
      <w:r>
        <w:rPr>
          <w:b w:val="0"/>
          <w:i w:val="0"/>
          <w:highlight w:val="yellow"/>
        </w:rPr>
        <w:t>Reducing greenhouse gas emissions from ruminant livestock has become a priority for greenhouse gas mitigation strategies worldwide.</w:t>
      </w:r>
      <w:r>
        <w:rPr>
          <w:b w:val="0"/>
          <w:i w:val="0"/>
        </w:rPr>
        <w:t xml:space="preserve"> Enteric methane emissions (hereafter referred to as methane emissions), produced during rumen fermentation, contribute approximately 30% of global anthropogenic methane emissions {FAO, 2023 #174}, making it one of the largest and most challenging emission sources to address {Roques, 2024 #161}. At the same time, rising global demand for animal-sourced protein also places increasing pressure on ruminant production systems to deliver sustained reductions in emissions without compromising productivity {Makkar, 2018 #140}. The trade-off between greenhouse gas mitigation and food production is particularly evident in grass-based systems, such as Ireland, where agriculture is the largest single sector source of national greenhouse gas emissions, with methane from enteric fermentation in cattle and sheep the dominant gas {EPA, 2024 #141}. Concurrently, despite this high sectoral methane output, </w:t>
      </w:r>
      <w:r>
        <w:rPr>
          <w:b w:val="0"/>
          <w:i w:val="0"/>
          <w:highlight w:val="yellow"/>
        </w:rPr>
        <w:t>Ireland ranks among the most carbon-efficient regions globally for ruminant production when evaluated on a per-kilogram-of-product basis {O′Mara, 2021 #142; Shalloo, 2024 #143}.</w:t>
      </w:r>
      <w:r>
        <w:rPr>
          <w:b w:val="0"/>
          <w:i w:val="0"/>
        </w:rPr>
        <w:t xml:space="preserve"> This places particular emphasis on mitigation strategies capable of delivering sustained reductions in enteric methane emissions without reducing productivity or altering the fundamental structure of pasture-based systems.</w:t>
      </w:r>
    </w:p>
    <w:p>
      <w:pPr>
        <w:jc w:val="both"/>
      </w:pPr>
      <w:r>
        <w:rPr>
          <w:b w:val="0"/>
          <w:i w:val="0"/>
        </w:rPr>
        <w:t>Genetic selection for low-emitting animals has emerged as one of the most promising of these methane mitigation strategies, with moderate heritability reported for methane production {Ryan, 2025 #146} and the cumulative, long term nature of genetic gain {Rowe, 2022 #147; Kamalanathan, 2023 #159}. The recent development of high-throughput phenotyping technologies, most notably portable accumulation chambers (PACs), has enabled routine, large-scale collection of individual-animal methane phenotypes across both research and commercial flocks {Jonker, 2018 #99; Wahinya, 2022 #281}. Portable accumulation chambers are portable and low-cost, allowing groups of animals to be measured in about an hour under field conditions {Goopy, 2016; Robinson, 2015 #278}. Methane measurements from PACs have been shown to be heritable (0.13–0.20 in grazing sheep) {Jonker, 2018 #99; Goopy, 2016; Wahinya, 2022 #281} and genetically correlated with respiration chamber (RC) methane (rg = 0.62–1.00) {Jonker, 2018 #99; Robinson, 2020 #102}. PACs also record carbon dioxide (CO₂), which has been shown to be positively correlated with feed intake and offers a proxy for intake in grazing animals, where it cannot be measured in large numbers directly {Robinson, 2016 #279}. Although PACs provide a short spot measurement taken after feed withdrawal and so show lower repeatability than RCs {Jonker, 2018 #99; Robinson, 2015 #278}, they have been shown to rank animals accurately {Levrault, 2023 #229} and consistently across grazing and controlled environments {Wahinya, 2022 #281}. As genetic selection depends on ranking animals correctly rather than on absolute emission values, PACs are well suited to large-scale genetic evaluation of methane in sheep {Jonker, 2018 #99; Wahinya, 2022 #281}. Methane production has also been shown to have strong (positive) genetic and phenotypic correlations with key production traits such as body weight, growth, and feed intake {Ryan, 2025 #146; Bird-Gardiner, 2017 #65; Crowley, 2024 #70; Crowley, 2026 #169}. As a result, direct selection for reduced absolute methane emissions risks inadvertently constraining animal performance.</w:t>
      </w:r>
    </w:p>
    <w:p>
      <w:pPr>
        <w:jc w:val="both"/>
      </w:pPr>
      <w:r>
        <w:rPr>
          <w:b w:val="0"/>
          <w:i w:val="0"/>
        </w:rPr>
        <w:t>The development of alternative methane trait definitions allows emissions to be quantified in a way that is less directly tied to an animal's body size and growth. Traits such as methane intensity, methane yield, and residual methane express emissions relative to an animal's metabolic demands or level of performance {Crowley, 2024 #70; Smith, 2021 #79}. These traits can identify animals that emit less methane than expected for their level of productivity and have therefore been proposed as a potential means of mitigating unfavourable genetic correlations between methane production and key production traits {Manzanilla-Pech, 2022 #148; Manzanilla-Pech, 2021 #289}. Phenotypic analyses have shown that these alternative methane metrics can differ substantially in their relationships with production traits and with each other {Kelly, 2026 #187}. Both ratio and residual methane traits present known theoretical limitations, and, as noted by Lassen and Difford {Lassen, 2020 #175}, the genetic parameters of these alternative definitions remain underexplored. The present study therefore estimates genetic parameters for alternative methane traits in sheep, including their relationships with each other and with key production traits, and explores how they respond to selection.</w:t>
      </w:r>
    </w:p>
    <w:p>
      <w:r>
        <w:rPr>
          <w:b/>
          <w:i w:val="0"/>
          <w:sz w:val="36"/>
        </w:rPr>
        <w:t>Methods</w:t>
      </w:r>
    </w:p>
    <w:p>
      <w:pPr>
        <w:pStyle w:val="Subheadings"/>
        <w:jc w:val="both"/>
      </w:pPr>
      <w:r>
        <w:rPr>
          <w:b w:val="0"/>
          <w:i w:val="0"/>
        </w:rPr>
        <w:t>Gaseous emissions data</w:t>
      </w:r>
    </w:p>
    <w:p>
      <w:pPr>
        <w:jc w:val="both"/>
      </w:pPr>
      <w:r>
        <w:rPr>
          <w:b w:val="0"/>
          <w:i w:val="0"/>
        </w:rPr>
        <w:t>A total of 16,535 methane measurements were obtained from 8,354 sheep across 132 research and commercial flocks in Ireland between 2019 and 2025. Methane measurements were recorded using PACs following the protocol described by O'Connor et al. {O'Connor, 2021 #23}. Animals were removed from feed at least one hour prior to measurement. Each animal was then randomly assigned to one of twelve PAC units. Once the chamber was sealed, gas concentrations were measured at entry and again after a 50-minute accumulation period using an RKI Eagle 2 gas monitor (Weatherall Equipment and Instruments Ltd., UK). Concentration changes for methane (CH₄) and carbon dioxide (CO₂) were converted to daily output (g day⁻¹) using chamber-specific calibration equations.</w:t>
      </w:r>
    </w:p>
    <w:p>
      <w:pPr>
        <w:jc w:val="both"/>
      </w:pPr>
      <w:r>
        <w:rPr>
          <w:b w:val="0"/>
          <w:i w:val="0"/>
        </w:rPr>
        <w:t>Methane (g day⁻¹) and carbon dioxide production (g day⁻¹) measurements were first screened for outliers using a 1.5 × interquartile range criterion applied separately to both gases (n = 511 (3.09%) gaseous records removed). All gaseous records were assigned to a contemporary group of date of measurement, flock, and PAC measurement group (i.e., the same 12 animals measured at the same time-point). Only contemporary groups with at least 5 animals were retained, leaving 15,869 records from 8,185 animals.</w:t>
      </w:r>
    </w:p>
    <w:p>
      <w:pPr>
        <w:jc w:val="both"/>
      </w:pPr>
      <w:r>
        <w:rPr>
          <w:b w:val="0"/>
          <w:i w:val="0"/>
        </w:rPr>
        <w:t>Measurements were collected across multiple physiological stages, including lambs (both sexes, 63 to 365 days of age; 5,564 records from 3,034 animals), hoggets (nulliparous females aged 365 to 600 days; 1,812 records from 1,271 animals), and mature ewes (females with a recorded lambing event aged 431 days to 10.5 years; 7,828 records from 4,327 animals). A total of 25.40% of animals had multiple methane records both within or across physiological stages.</w:t>
      </w:r>
    </w:p>
    <w:p>
      <w:pPr>
        <w:pStyle w:val="Subheadings"/>
        <w:jc w:val="both"/>
      </w:pPr>
      <w:r>
        <w:rPr>
          <w:b w:val="0"/>
          <w:i w:val="0"/>
        </w:rPr>
        <w:t>Additional phenotypic data</w:t>
      </w:r>
    </w:p>
    <w:p>
      <w:pPr>
        <w:jc w:val="both"/>
      </w:pPr>
      <w:r>
        <w:rPr>
          <w:b w:val="0"/>
          <w:i w:val="0"/>
        </w:rPr>
        <w:t>Additional phenotypic measurements were available for animals with methane records; these included live weight, average daily gain (ADG), muscle mass, and rumen volume, and were used to derive alternative methane traits.</w:t>
      </w:r>
    </w:p>
    <w:p>
      <w:pPr>
        <w:pStyle w:val="Sub-subheading"/>
      </w:pPr>
      <w:r>
        <w:t>Live weight</w:t>
      </w:r>
    </w:p>
    <w:p>
      <w:pPr>
        <w:jc w:val="both"/>
      </w:pPr>
      <w:r>
        <w:rPr>
          <w:b w:val="0"/>
          <w:i w:val="0"/>
        </w:rPr>
        <w:t>Live weight was recorded immediately prior to PAC measurement using a Prattley electronic weighing scale (O'Donovan Engineering Co. Ltd., Cork, Ireland) and was subjected to outlier removal (1.5 × interquartile range criterion). Metabolic body weight (live weight⁰·⁷⁵) was also derived for each animal. A total of 15,638 records from 8,002 animals were available for analysis.</w:t>
      </w:r>
    </w:p>
    <w:p>
      <w:pPr>
        <w:pStyle w:val="Sub-subheading"/>
      </w:pPr>
      <w:r>
        <w:t>Average daily gain</w:t>
      </w:r>
    </w:p>
    <w:p>
      <w:pPr>
        <w:jc w:val="both"/>
      </w:pPr>
      <w:r>
        <w:rPr>
          <w:b w:val="0"/>
          <w:i w:val="0"/>
        </w:rPr>
        <w:t>Average daily gain was derived for growing animals only (i.e. animals &lt;660 days of age). All individual animal live weight records were obtained from the national sheep database operated by Sheep Ireland. For each methane measurement, live weights recorded within ±120 days of the PAC measurement date were considered. Average daily gain surrounding each methane measurement was estimated by fitting a linear regression of live weight on age in days, with the regression slope retained as the estimate of ADG (kg day⁻¹). A total of 4,316 ADG estimates were available from 2,658 growing animals after outlier removal (1.5 × interquartile range criterion).</w:t>
      </w:r>
    </w:p>
    <w:p>
      <w:pPr>
        <w:pStyle w:val="Sub-subheading"/>
      </w:pPr>
      <w:r>
        <w:t>Rumen volume and muscle mass</w:t>
      </w:r>
    </w:p>
    <w:p>
      <w:pPr>
        <w:jc w:val="both"/>
      </w:pPr>
      <w:r>
        <w:rPr>
          <w:b w:val="0"/>
          <w:i w:val="0"/>
        </w:rPr>
        <w:t>Individual animal computed tomography (CT) scan measurements taken within ±3 days of methane measurement were also available on a subset of animals. Computed tomography provides in vivo estimates of carcass tissue composition by classifying pixels in cross-sectional X-ray images according to their density, allowing fat, muscle and bone tissues to be quantified non-invasively as described by Clelland et al. {Clelland, 2014 #75}. From these scans, estimates of rumen volume (litres) and muscle mass (kg) were available. Following outlier screening (1.5 × interquartile range criterion), 766 CT measurements were available for both rumen volume (746 animals) and muscle mass (751 animals).</w:t>
      </w:r>
    </w:p>
    <w:p>
      <w:pPr>
        <w:pStyle w:val="Sub-subheading"/>
      </w:pPr>
      <w:r>
        <w:t>Additional data</w:t>
      </w:r>
    </w:p>
    <w:p>
      <w:pPr>
        <w:jc w:val="both"/>
      </w:pPr>
      <w:r>
        <w:rPr>
          <w:b w:val="0"/>
          <w:i w:val="0"/>
        </w:rPr>
        <w:t>Auxiliary data relating to animal age, breed composition, animal heterosis and recombination loss, and birth and rearing type were also available. The breed proportion of each animal for the six breeds with the greatest number of methane phenotypes (i.e., Belclare, Charolais, Cheviot, Suffolk, Lleyn, and Texel) was also calculated, together with the combined proportion of all other or unknown breeds. The general heterosis and recombination loss coefficients for each animal were also included {VanRaden, 1992 #122; VanRaden, 2003 #124}:</w:t>
      </w:r>
    </w:p>
    <w:p>
      <w:pPr>
        <w:jc w:val="center"/>
      </w:pPr>
      <w:r>
        <w:rPr>
          <w:b w:val="0"/>
          <w:i/>
          <w:sz w:val="23"/>
        </w:rPr>
        <w:t>het = 1 − Σ</w:t>
      </w:r>
      <w:r>
        <w:rPr>
          <w:b w:val="0"/>
          <w:i/>
          <w:sz w:val="23"/>
          <w:vertAlign w:val="subscript"/>
        </w:rPr>
        <w:t>i=1</w:t>
      </w:r>
      <w:r>
        <w:rPr>
          <w:b w:val="0"/>
          <w:i/>
          <w:sz w:val="23"/>
          <w:vertAlign w:val="superscript"/>
        </w:rPr>
        <w:t>n</w:t>
      </w:r>
      <w:r>
        <w:rPr>
          <w:b w:val="0"/>
          <w:i/>
          <w:sz w:val="23"/>
        </w:rPr>
        <w:t xml:space="preserve"> sire</w:t>
      </w:r>
      <w:r>
        <w:rPr>
          <w:b w:val="0"/>
          <w:i/>
          <w:sz w:val="23"/>
          <w:vertAlign w:val="subscript"/>
        </w:rPr>
        <w:t>i</w:t>
      </w:r>
      <w:r>
        <w:rPr>
          <w:b w:val="0"/>
          <w:i/>
          <w:sz w:val="23"/>
        </w:rPr>
        <w:t xml:space="preserve"> × dam</w:t>
      </w:r>
      <w:r>
        <w:rPr>
          <w:b w:val="0"/>
          <w:i/>
          <w:sz w:val="23"/>
          <w:vertAlign w:val="subscript"/>
        </w:rPr>
        <w:t>i</w:t>
      </w:r>
    </w:p>
    <w:p>
      <w:pPr>
        <w:jc w:val="center"/>
      </w:pPr>
      <w:r>
        <w:rPr>
          <w:b w:val="0"/>
          <w:i/>
          <w:sz w:val="23"/>
        </w:rPr>
        <w:t>rec = 1 − Σ</w:t>
      </w:r>
      <w:r>
        <w:rPr>
          <w:b w:val="0"/>
          <w:i/>
          <w:sz w:val="23"/>
          <w:vertAlign w:val="subscript"/>
        </w:rPr>
        <w:t>i=1</w:t>
      </w:r>
      <w:r>
        <w:rPr>
          <w:b w:val="0"/>
          <w:i/>
          <w:sz w:val="23"/>
          <w:vertAlign w:val="superscript"/>
        </w:rPr>
        <w:t>n</w:t>
      </w:r>
      <w:r>
        <w:rPr>
          <w:b w:val="0"/>
          <w:i/>
          <w:sz w:val="23"/>
        </w:rPr>
        <w:t xml:space="preserve"> (sire</w:t>
      </w:r>
      <w:r>
        <w:rPr>
          <w:b w:val="0"/>
          <w:i/>
          <w:sz w:val="23"/>
          <w:vertAlign w:val="subscript"/>
        </w:rPr>
        <w:t>i</w:t>
      </w:r>
      <w:r>
        <w:rPr>
          <w:b w:val="0"/>
          <w:i/>
          <w:sz w:val="23"/>
          <w:vertAlign w:val="superscript"/>
        </w:rPr>
        <w:t>2</w:t>
      </w:r>
      <w:r>
        <w:rPr>
          <w:b w:val="0"/>
          <w:i/>
          <w:sz w:val="23"/>
        </w:rPr>
        <w:t xml:space="preserve"> + dam</w:t>
      </w:r>
      <w:r>
        <w:rPr>
          <w:b w:val="0"/>
          <w:i/>
          <w:sz w:val="23"/>
          <w:vertAlign w:val="subscript"/>
        </w:rPr>
        <w:t>i</w:t>
      </w:r>
      <w:r>
        <w:rPr>
          <w:b w:val="0"/>
          <w:i/>
          <w:sz w:val="23"/>
          <w:vertAlign w:val="superscript"/>
        </w:rPr>
        <w:t>2</w:t>
      </w:r>
      <w:r>
        <w:rPr>
          <w:b w:val="0"/>
          <w:i/>
          <w:sz w:val="23"/>
        </w:rPr>
        <w:t>) / 2</w:t>
      </w:r>
    </w:p>
    <w:p>
      <w:pPr>
        <w:jc w:val="both"/>
      </w:pPr>
      <w:r>
        <w:rPr>
          <w:b w:val="0"/>
          <w:i w:val="0"/>
        </w:rPr>
        <w:t>where sireᵢ and damᵢ are the proportion of breed i in the sire and dam, respectively. For all growing animals the birth litter size (defined as whether the lamb was born as a single, twin, triplet or quadruplet), rearing litter size (defined as whether the lamb was reared as a single, twin or triplet), and dam parity (defined as 1, 2, 3, 4, 5, 6 or ≥7) were available. For ewes the birth and rearing type corresponding to the litter born to the ewe for the year of measurement were also available.</w:t>
      </w:r>
    </w:p>
    <w:p>
      <w:pPr>
        <w:pStyle w:val="Subheadings"/>
        <w:jc w:val="both"/>
      </w:pPr>
      <w:r>
        <w:rPr>
          <w:b w:val="0"/>
          <w:i w:val="0"/>
        </w:rPr>
        <w:t>Methane trait definitions</w:t>
      </w:r>
    </w:p>
    <w:p>
      <w:pPr>
        <w:jc w:val="both"/>
      </w:pPr>
      <w:r>
        <w:rPr>
          <w:b w:val="0"/>
          <w:i w:val="0"/>
        </w:rPr>
        <w:t>A suite of methane and CO₂ traits was constructed (Table 1), comprising absolute gas traits (daily CH₄ and CO₂ production) and two groups of alternative methane traits: ratio-based traits and residual traits. In addition to daily (absolute) methane production (CH₄, g day⁻¹), a series of alternative methane traits were investigated, including ratio traits, where CH₄ was divided by a production or physiological trait, and residual traits, where CH₄ was regressed on one or more of these traits.</w:t>
      </w:r>
    </w:p>
    <w:p>
      <w:pPr>
        <w:pStyle w:val="Sub-subheading"/>
      </w:pPr>
      <w:r>
        <w:t>Absolute Gas Production</w:t>
      </w:r>
    </w:p>
    <w:p>
      <w:pPr>
        <w:jc w:val="both"/>
      </w:pPr>
      <w:r>
        <w:rPr>
          <w:b w:val="0"/>
          <w:i w:val="0"/>
        </w:rPr>
        <w:t xml:space="preserve">Methane production (CH₄) measured in g day⁻¹ </w:t>
      </w:r>
      <w:r>
        <w:rPr>
          <w:b w:val="0"/>
          <w:i w:val="0"/>
          <w:highlight w:val="yellow"/>
        </w:rPr>
        <w:t>represented the total mass of enteric methane, released via eructation during rumen fermentation,</w:t>
      </w:r>
      <w:r>
        <w:rPr>
          <w:b w:val="0"/>
          <w:i w:val="0"/>
        </w:rPr>
        <w:t xml:space="preserve"> emitted per animal per day as captured by PAC measurement. </w:t>
      </w:r>
      <w:r>
        <w:rPr>
          <w:b w:val="0"/>
          <w:i w:val="0"/>
          <w:highlight w:val="yellow"/>
        </w:rPr>
        <w:t>Carbon dioxide production (CO₂), measured concurrently on the same PAC record and also expressed in g day⁻¹, was also analysed.</w:t>
      </w:r>
    </w:p>
    <w:p>
      <w:pPr>
        <w:pStyle w:val="Sub-subheading"/>
      </w:pPr>
      <w:r>
        <w:t>Ratio-Based Methane Traits</w:t>
      </w:r>
    </w:p>
    <w:p>
      <w:pPr>
        <w:jc w:val="both"/>
      </w:pPr>
      <w:r>
        <w:rPr>
          <w:b w:val="0"/>
          <w:i w:val="0"/>
        </w:rPr>
        <w:t>For all animals, two ratio traits were calculated: methane per kg of metabolic body weight, representing methane intensity (CH₄/MBW; g day⁻¹ kg⁻⁰·⁷⁵), and the other representing methane as a proportion of total methane and carbon dioxide production (CH₄ ratio). CH₄ ratio was calculated on a mass basis (g/g) as CH₄/(CH₄+CO₂), with both gases expressed in g day⁻¹. For growing animals only, an additional three ratio traits were also computed: methane per kg of average daily gain (CH₄/ADG; g kg⁻¹), methane per kg muscle mass (CH₄/MM; g day⁻¹ kg⁻¹), and methane per litre rumen volume (CH₄/rumen; g day⁻¹ L⁻¹).</w:t>
      </w:r>
    </w:p>
    <w:p>
      <w:pPr>
        <w:pStyle w:val="Sub-subheading"/>
      </w:pPr>
      <w:r>
        <w:t>Residual Methane Traits</w:t>
      </w:r>
    </w:p>
    <w:p>
      <w:pPr>
        <w:jc w:val="both"/>
      </w:pPr>
      <w:r>
        <w:rPr>
          <w:b w:val="0"/>
          <w:i w:val="0"/>
        </w:rPr>
        <w:t>Three residual methane traits (RMT) were derived: methane adjusted for metabolic body weight (RMTMBW), methane adjusted for metabolic body weight and carbon dioxide production (RMTMBW+CO₂), and methane adjusted for average daily gain (RMTADG; calculated in growing animals only). Residual methane traits were generated by regressing daily methane production (g day⁻¹) on the production trait of interest (metabolic body weight, carbon dioxide production; and where available, average daily gain). The residuals from each regression were extracted and used as the phenotype for the corresponding residual methane trait.</w:t>
      </w:r>
    </w:p>
    <w:p>
      <w:pPr>
        <w:pStyle w:val="Subheadings"/>
        <w:jc w:val="both"/>
      </w:pPr>
      <w:r>
        <w:rPr>
          <w:b w:val="0"/>
          <w:i w:val="0"/>
        </w:rPr>
        <w:t>Genetic analysis</w:t>
      </w:r>
    </w:p>
    <w:p>
      <w:pPr>
        <w:jc w:val="both"/>
      </w:pPr>
      <w:r>
        <w:rPr>
          <w:b w:val="0"/>
          <w:i w:val="0"/>
        </w:rPr>
        <w:t>Variance components for all alternative methane traits were estimated using pedigree-based animal models fitted in ASReml version 4.2 {Gilmour, 2021 #155}. Pedigree records were available for 36,449 animals (all phenotyped animals plus their recursively traced ancestors) and were used to define the additive genetic relationships among animals; 100% of phenotyped animals were represented in the pedigree, 88.5% had both parents known, the pedigree comprised 1,025 unique sires with a mean pedigree depth of 17.6 generations, and 73.1% of sires linked in at least two contemporary groups. All methane traits were analysed using the following linear mixed animal model:</w:t>
      </w:r>
    </w:p>
    <w:p>
      <w:pPr>
        <w:jc w:val="both"/>
      </w:pPr>
      <w:r>
        <w:rPr>
          <w:b w:val="0"/>
          <w:i/>
        </w:rPr>
        <w:t>y = μ + sex + BR + CL + CV + LY + SU + TX + UN + het + rec + age + BTg + RTg + BTₑ + RTₑ + DP + CG + a + pe + e</w:t>
      </w:r>
    </w:p>
    <w:p>
      <w:pPr>
        <w:jc w:val="both"/>
      </w:pPr>
      <w:r>
        <w:rPr>
          <w:b w:val="0"/>
          <w:i w:val="0"/>
        </w:rPr>
        <w:t xml:space="preserve">where </w:t>
      </w:r>
      <w:r>
        <w:rPr>
          <w:b w:val="0"/>
          <w:i/>
        </w:rPr>
        <w:t>y</w:t>
      </w:r>
      <w:r>
        <w:rPr>
          <w:b w:val="0"/>
          <w:i w:val="0"/>
        </w:rPr>
        <w:t xml:space="preserve"> was the phenotypic observation for the methane trait under analysis; </w:t>
      </w:r>
      <w:r>
        <w:rPr>
          <w:b w:val="0"/>
          <w:i/>
        </w:rPr>
        <w:t>μ</w:t>
      </w:r>
      <w:r>
        <w:rPr>
          <w:b w:val="0"/>
          <w:i w:val="0"/>
        </w:rPr>
        <w:t xml:space="preserve"> was the overall mean; </w:t>
      </w:r>
      <w:r>
        <w:rPr>
          <w:b w:val="0"/>
          <w:i/>
        </w:rPr>
        <w:t>sex</w:t>
      </w:r>
      <w:r>
        <w:rPr>
          <w:b w:val="0"/>
          <w:i w:val="0"/>
        </w:rPr>
        <w:t xml:space="preserve"> was the fixed class effect of sex (male or female); the fixed effects for breed proportion corresponding to Belclare (</w:t>
      </w:r>
      <w:r>
        <w:rPr>
          <w:b w:val="0"/>
          <w:i/>
        </w:rPr>
        <w:t>BR</w:t>
      </w:r>
      <w:r>
        <w:rPr>
          <w:b w:val="0"/>
          <w:i w:val="0"/>
        </w:rPr>
        <w:t>), Charolais (</w:t>
      </w:r>
      <w:r>
        <w:rPr>
          <w:b w:val="0"/>
          <w:i/>
        </w:rPr>
        <w:t>CL</w:t>
      </w:r>
      <w:r>
        <w:rPr>
          <w:b w:val="0"/>
          <w:i w:val="0"/>
        </w:rPr>
        <w:t>), Cheviot (</w:t>
      </w:r>
      <w:r>
        <w:rPr>
          <w:b w:val="0"/>
          <w:i/>
        </w:rPr>
        <w:t>CV</w:t>
      </w:r>
      <w:r>
        <w:rPr>
          <w:b w:val="0"/>
          <w:i w:val="0"/>
        </w:rPr>
        <w:t>), Lleyn (</w:t>
      </w:r>
      <w:r>
        <w:rPr>
          <w:b w:val="0"/>
          <w:i/>
        </w:rPr>
        <w:t>LY</w:t>
      </w:r>
      <w:r>
        <w:rPr>
          <w:b w:val="0"/>
          <w:i w:val="0"/>
        </w:rPr>
        <w:t>), Suffolk (</w:t>
      </w:r>
      <w:r>
        <w:rPr>
          <w:b w:val="0"/>
          <w:i/>
        </w:rPr>
        <w:t>SU</w:t>
      </w:r>
      <w:r>
        <w:rPr>
          <w:b w:val="0"/>
          <w:i w:val="0"/>
        </w:rPr>
        <w:t>), Texel (</w:t>
      </w:r>
      <w:r>
        <w:rPr>
          <w:b w:val="0"/>
          <w:i/>
        </w:rPr>
        <w:t>TX</w:t>
      </w:r>
      <w:r>
        <w:rPr>
          <w:b w:val="0"/>
          <w:i w:val="0"/>
        </w:rPr>
        <w:t xml:space="preserve">), </w:t>
      </w:r>
      <w:r>
        <w:rPr>
          <w:b w:val="0"/>
          <w:i w:val="0"/>
          <w:highlight w:val="yellow"/>
        </w:rPr>
        <w:t>and the combined proportion of all other or unknown breeds (</w:t>
      </w:r>
      <w:r>
        <w:rPr>
          <w:b w:val="0"/>
          <w:i/>
          <w:highlight w:val="yellow"/>
        </w:rPr>
        <w:t>UN</w:t>
      </w:r>
      <w:r>
        <w:rPr>
          <w:b w:val="0"/>
          <w:i w:val="0"/>
          <w:highlight w:val="yellow"/>
        </w:rPr>
        <w:t>)</w:t>
      </w:r>
      <w:r>
        <w:rPr>
          <w:b w:val="0"/>
          <w:i w:val="0"/>
        </w:rPr>
        <w:t xml:space="preserve">, were included as covariates; </w:t>
      </w:r>
      <w:r>
        <w:rPr>
          <w:b w:val="0"/>
          <w:i/>
        </w:rPr>
        <w:t>het</w:t>
      </w:r>
      <w:r>
        <w:rPr>
          <w:b w:val="0"/>
          <w:i w:val="0"/>
        </w:rPr>
        <w:t xml:space="preserve"> was the heterosis coefficient; </w:t>
      </w:r>
      <w:r>
        <w:rPr>
          <w:b w:val="0"/>
          <w:i/>
        </w:rPr>
        <w:t>rec</w:t>
      </w:r>
      <w:r>
        <w:rPr>
          <w:b w:val="0"/>
          <w:i w:val="0"/>
        </w:rPr>
        <w:t xml:space="preserve"> was the recombination loss coefficient; </w:t>
      </w:r>
      <w:r>
        <w:rPr>
          <w:b w:val="0"/>
          <w:i/>
        </w:rPr>
        <w:t>age</w:t>
      </w:r>
      <w:r>
        <w:rPr>
          <w:b w:val="0"/>
          <w:i w:val="0"/>
        </w:rPr>
        <w:t xml:space="preserve"> was the age at measurement (weeks of age); </w:t>
      </w:r>
      <w:r>
        <w:rPr>
          <w:b w:val="0"/>
          <w:i/>
        </w:rPr>
        <w:t>BTg</w:t>
      </w:r>
      <w:r>
        <w:rPr>
          <w:b w:val="0"/>
          <w:i w:val="0"/>
        </w:rPr>
        <w:t xml:space="preserve"> was the fixed class effect of birth litter size of the growing animal itself (single, twin, triplet or quadruplet); </w:t>
      </w:r>
      <w:r>
        <w:rPr>
          <w:b w:val="0"/>
          <w:i/>
        </w:rPr>
        <w:t>RTg</w:t>
      </w:r>
      <w:r>
        <w:rPr>
          <w:b w:val="0"/>
          <w:i w:val="0"/>
        </w:rPr>
        <w:t xml:space="preserve"> was the fixed class effect of rearing litter size of the growing animal itself (single, twin or triplet); </w:t>
      </w:r>
      <w:r>
        <w:rPr>
          <w:b w:val="0"/>
          <w:i/>
        </w:rPr>
        <w:t>BTe</w:t>
      </w:r>
      <w:r>
        <w:rPr>
          <w:b w:val="0"/>
          <w:i w:val="0"/>
        </w:rPr>
        <w:t xml:space="preserve"> was the fixed class effect of birth litter size recorded for the ewe in the year of measurement (single, twin, triplet or quadruplet); </w:t>
      </w:r>
      <w:r>
        <w:rPr>
          <w:b w:val="0"/>
          <w:i/>
        </w:rPr>
        <w:t>RTe</w:t>
      </w:r>
      <w:r>
        <w:rPr>
          <w:b w:val="0"/>
          <w:i w:val="0"/>
        </w:rPr>
        <w:t xml:space="preserve"> was the fixed class effect of rearing litter size recorded for the ewe in the year of measurement (single, twin or triplet); </w:t>
      </w:r>
      <w:r>
        <w:rPr>
          <w:b w:val="0"/>
          <w:i/>
        </w:rPr>
        <w:t>DP</w:t>
      </w:r>
      <w:r>
        <w:rPr>
          <w:b w:val="0"/>
          <w:i w:val="0"/>
        </w:rPr>
        <w:t xml:space="preserve"> was the fixed class effect of dam parity for growing animals; </w:t>
      </w:r>
      <w:r>
        <w:rPr>
          <w:b w:val="0"/>
          <w:i/>
        </w:rPr>
        <w:t>CG</w:t>
      </w:r>
      <w:r>
        <w:rPr>
          <w:b w:val="0"/>
          <w:i w:val="0"/>
        </w:rPr>
        <w:t xml:space="preserve"> was the contemporary group fixed class effect of flock-date-lot of measurement; </w:t>
      </w:r>
      <w:r>
        <w:rPr>
          <w:b w:val="0"/>
          <w:i/>
        </w:rPr>
        <w:t>a</w:t>
      </w:r>
      <w:r>
        <w:rPr>
          <w:b w:val="0"/>
          <w:i w:val="0"/>
        </w:rPr>
        <w:t xml:space="preserve"> was the random animal additive genetic effect; </w:t>
      </w:r>
      <w:r>
        <w:rPr>
          <w:b w:val="0"/>
          <w:i/>
        </w:rPr>
        <w:t>pe</w:t>
      </w:r>
      <w:r>
        <w:rPr>
          <w:b w:val="0"/>
          <w:i w:val="0"/>
        </w:rPr>
        <w:t xml:space="preserve"> was the non-additive random animal permanent environmental effect; and </w:t>
      </w:r>
      <w:r>
        <w:rPr>
          <w:b w:val="0"/>
          <w:i/>
        </w:rPr>
        <w:t>e</w:t>
      </w:r>
      <w:r>
        <w:rPr>
          <w:b w:val="0"/>
          <w:i w:val="0"/>
        </w:rPr>
        <w:t xml:space="preserve"> was the residual random error term, where </w:t>
      </w:r>
      <w:r>
        <w:rPr>
          <w:b/>
          <w:i/>
        </w:rPr>
        <w:t>A</w:t>
      </w:r>
      <w:r>
        <w:rPr>
          <w:b w:val="0"/>
          <w:i w:val="0"/>
        </w:rPr>
        <w:t xml:space="preserve"> was the numerator relationship matrix, </w:t>
      </w:r>
      <w:r>
        <w:rPr>
          <w:b/>
          <w:i/>
        </w:rPr>
        <w:t>I</w:t>
      </w:r>
      <w:r>
        <w:rPr>
          <w:b w:val="0"/>
          <w:i w:val="0"/>
        </w:rPr>
        <w:t xml:space="preserve"> was the identity matrix, </w:t>
      </w:r>
      <w:r>
        <w:rPr>
          <w:b w:val="0"/>
          <w:i/>
        </w:rPr>
        <w:t>σ</w:t>
      </w:r>
      <w:r>
        <w:rPr>
          <w:b w:val="0"/>
          <w:i w:val="0"/>
        </w:rPr>
        <w:t xml:space="preserve">²ₐ was the direct additive genetic variance, </w:t>
      </w:r>
      <w:r>
        <w:rPr>
          <w:b w:val="0"/>
          <w:i/>
        </w:rPr>
        <w:t>σ</w:t>
      </w:r>
      <w:r>
        <w:rPr>
          <w:b w:val="0"/>
          <w:i w:val="0"/>
        </w:rPr>
        <w:t xml:space="preserve">²ₚₑ was the animal permanent environmental variance, and </w:t>
      </w:r>
      <w:r>
        <w:rPr>
          <w:b w:val="0"/>
          <w:i/>
        </w:rPr>
        <w:t>σ</w:t>
      </w:r>
      <w:r>
        <w:rPr>
          <w:b w:val="0"/>
          <w:i w:val="0"/>
        </w:rPr>
        <w:t>²ₑ was the residual variance.</w:t>
      </w:r>
    </w:p>
    <w:p>
      <w:pPr>
        <w:jc w:val="both"/>
      </w:pPr>
      <w:r>
        <w:rPr>
          <w:b w:val="0"/>
          <w:i w:val="0"/>
        </w:rPr>
        <w:t>This model described above was used for both univariate and bivariate analyses. As animals of different ages and sizes were recorded, residual variance was expected to differ between contemporary groups, increasing with the group mean {Meuwissen, 1996 #284}. To account for heterogeneous residual variance, contemporary groups within each flock were ranked by mean CH₄ and split into three classes (low, medium and high methane emitters), and a separate residual variance was fitted for each flock × class combination (41 classes; flocks with fewer than three contemporary groups contributed fewer classes). This heterogeneous residual model was used for CO₂ and for the five methane traits recorded across all physiological stages (CH₄, CH₄/MBW, CH₄ ratio, RMTMBW, RMTMBW+CO₂), and its estimates are reported for these traits, with heritability (h²) and repeatability (t) calculated for each class and averaged across classes weighted by the number of records. For the four traits restricted to a single physiological stage or the sparse computed-tomography subset (CH₄/ADG, CH₄/MM, CH₄/rumen, RMTADG), a single homogeneous residual variance was used. For CH₄/MM, CH₄/rumen and RMTADG, the permanent environmental effect was omitted from the model because of the small number of repeated records (the permanent environmental variance converged to zero). Bivariate analyses assumed a homogeneous residual variance.</w:t>
      </w:r>
    </w:p>
    <w:p>
      <w:pPr>
        <w:jc w:val="both"/>
      </w:pPr>
      <w:r>
        <w:rPr>
          <w:b w:val="0"/>
          <w:i w:val="0"/>
          <w:highlight w:val="yellow"/>
        </w:rPr>
        <w:t>Heritability (h²) and repeatability (t) were calculated as:</w:t>
      </w:r>
    </w:p>
    <w:p>
      <w:pPr>
        <w:jc w:val="center"/>
      </w:pPr>
      <w:r>
        <w:rPr>
          <w:b w:val="0"/>
          <w:i/>
          <w:sz w:val="23"/>
          <w:highlight w:val="yellow"/>
        </w:rPr>
        <w:t>h² = σ²ₐ / (σ²ₐ + σ²ₚₑ + σ²ₑ)</w:t>
      </w:r>
    </w:p>
    <w:p>
      <w:pPr>
        <w:jc w:val="center"/>
      </w:pPr>
      <w:r>
        <w:rPr>
          <w:b w:val="0"/>
          <w:i/>
          <w:sz w:val="23"/>
          <w:highlight w:val="yellow"/>
        </w:rPr>
        <w:t>t = (σ²ₐ + σ²ₚₑ) / (σ²ₐ + σ²ₚₑ + σ²ₑ)</w:t>
      </w:r>
    </w:p>
    <w:p>
      <w:pPr>
        <w:jc w:val="both"/>
      </w:pPr>
      <w:r>
        <w:rPr>
          <w:b w:val="0"/>
          <w:i w:val="0"/>
        </w:rPr>
        <w:t>where σ²ₐ, σ²ₚₑ and σ²ₑ are as defined above; where the permanent environmental effect was omitted, t is not reported. Genetic and phenotypic correlations were obtained from the corresponding fitted (co)variance components, with standard errors derived by the delta method; computations were implemented in R version 4.5.3 {R Core Team, 2024 #113}.</w:t>
      </w:r>
    </w:p>
    <w:p>
      <w:pPr>
        <w:pStyle w:val="Subheadings"/>
        <w:jc w:val="both"/>
      </w:pPr>
      <w:r>
        <w:rPr>
          <w:b w:val="0"/>
          <w:i w:val="0"/>
        </w:rPr>
        <w:t>Selection index analysis</w:t>
      </w:r>
    </w:p>
    <w:p>
      <w:pPr>
        <w:jc w:val="both"/>
      </w:pPr>
      <w:r>
        <w:rPr>
          <w:b w:val="0"/>
          <w:i w:val="0"/>
        </w:rPr>
        <w:t>To investigate the impact of methane traits on the response to selection, a selection index including CH₄, MBW and CO₂ was constructed. The selection index analysis examined how absolute, ratio and residual methane traits themselves operate within an index. The aim was to understand the behaviour of these traits, not to estimate the response to selection under a national breeding index.</w:t>
      </w:r>
    </w:p>
    <w:p>
      <w:pPr>
        <w:jc w:val="both"/>
      </w:pPr>
      <w:r>
        <w:rPr>
          <w:b w:val="0"/>
          <w:i w:val="0"/>
        </w:rPr>
        <w:t>Genetic parameters were taken from a trivariate animal model of CH₄, MBW and CO₂ fitted in ASReml {Gilmour, 2021 #155} to the same 15,869 records, with the fixed effects of the univariate model, and with animal permanent environmental effects assumed uncorrelated between traits. Phenotypic variances (σ²ₚ) are the sums of the additive, permanent environmental and residual components, and are therefore conditional on the fixed effects.</w:t>
      </w:r>
    </w:p>
    <w:p>
      <w:pPr>
        <w:jc w:val="both"/>
      </w:pPr>
      <w:r>
        <w:rPr>
          <w:b w:val="0"/>
          <w:i w:val="0"/>
        </w:rPr>
        <w:t xml:space="preserve">Index weights were derived using Smith–Hazel selection index theory {Smith, 1936 #151; Hazel, 1943 #162}, with CH₄, MBW and CO₂ recorded on each selection candidate. The index weights are </w:t>
      </w:r>
      <w:r>
        <w:rPr>
          <w:b/>
          <w:i w:val="0"/>
        </w:rPr>
        <w:t>b</w:t>
      </w:r>
      <w:r>
        <w:rPr>
          <w:b w:val="0"/>
          <w:i w:val="0"/>
        </w:rPr>
        <w:t xml:space="preserve"> = </w:t>
      </w:r>
      <w:r>
        <w:rPr>
          <w:b/>
          <w:i w:val="0"/>
        </w:rPr>
        <w:t>P⁻¹Ga</w:t>
      </w:r>
      <w:r>
        <w:rPr>
          <w:b w:val="0"/>
          <w:i w:val="0"/>
        </w:rPr>
        <w:t xml:space="preserve">, where </w:t>
      </w:r>
      <w:r>
        <w:rPr>
          <w:b/>
          <w:i w:val="0"/>
        </w:rPr>
        <w:t>P</w:t>
      </w:r>
      <w:r>
        <w:rPr>
          <w:b w:val="0"/>
          <w:i w:val="0"/>
        </w:rPr>
        <w:t xml:space="preserve"> and </w:t>
      </w:r>
      <w:r>
        <w:rPr>
          <w:b/>
          <w:i w:val="0"/>
        </w:rPr>
        <w:t>G</w:t>
      </w:r>
      <w:r>
        <w:rPr>
          <w:b w:val="0"/>
          <w:i w:val="0"/>
        </w:rPr>
        <w:t xml:space="preserve"> are the phenotypic and additive genetic (co)variance matrices of the three traits and </w:t>
      </w:r>
      <w:r>
        <w:rPr>
          <w:b/>
          <w:i w:val="0"/>
        </w:rPr>
        <w:t>a</w:t>
      </w:r>
      <w:r>
        <w:rPr>
          <w:b w:val="0"/>
          <w:i w:val="0"/>
        </w:rPr>
        <w:t xml:space="preserve"> contains the weight on each trait in the breeding goal. These goal weights are relative weights, not economic values: they define each methane trait as a combination of CH₄, MBW and CO₂, or are chosen to hold the MBW and CO₂ responses at zero, and only their ratios affect the index and responses. The predicted response in each trait is Δ</w:t>
      </w:r>
      <w:r>
        <w:rPr>
          <w:b w:val="0"/>
          <w:i/>
        </w:rPr>
        <w:t>G</w:t>
      </w:r>
      <w:r>
        <w:rPr>
          <w:b w:val="0"/>
          <w:i w:val="0"/>
        </w:rPr>
        <w:t xml:space="preserve"> = </w:t>
      </w:r>
      <w:r>
        <w:rPr>
          <w:b w:val="0"/>
          <w:i/>
        </w:rPr>
        <w:t>i</w:t>
      </w:r>
      <w:r>
        <w:rPr>
          <w:b w:val="0"/>
          <w:i w:val="0"/>
        </w:rPr>
        <w:t>·</w:t>
      </w:r>
      <w:r>
        <w:rPr>
          <w:b/>
          <w:i/>
        </w:rPr>
        <w:t>Gb</w:t>
      </w:r>
      <w:r>
        <w:rPr>
          <w:b w:val="0"/>
          <w:i w:val="0"/>
        </w:rPr>
        <w:t>/√(</w:t>
      </w:r>
      <w:r>
        <w:rPr>
          <w:b/>
          <w:i/>
        </w:rPr>
        <w:t>b</w:t>
      </w:r>
      <w:r>
        <w:rPr>
          <w:b w:val="0"/>
          <w:i w:val="0"/>
        </w:rPr>
        <w:t>′</w:t>
      </w:r>
      <w:r>
        <w:rPr>
          <w:b/>
          <w:i/>
        </w:rPr>
        <w:t>Pb</w:t>
      </w:r>
      <w:r>
        <w:rPr>
          <w:b w:val="0"/>
          <w:i w:val="0"/>
        </w:rPr>
        <w:t xml:space="preserve">), where </w:t>
      </w:r>
      <w:r>
        <w:rPr>
          <w:b w:val="0"/>
          <w:i/>
        </w:rPr>
        <w:t>i</w:t>
      </w:r>
      <w:r>
        <w:rPr>
          <w:b w:val="0"/>
          <w:i w:val="0"/>
        </w:rPr>
        <w:t xml:space="preserve"> is the selection intensity. Responses are reported per generation for a selection intensity (i) of 1. Responses for i = 1.7 (approximately the top 10% of candidates selected) and annual responses (assuming a generation interval of 2.8 years) are given in Supplementary Table S2.</w:t>
      </w:r>
    </w:p>
    <w:p>
      <w:pPr>
        <w:jc w:val="both"/>
      </w:pPr>
      <w:r>
        <w:rPr>
          <w:b w:val="0"/>
          <w:i w:val="0"/>
        </w:rPr>
        <w:t>Each methane trait was expressed as a breeding goal with weights on CH₄, MBW and CO₂. Absolute methane placed a weight on CH₄ only. The residual traits deducted MBW and CO₂ from CH₄ using either the genetic regression coefficients (genetic residual; 0.833 per kg⁰·⁷⁵ and −6.09×10⁻⁵ per g day⁻¹) or the phenotypic regression coefficients (phenotypic residual, corresponding to RMTMBW+CO₂; 0.423 per kg⁰·⁷⁵ and 0.00371 per g day⁻¹). The ratio traits CH₄/MBW and CH₄ ratio (CH₄/(CH₄+CO₂)) were linearised around the trait means using a first-order Taylor series approximation {Gunsett, 1984 #285; Lin, 2013 #165}, which is equivalent to deducting 0.810 × MBW and 0.0151 × CO₂ from CH₄, respectively. Linearised at the means, CH₄ ratio and CH₄/CO₂ give the same goal direction (0.0151 = mean CH₄ / mean CO₂), so the results for CH₄ ratio apply equally to CH₄/CO₂.</w:t>
      </w:r>
    </w:p>
    <w:p>
      <w:pPr>
        <w:jc w:val="both"/>
      </w:pPr>
      <w:r>
        <w:rPr>
          <w:b w:val="0"/>
          <w:i w:val="0"/>
        </w:rPr>
        <w:t>The responses attainable by any index of CH₄, MBW and CO₂ were first mapped (Figure 1), and a favourable region was defined as the set of responses in which CH₄ declined and neither MBW nor CO₂ declined. For each methane trait, the additional goal weights on MBW and CO₂ needed to reach a reference favourable response were then derived; the reference response was defined as the largest methane reduction attainable with MBW and CO₂ both held at zero response (Kempthorne and Nordskog {Kempthorne, 1959 #253}; related to the desired-gains approach {Pešek, 1969 #184}). For each methane trait, these weights and the resulting responses are given in Table 6.</w:t>
      </w:r>
    </w:p>
    <w:p>
      <w:pPr>
        <w:jc w:val="both"/>
      </w:pPr>
      <w:r>
        <w:rPr>
          <w:b w:val="0"/>
          <w:i w:val="0"/>
          <w:highlight w:val="yellow"/>
        </w:rPr>
        <w:t xml:space="preserve">Uncertainty in the index results was quantified by Monte Carlo simulation. The 15 (co)variance parameters of the trivariate model were resampled jointly from a multivariate normal distribution, using their REML estimates and the sampling (co)variance matrix from ASReml, so that both the standard errors of the estimates and the correlations among them were accounted for. For each of 10,000 samples, </w:t>
      </w:r>
      <w:r>
        <w:rPr>
          <w:b/>
          <w:i w:val="0"/>
          <w:highlight w:val="yellow"/>
        </w:rPr>
        <w:t>G</w:t>
      </w:r>
      <w:r>
        <w:rPr>
          <w:b w:val="0"/>
          <w:i w:val="0"/>
          <w:highlight w:val="yellow"/>
        </w:rPr>
        <w:t xml:space="preserve"> and </w:t>
      </w:r>
      <w:r>
        <w:rPr>
          <w:b/>
          <w:i w:val="0"/>
          <w:highlight w:val="yellow"/>
        </w:rPr>
        <w:t>P</w:t>
      </w:r>
      <w:r>
        <w:rPr>
          <w:b w:val="0"/>
          <w:i w:val="0"/>
          <w:highlight w:val="yellow"/>
        </w:rPr>
        <w:t xml:space="preserve"> were rebuilt and the index results recomputed. Results are reported as point estimates with 95% intervals (2.5th and 97.5th percentiles of the samples).</w:t>
      </w:r>
    </w:p>
    <w:p>
      <w:pPr>
        <w:jc w:val="both"/>
      </w:pPr>
      <w:r>
        <w:rPr>
          <w:b w:val="0"/>
          <w:i w:val="0"/>
          <w:highlight w:val="yellow"/>
        </w:rPr>
        <w:t>The analysis assumes that genetic parameters are constant across generations, that selection is on the candidate's own records (no relatives' records or genomic information), and that all three traits are recorded on every candidate.</w:t>
      </w:r>
      <w:r>
        <w:rPr>
          <w:b w:val="0"/>
          <w:i w:val="0"/>
        </w:rPr>
        <w:t xml:space="preserve"> Analyses were performed in R version 4.5.3 {R Core Team, 2024 #113}.</w:t>
      </w:r>
    </w:p>
    <w:p>
      <w:r>
        <w:rPr>
          <w:b/>
          <w:i w:val="0"/>
          <w:sz w:val="36"/>
        </w:rPr>
        <w:t>Results</w:t>
      </w:r>
    </w:p>
    <w:p>
      <w:pPr>
        <w:jc w:val="both"/>
      </w:pPr>
      <w:r>
        <w:rPr>
          <w:b w:val="0"/>
          <w:i w:val="0"/>
          <w:highlight w:val="yellow"/>
        </w:rPr>
        <w:t>Fixed-effect significance (Wald F-tests) and diagnostics of pedigree completeness and connectedness are presented in Supplementary Material S1.</w:t>
      </w:r>
      <w:r>
        <w:rPr>
          <w:b w:val="0"/>
          <w:i w:val="0"/>
        </w:rPr>
        <w:t xml:space="preserve"> Texel and Suffolk proportions varied substantially within contemporary groups, whereas Cheviot and Lleyn proportions were largely confined to particular contemporary groups, so their breed effects cannot be cleanly separated from contemporary group effects. Most contemporary groups (82.1%) contained a single sex. The mean MBW was 22.10 (SD = 4.92) kg, mean live weight was 62.72 (SD = 18.18) kg, while mean ADG, muscle mass, and rumen volume were 0.18 (SD = 0.10) kg day⁻¹, 11.7 (SD = 3.24) kg, and 6.16 (SD = 1.49) L, respectively. Descriptive statistics for methane traits are presented in Table 1. Mean methane production was 17.9 (SD = 7.56) g day⁻¹, with methane intensity (CH₄/MBW) averaging 0.81 (SD = 0.29) g day⁻¹ kg⁻⁰·⁷⁵. </w:t>
      </w:r>
      <w:r>
        <w:rPr>
          <w:b w:val="0"/>
          <w:i w:val="0"/>
          <w:highlight w:val="yellow"/>
        </w:rPr>
        <w:t>Mean carbon dioxide production was 1,189.6 (SD = 534.2) g day⁻¹ (range 40.9–2,869.1).</w:t>
      </w:r>
      <w:r>
        <w:rPr>
          <w:b w:val="0"/>
          <w:i w:val="0"/>
        </w:rPr>
        <w:t xml:space="preserve"> Methane expressed relative to average daily gain (CH₄/ADG) had a mean of 137.9 (SD = 189.3) g kg⁻¹, reflecting the small denominator in this ratio trait. The mean values for methane traits derived from CT measurements were 1.44 (SD = 0.48) g day⁻¹ kg⁻¹ for CH₄/MM and 2.69 (SD = 0.88) g day⁻¹ L⁻¹ for CH₄/rumen. Residual methane traits were centred around zero by construction, with phenotypic standard deviations of 6.53 g day⁻¹ for RMTMBW, 5.32 g day⁻¹ for RMTMBW+CO₂, and 4.75 g day⁻¹ for RMTADG.</w:t>
      </w:r>
    </w:p>
    <w:p>
      <w:pPr>
        <w:jc w:val="both"/>
      </w:pPr>
      <w:r>
        <w:rPr>
          <w:b/>
          <w:i w:val="0"/>
        </w:rPr>
        <w:t>Table 1.</w:t>
      </w:r>
      <w:r>
        <w:rPr>
          <w:b w:val="0"/>
          <w:i w:val="0"/>
        </w:rPr>
        <w:t xml:space="preserve"> Descriptive statistics for alternative methane trait definitions.</w:t>
      </w:r>
    </w:p>
    <w:tbl>
      <w:tblPr>
        <w:tblStyle w:val="PlainTable2"/>
        <w:tblW w:type="auto" w:w="0"/>
        <w:tblLook w:firstColumn="1" w:firstRow="1" w:lastColumn="0" w:lastRow="0" w:noHBand="0" w:noVBand="1" w:val="04A0"/>
      </w:tblPr>
      <w:tblGrid>
        <w:gridCol w:w="1504"/>
        <w:gridCol w:w="1504"/>
        <w:gridCol w:w="1504"/>
        <w:gridCol w:w="1504"/>
        <w:gridCol w:w="1504"/>
        <w:gridCol w:w="1504"/>
      </w:tblGrid>
      <w:tr>
        <w:tc>
          <w:tcPr>
            <w:tcW w:type="dxa" w:w="1504"/>
          </w:tcPr>
          <w:p>
            <w:pPr>
              <w:jc w:val="both"/>
            </w:pPr>
            <w:r>
              <w:rPr>
                <w:b w:val="0"/>
                <w:i w:val="0"/>
                <w:sz w:val="19"/>
              </w:rPr>
              <w:t>Trait group</w:t>
            </w:r>
          </w:p>
        </w:tc>
        <w:tc>
          <w:tcPr>
            <w:tcW w:type="dxa" w:w="1504"/>
          </w:tcPr>
          <w:p>
            <w:pPr>
              <w:jc w:val="both"/>
            </w:pPr>
            <w:r>
              <w:rPr>
                <w:b w:val="0"/>
                <w:i w:val="0"/>
                <w:sz w:val="19"/>
              </w:rPr>
              <w:t>Trait</w:t>
            </w:r>
          </w:p>
        </w:tc>
        <w:tc>
          <w:tcPr>
            <w:tcW w:type="dxa" w:w="1504"/>
          </w:tcPr>
          <w:p>
            <w:pPr>
              <w:jc w:val="center"/>
            </w:pPr>
            <w:r>
              <w:rPr>
                <w:b w:val="0"/>
                <w:i w:val="0"/>
                <w:sz w:val="19"/>
              </w:rPr>
              <w:t>No. records</w:t>
            </w:r>
          </w:p>
        </w:tc>
        <w:tc>
          <w:tcPr>
            <w:tcW w:type="dxa" w:w="1504"/>
          </w:tcPr>
          <w:p>
            <w:pPr>
              <w:jc w:val="center"/>
            </w:pPr>
            <w:r>
              <w:rPr>
                <w:b w:val="0"/>
                <w:i w:val="0"/>
                <w:sz w:val="19"/>
              </w:rPr>
              <w:t>No. animals</w:t>
            </w:r>
          </w:p>
        </w:tc>
        <w:tc>
          <w:tcPr>
            <w:tcW w:type="dxa" w:w="1504"/>
          </w:tcPr>
          <w:p>
            <w:pPr>
              <w:jc w:val="center"/>
            </w:pPr>
            <w:r>
              <w:rPr>
                <w:b w:val="0"/>
                <w:i w:val="0"/>
                <w:sz w:val="19"/>
              </w:rPr>
              <w:t>μ (SD)</w:t>
            </w:r>
          </w:p>
        </w:tc>
        <w:tc>
          <w:tcPr>
            <w:tcW w:type="dxa" w:w="1504"/>
          </w:tcPr>
          <w:p>
            <w:pPr>
              <w:jc w:val="center"/>
            </w:pPr>
            <w:r>
              <w:rPr>
                <w:b w:val="0"/>
                <w:i w:val="0"/>
                <w:sz w:val="19"/>
              </w:rPr>
              <w:t>Range</w:t>
            </w:r>
          </w:p>
        </w:tc>
      </w:tr>
      <w:tr>
        <w:tc>
          <w:tcPr>
            <w:tcW w:type="dxa" w:w="1504"/>
          </w:tcPr>
          <w:p>
            <w:pPr>
              <w:jc w:val="both"/>
            </w:pPr>
            <w:r>
              <w:rPr>
                <w:b w:val="0"/>
                <w:i w:val="0"/>
                <w:sz w:val="19"/>
              </w:rPr>
              <w:t>Absolute</w:t>
            </w:r>
          </w:p>
        </w:tc>
        <w:tc>
          <w:tcPr>
            <w:tcW w:type="dxa" w:w="1504"/>
          </w:tcPr>
          <w:p>
            <w:pPr>
              <w:jc w:val="both"/>
            </w:pPr>
            <w:r>
              <w:rPr>
                <w:b w:val="0"/>
                <w:i w:val="0"/>
                <w:sz w:val="19"/>
              </w:rPr>
              <w:t>CH₄</w:t>
            </w:r>
          </w:p>
        </w:tc>
        <w:tc>
          <w:tcPr>
            <w:tcW w:type="dxa" w:w="1504"/>
          </w:tcPr>
          <w:p>
            <w:pPr>
              <w:jc w:val="center"/>
            </w:pPr>
            <w:r>
              <w:rPr>
                <w:b w:val="0"/>
                <w:i w:val="0"/>
                <w:sz w:val="19"/>
              </w:rPr>
              <w:t>15,869</w:t>
            </w:r>
          </w:p>
        </w:tc>
        <w:tc>
          <w:tcPr>
            <w:tcW w:type="dxa" w:w="1504"/>
          </w:tcPr>
          <w:p>
            <w:pPr>
              <w:jc w:val="center"/>
            </w:pPr>
            <w:r>
              <w:rPr>
                <w:b w:val="0"/>
                <w:i w:val="0"/>
                <w:sz w:val="19"/>
              </w:rPr>
              <w:t>8,185</w:t>
            </w:r>
          </w:p>
        </w:tc>
        <w:tc>
          <w:tcPr>
            <w:tcW w:type="dxa" w:w="1504"/>
          </w:tcPr>
          <w:p>
            <w:pPr>
              <w:jc w:val="center"/>
            </w:pPr>
            <w:r>
              <w:rPr>
                <w:b w:val="0"/>
                <w:i w:val="0"/>
                <w:sz w:val="19"/>
              </w:rPr>
              <w:t>17.90 (7.56)</w:t>
            </w:r>
          </w:p>
        </w:tc>
        <w:tc>
          <w:tcPr>
            <w:tcW w:type="dxa" w:w="1504"/>
          </w:tcPr>
          <w:p>
            <w:pPr>
              <w:jc w:val="center"/>
            </w:pPr>
            <w:r>
              <w:rPr>
                <w:b w:val="0"/>
                <w:i w:val="0"/>
                <w:sz w:val="19"/>
              </w:rPr>
              <w:t>4.01 – 40.31</w:t>
            </w:r>
          </w:p>
        </w:tc>
      </w:tr>
      <w:tr>
        <w:tc>
          <w:tcPr>
            <w:tcW w:type="dxa" w:w="1504"/>
          </w:tcPr>
          <w:p>
            <w:pPr>
              <w:jc w:val="both"/>
            </w:pPr>
            <w:r>
              <w:rPr>
                <w:b w:val="0"/>
                <w:i w:val="0"/>
                <w:sz w:val="19"/>
                <w:highlight w:val="yellow"/>
              </w:rPr>
              <w:t>Absolute</w:t>
            </w:r>
          </w:p>
        </w:tc>
        <w:tc>
          <w:tcPr>
            <w:tcW w:type="dxa" w:w="1504"/>
          </w:tcPr>
          <w:p>
            <w:pPr>
              <w:jc w:val="both"/>
            </w:pPr>
            <w:r>
              <w:rPr>
                <w:b w:val="0"/>
                <w:i w:val="0"/>
                <w:sz w:val="19"/>
                <w:highlight w:val="yellow"/>
              </w:rPr>
              <w:t>CO₂</w:t>
            </w:r>
          </w:p>
        </w:tc>
        <w:tc>
          <w:tcPr>
            <w:tcW w:type="dxa" w:w="1504"/>
          </w:tcPr>
          <w:p>
            <w:pPr>
              <w:jc w:val="center"/>
            </w:pPr>
            <w:r>
              <w:rPr>
                <w:b w:val="0"/>
                <w:i w:val="0"/>
                <w:sz w:val="19"/>
                <w:highlight w:val="yellow"/>
              </w:rPr>
              <w:t>15,869</w:t>
            </w:r>
          </w:p>
        </w:tc>
        <w:tc>
          <w:tcPr>
            <w:tcW w:type="dxa" w:w="1504"/>
          </w:tcPr>
          <w:p>
            <w:pPr>
              <w:jc w:val="center"/>
            </w:pPr>
            <w:r>
              <w:rPr>
                <w:b w:val="0"/>
                <w:i w:val="0"/>
                <w:sz w:val="19"/>
                <w:highlight w:val="yellow"/>
              </w:rPr>
              <w:t>8,185</w:t>
            </w:r>
          </w:p>
        </w:tc>
        <w:tc>
          <w:tcPr>
            <w:tcW w:type="dxa" w:w="1504"/>
          </w:tcPr>
          <w:p>
            <w:pPr>
              <w:jc w:val="center"/>
            </w:pPr>
            <w:r>
              <w:rPr>
                <w:b w:val="0"/>
                <w:i w:val="0"/>
                <w:sz w:val="19"/>
                <w:highlight w:val="yellow"/>
              </w:rPr>
              <w:t>1189.64 (534.24)</w:t>
            </w:r>
          </w:p>
        </w:tc>
        <w:tc>
          <w:tcPr>
            <w:tcW w:type="dxa" w:w="1504"/>
          </w:tcPr>
          <w:p>
            <w:pPr>
              <w:jc w:val="center"/>
            </w:pPr>
            <w:r>
              <w:rPr>
                <w:b w:val="0"/>
                <w:i w:val="0"/>
                <w:sz w:val="19"/>
                <w:highlight w:val="yellow"/>
              </w:rPr>
              <w:t>40.92 – 2869.08</w:t>
            </w:r>
          </w:p>
        </w:tc>
      </w:tr>
      <w:tr>
        <w:tc>
          <w:tcPr>
            <w:tcW w:type="dxa" w:w="1504"/>
          </w:tcPr>
          <w:p>
            <w:pPr>
              <w:jc w:val="both"/>
            </w:pPr>
            <w:r>
              <w:rPr>
                <w:b w:val="0"/>
                <w:i w:val="0"/>
                <w:sz w:val="19"/>
              </w:rPr>
              <w:t>Ratio</w:t>
            </w:r>
          </w:p>
        </w:tc>
        <w:tc>
          <w:tcPr>
            <w:tcW w:type="dxa" w:w="1504"/>
          </w:tcPr>
          <w:p>
            <w:pPr>
              <w:jc w:val="both"/>
            </w:pPr>
            <w:r>
              <w:rPr>
                <w:b w:val="0"/>
                <w:i w:val="0"/>
                <w:sz w:val="19"/>
              </w:rPr>
              <w:t>CH₄/MBW</w:t>
            </w:r>
          </w:p>
        </w:tc>
        <w:tc>
          <w:tcPr>
            <w:tcW w:type="dxa" w:w="1504"/>
          </w:tcPr>
          <w:p>
            <w:pPr>
              <w:jc w:val="center"/>
            </w:pPr>
            <w:r>
              <w:rPr>
                <w:b w:val="0"/>
                <w:i w:val="0"/>
                <w:sz w:val="19"/>
              </w:rPr>
              <w:t>15,638</w:t>
            </w:r>
          </w:p>
        </w:tc>
        <w:tc>
          <w:tcPr>
            <w:tcW w:type="dxa" w:w="1504"/>
          </w:tcPr>
          <w:p>
            <w:pPr>
              <w:jc w:val="center"/>
            </w:pPr>
            <w:r>
              <w:rPr>
                <w:b w:val="0"/>
                <w:i w:val="0"/>
                <w:sz w:val="19"/>
              </w:rPr>
              <w:t>8,002</w:t>
            </w:r>
          </w:p>
        </w:tc>
        <w:tc>
          <w:tcPr>
            <w:tcW w:type="dxa" w:w="1504"/>
          </w:tcPr>
          <w:p>
            <w:pPr>
              <w:jc w:val="center"/>
            </w:pPr>
            <w:r>
              <w:rPr>
                <w:b w:val="0"/>
                <w:i w:val="0"/>
                <w:sz w:val="19"/>
              </w:rPr>
              <w:t>0.81 (0.29)</w:t>
            </w:r>
          </w:p>
        </w:tc>
        <w:tc>
          <w:tcPr>
            <w:tcW w:type="dxa" w:w="1504"/>
          </w:tcPr>
          <w:p>
            <w:pPr>
              <w:jc w:val="center"/>
            </w:pPr>
            <w:r>
              <w:rPr>
                <w:b w:val="0"/>
                <w:i w:val="0"/>
                <w:sz w:val="19"/>
              </w:rPr>
              <w:t>0.14 – 2.38</w:t>
            </w:r>
          </w:p>
        </w:tc>
      </w:tr>
      <w:tr>
        <w:tc>
          <w:tcPr>
            <w:tcW w:type="dxa" w:w="1504"/>
          </w:tcPr>
          <w:p>
            <w:pPr>
              <w:jc w:val="both"/>
            </w:pPr>
          </w:p>
        </w:tc>
        <w:tc>
          <w:tcPr>
            <w:tcW w:type="dxa" w:w="1504"/>
          </w:tcPr>
          <w:p>
            <w:pPr>
              <w:jc w:val="both"/>
            </w:pPr>
            <w:r>
              <w:rPr>
                <w:b w:val="0"/>
                <w:i w:val="0"/>
                <w:sz w:val="19"/>
              </w:rPr>
              <w:t>CH₄ ratio</w:t>
            </w:r>
          </w:p>
        </w:tc>
        <w:tc>
          <w:tcPr>
            <w:tcW w:type="dxa" w:w="1504"/>
          </w:tcPr>
          <w:p>
            <w:pPr>
              <w:jc w:val="center"/>
            </w:pPr>
            <w:r>
              <w:rPr>
                <w:b w:val="0"/>
                <w:i w:val="0"/>
                <w:sz w:val="19"/>
              </w:rPr>
              <w:t>15,869</w:t>
            </w:r>
          </w:p>
        </w:tc>
        <w:tc>
          <w:tcPr>
            <w:tcW w:type="dxa" w:w="1504"/>
          </w:tcPr>
          <w:p>
            <w:pPr>
              <w:jc w:val="center"/>
            </w:pPr>
            <w:r>
              <w:rPr>
                <w:b w:val="0"/>
                <w:i w:val="0"/>
                <w:sz w:val="19"/>
              </w:rPr>
              <w:t>8,185</w:t>
            </w:r>
          </w:p>
        </w:tc>
        <w:tc>
          <w:tcPr>
            <w:tcW w:type="dxa" w:w="1504"/>
          </w:tcPr>
          <w:p>
            <w:pPr>
              <w:jc w:val="center"/>
            </w:pPr>
            <w:r>
              <w:rPr>
                <w:b w:val="0"/>
                <w:i w:val="0"/>
                <w:sz w:val="19"/>
              </w:rPr>
              <w:t>0.02 (0.01)</w:t>
            </w:r>
          </w:p>
        </w:tc>
        <w:tc>
          <w:tcPr>
            <w:tcW w:type="dxa" w:w="1504"/>
          </w:tcPr>
          <w:p>
            <w:pPr>
              <w:jc w:val="center"/>
            </w:pPr>
            <w:r>
              <w:rPr>
                <w:b w:val="0"/>
                <w:i w:val="0"/>
                <w:sz w:val="19"/>
              </w:rPr>
              <w:t>0.00 – 0.19</w:t>
            </w:r>
          </w:p>
        </w:tc>
      </w:tr>
      <w:tr>
        <w:tc>
          <w:tcPr>
            <w:tcW w:type="dxa" w:w="1504"/>
          </w:tcPr>
          <w:p>
            <w:pPr>
              <w:jc w:val="both"/>
            </w:pPr>
          </w:p>
        </w:tc>
        <w:tc>
          <w:tcPr>
            <w:tcW w:type="dxa" w:w="1504"/>
          </w:tcPr>
          <w:p>
            <w:pPr>
              <w:jc w:val="both"/>
            </w:pPr>
            <w:r>
              <w:rPr>
                <w:b w:val="0"/>
                <w:i w:val="0"/>
                <w:sz w:val="19"/>
              </w:rPr>
              <w:t>CH₄/ADG</w:t>
            </w:r>
          </w:p>
        </w:tc>
        <w:tc>
          <w:tcPr>
            <w:tcW w:type="dxa" w:w="1504"/>
          </w:tcPr>
          <w:p>
            <w:pPr>
              <w:jc w:val="center"/>
            </w:pPr>
            <w:r>
              <w:rPr>
                <w:b w:val="0"/>
                <w:i w:val="0"/>
                <w:sz w:val="19"/>
              </w:rPr>
              <w:t>4,316</w:t>
            </w:r>
          </w:p>
        </w:tc>
        <w:tc>
          <w:tcPr>
            <w:tcW w:type="dxa" w:w="1504"/>
          </w:tcPr>
          <w:p>
            <w:pPr>
              <w:jc w:val="center"/>
            </w:pPr>
            <w:r>
              <w:rPr>
                <w:b w:val="0"/>
                <w:i w:val="0"/>
                <w:sz w:val="19"/>
              </w:rPr>
              <w:t>2,658</w:t>
            </w:r>
          </w:p>
        </w:tc>
        <w:tc>
          <w:tcPr>
            <w:tcW w:type="dxa" w:w="1504"/>
          </w:tcPr>
          <w:p>
            <w:pPr>
              <w:jc w:val="center"/>
            </w:pPr>
            <w:r>
              <w:rPr>
                <w:b w:val="0"/>
                <w:i w:val="0"/>
                <w:sz w:val="19"/>
              </w:rPr>
              <w:t>137.89 (189.27)</w:t>
            </w:r>
          </w:p>
        </w:tc>
        <w:tc>
          <w:tcPr>
            <w:tcW w:type="dxa" w:w="1504"/>
          </w:tcPr>
          <w:p>
            <w:pPr>
              <w:jc w:val="center"/>
            </w:pPr>
            <w:r>
              <w:rPr>
                <w:b w:val="0"/>
                <w:i w:val="0"/>
                <w:sz w:val="19"/>
              </w:rPr>
              <w:t>12.03 – 2058.33</w:t>
            </w:r>
          </w:p>
        </w:tc>
      </w:tr>
      <w:tr>
        <w:tc>
          <w:tcPr>
            <w:tcW w:type="dxa" w:w="1504"/>
          </w:tcPr>
          <w:p>
            <w:pPr>
              <w:jc w:val="both"/>
            </w:pPr>
          </w:p>
        </w:tc>
        <w:tc>
          <w:tcPr>
            <w:tcW w:type="dxa" w:w="1504"/>
          </w:tcPr>
          <w:p>
            <w:pPr>
              <w:jc w:val="both"/>
            </w:pPr>
            <w:r>
              <w:rPr>
                <w:b w:val="0"/>
                <w:i w:val="0"/>
                <w:sz w:val="19"/>
              </w:rPr>
              <w:t>CH₄/MM</w:t>
            </w:r>
          </w:p>
        </w:tc>
        <w:tc>
          <w:tcPr>
            <w:tcW w:type="dxa" w:w="1504"/>
          </w:tcPr>
          <w:p>
            <w:pPr>
              <w:jc w:val="center"/>
            </w:pPr>
            <w:r>
              <w:rPr>
                <w:b w:val="0"/>
                <w:i w:val="0"/>
                <w:sz w:val="19"/>
              </w:rPr>
              <w:t>766</w:t>
            </w:r>
          </w:p>
        </w:tc>
        <w:tc>
          <w:tcPr>
            <w:tcW w:type="dxa" w:w="1504"/>
          </w:tcPr>
          <w:p>
            <w:pPr>
              <w:jc w:val="center"/>
            </w:pPr>
            <w:r>
              <w:rPr>
                <w:b w:val="0"/>
                <w:i w:val="0"/>
                <w:sz w:val="19"/>
              </w:rPr>
              <w:t>751</w:t>
            </w:r>
          </w:p>
        </w:tc>
        <w:tc>
          <w:tcPr>
            <w:tcW w:type="dxa" w:w="1504"/>
          </w:tcPr>
          <w:p>
            <w:pPr>
              <w:jc w:val="center"/>
            </w:pPr>
            <w:r>
              <w:rPr>
                <w:b w:val="0"/>
                <w:i w:val="0"/>
                <w:sz w:val="19"/>
              </w:rPr>
              <w:t>1.44 (0.48)</w:t>
            </w:r>
          </w:p>
        </w:tc>
        <w:tc>
          <w:tcPr>
            <w:tcW w:type="dxa" w:w="1504"/>
          </w:tcPr>
          <w:p>
            <w:pPr>
              <w:jc w:val="center"/>
            </w:pPr>
            <w:r>
              <w:rPr>
                <w:b w:val="0"/>
                <w:i w:val="0"/>
                <w:sz w:val="19"/>
              </w:rPr>
              <w:t>0.33 – 3.08</w:t>
            </w:r>
          </w:p>
        </w:tc>
      </w:tr>
      <w:tr>
        <w:tc>
          <w:tcPr>
            <w:tcW w:type="dxa" w:w="1504"/>
          </w:tcPr>
          <w:p>
            <w:pPr>
              <w:jc w:val="both"/>
            </w:pPr>
          </w:p>
        </w:tc>
        <w:tc>
          <w:tcPr>
            <w:tcW w:type="dxa" w:w="1504"/>
          </w:tcPr>
          <w:p>
            <w:pPr>
              <w:jc w:val="both"/>
            </w:pPr>
            <w:r>
              <w:rPr>
                <w:b w:val="0"/>
                <w:i w:val="0"/>
                <w:sz w:val="19"/>
              </w:rPr>
              <w:t>CH₄/rumen</w:t>
            </w:r>
          </w:p>
        </w:tc>
        <w:tc>
          <w:tcPr>
            <w:tcW w:type="dxa" w:w="1504"/>
          </w:tcPr>
          <w:p>
            <w:pPr>
              <w:jc w:val="center"/>
            </w:pPr>
            <w:r>
              <w:rPr>
                <w:b w:val="0"/>
                <w:i w:val="0"/>
                <w:sz w:val="19"/>
              </w:rPr>
              <w:t>766</w:t>
            </w:r>
          </w:p>
        </w:tc>
        <w:tc>
          <w:tcPr>
            <w:tcW w:type="dxa" w:w="1504"/>
          </w:tcPr>
          <w:p>
            <w:pPr>
              <w:jc w:val="center"/>
            </w:pPr>
            <w:r>
              <w:rPr>
                <w:b w:val="0"/>
                <w:i w:val="0"/>
                <w:sz w:val="19"/>
              </w:rPr>
              <w:t>746</w:t>
            </w:r>
          </w:p>
        </w:tc>
        <w:tc>
          <w:tcPr>
            <w:tcW w:type="dxa" w:w="1504"/>
          </w:tcPr>
          <w:p>
            <w:pPr>
              <w:jc w:val="center"/>
            </w:pPr>
            <w:r>
              <w:rPr>
                <w:b w:val="0"/>
                <w:i w:val="0"/>
                <w:sz w:val="19"/>
              </w:rPr>
              <w:t>2.69 (0.88)</w:t>
            </w:r>
          </w:p>
        </w:tc>
        <w:tc>
          <w:tcPr>
            <w:tcW w:type="dxa" w:w="1504"/>
          </w:tcPr>
          <w:p>
            <w:pPr>
              <w:jc w:val="center"/>
            </w:pPr>
            <w:r>
              <w:rPr>
                <w:b w:val="0"/>
                <w:i w:val="0"/>
                <w:sz w:val="19"/>
              </w:rPr>
              <w:t>0.65 – 5.73</w:t>
            </w:r>
          </w:p>
        </w:tc>
      </w:tr>
      <w:tr>
        <w:tc>
          <w:tcPr>
            <w:tcW w:type="dxa" w:w="1504"/>
          </w:tcPr>
          <w:p>
            <w:pPr>
              <w:jc w:val="both"/>
            </w:pPr>
            <w:r>
              <w:rPr>
                <w:b w:val="0"/>
                <w:i w:val="0"/>
                <w:sz w:val="19"/>
              </w:rPr>
              <w:t>Residual</w:t>
            </w:r>
          </w:p>
        </w:tc>
        <w:tc>
          <w:tcPr>
            <w:tcW w:type="dxa" w:w="1504"/>
          </w:tcPr>
          <w:p>
            <w:pPr>
              <w:jc w:val="both"/>
            </w:pPr>
            <w:r>
              <w:rPr>
                <w:b w:val="0"/>
                <w:i w:val="0"/>
                <w:sz w:val="19"/>
              </w:rPr>
              <w:t>RMTMBW</w:t>
            </w:r>
          </w:p>
        </w:tc>
        <w:tc>
          <w:tcPr>
            <w:tcW w:type="dxa" w:w="1504"/>
          </w:tcPr>
          <w:p>
            <w:pPr>
              <w:jc w:val="center"/>
            </w:pPr>
            <w:r>
              <w:rPr>
                <w:b w:val="0"/>
                <w:i w:val="0"/>
                <w:sz w:val="19"/>
              </w:rPr>
              <w:t>15,638</w:t>
            </w:r>
          </w:p>
        </w:tc>
        <w:tc>
          <w:tcPr>
            <w:tcW w:type="dxa" w:w="1504"/>
          </w:tcPr>
          <w:p>
            <w:pPr>
              <w:jc w:val="center"/>
            </w:pPr>
            <w:r>
              <w:rPr>
                <w:b w:val="0"/>
                <w:i w:val="0"/>
                <w:sz w:val="19"/>
              </w:rPr>
              <w:t>8,002</w:t>
            </w:r>
          </w:p>
        </w:tc>
        <w:tc>
          <w:tcPr>
            <w:tcW w:type="dxa" w:w="1504"/>
          </w:tcPr>
          <w:p>
            <w:pPr>
              <w:jc w:val="center"/>
            </w:pPr>
            <w:r>
              <w:rPr>
                <w:b w:val="0"/>
                <w:i w:val="0"/>
                <w:sz w:val="19"/>
              </w:rPr>
              <w:t>0.00 (6.53)</w:t>
            </w:r>
          </w:p>
        </w:tc>
        <w:tc>
          <w:tcPr>
            <w:tcW w:type="dxa" w:w="1504"/>
          </w:tcPr>
          <w:p>
            <w:pPr>
              <w:jc w:val="center"/>
            </w:pPr>
            <w:r>
              <w:rPr>
                <w:b w:val="0"/>
                <w:i w:val="0"/>
                <w:sz w:val="19"/>
              </w:rPr>
              <w:t>-20.48 – 21.33</w:t>
            </w:r>
          </w:p>
        </w:tc>
      </w:tr>
      <w:tr>
        <w:tc>
          <w:tcPr>
            <w:tcW w:type="dxa" w:w="1504"/>
          </w:tcPr>
          <w:p>
            <w:pPr>
              <w:jc w:val="both"/>
            </w:pPr>
          </w:p>
        </w:tc>
        <w:tc>
          <w:tcPr>
            <w:tcW w:type="dxa" w:w="1504"/>
          </w:tcPr>
          <w:p>
            <w:pPr>
              <w:jc w:val="both"/>
            </w:pPr>
            <w:r>
              <w:rPr>
                <w:b w:val="0"/>
                <w:i w:val="0"/>
                <w:sz w:val="19"/>
              </w:rPr>
              <w:t>RMTMBW+CO₂</w:t>
            </w:r>
          </w:p>
        </w:tc>
        <w:tc>
          <w:tcPr>
            <w:tcW w:type="dxa" w:w="1504"/>
          </w:tcPr>
          <w:p>
            <w:pPr>
              <w:jc w:val="center"/>
            </w:pPr>
            <w:r>
              <w:rPr>
                <w:b w:val="0"/>
                <w:i w:val="0"/>
                <w:sz w:val="19"/>
              </w:rPr>
              <w:t>15,638</w:t>
            </w:r>
          </w:p>
        </w:tc>
        <w:tc>
          <w:tcPr>
            <w:tcW w:type="dxa" w:w="1504"/>
          </w:tcPr>
          <w:p>
            <w:pPr>
              <w:jc w:val="center"/>
            </w:pPr>
            <w:r>
              <w:rPr>
                <w:b w:val="0"/>
                <w:i w:val="0"/>
                <w:sz w:val="19"/>
              </w:rPr>
              <w:t>8,002</w:t>
            </w:r>
          </w:p>
        </w:tc>
        <w:tc>
          <w:tcPr>
            <w:tcW w:type="dxa" w:w="1504"/>
          </w:tcPr>
          <w:p>
            <w:pPr>
              <w:jc w:val="center"/>
            </w:pPr>
            <w:r>
              <w:rPr>
                <w:b w:val="0"/>
                <w:i w:val="0"/>
                <w:sz w:val="19"/>
              </w:rPr>
              <w:t>0.00 (5.32)</w:t>
            </w:r>
          </w:p>
        </w:tc>
        <w:tc>
          <w:tcPr>
            <w:tcW w:type="dxa" w:w="1504"/>
          </w:tcPr>
          <w:p>
            <w:pPr>
              <w:jc w:val="center"/>
            </w:pPr>
            <w:r>
              <w:rPr>
                <w:b w:val="0"/>
                <w:i w:val="0"/>
                <w:sz w:val="19"/>
              </w:rPr>
              <w:t>-23.38 – 24.15</w:t>
            </w:r>
          </w:p>
        </w:tc>
      </w:tr>
      <w:tr>
        <w:tc>
          <w:tcPr>
            <w:tcW w:type="dxa" w:w="1504"/>
          </w:tcPr>
          <w:p>
            <w:pPr>
              <w:jc w:val="both"/>
            </w:pPr>
          </w:p>
        </w:tc>
        <w:tc>
          <w:tcPr>
            <w:tcW w:type="dxa" w:w="1504"/>
          </w:tcPr>
          <w:p>
            <w:pPr>
              <w:jc w:val="both"/>
            </w:pPr>
            <w:r>
              <w:rPr>
                <w:b w:val="0"/>
                <w:i w:val="0"/>
                <w:sz w:val="19"/>
              </w:rPr>
              <w:t>RMTADG</w:t>
            </w:r>
          </w:p>
        </w:tc>
        <w:tc>
          <w:tcPr>
            <w:tcW w:type="dxa" w:w="1504"/>
          </w:tcPr>
          <w:p>
            <w:pPr>
              <w:jc w:val="center"/>
            </w:pPr>
            <w:r>
              <w:rPr>
                <w:b w:val="0"/>
                <w:i w:val="0"/>
                <w:sz w:val="19"/>
              </w:rPr>
              <w:t>4,316</w:t>
            </w:r>
          </w:p>
        </w:tc>
        <w:tc>
          <w:tcPr>
            <w:tcW w:type="dxa" w:w="1504"/>
          </w:tcPr>
          <w:p>
            <w:pPr>
              <w:jc w:val="center"/>
            </w:pPr>
            <w:r>
              <w:rPr>
                <w:b w:val="0"/>
                <w:i w:val="0"/>
                <w:sz w:val="19"/>
              </w:rPr>
              <w:t>2,658</w:t>
            </w:r>
          </w:p>
        </w:tc>
        <w:tc>
          <w:tcPr>
            <w:tcW w:type="dxa" w:w="1504"/>
          </w:tcPr>
          <w:p>
            <w:pPr>
              <w:jc w:val="center"/>
            </w:pPr>
            <w:r>
              <w:rPr>
                <w:b w:val="0"/>
                <w:i w:val="0"/>
                <w:sz w:val="19"/>
              </w:rPr>
              <w:t>0.00 (4.75)</w:t>
            </w:r>
          </w:p>
        </w:tc>
        <w:tc>
          <w:tcPr>
            <w:tcW w:type="dxa" w:w="1504"/>
          </w:tcPr>
          <w:p>
            <w:pPr>
              <w:jc w:val="center"/>
            </w:pPr>
            <w:r>
              <w:rPr>
                <w:b w:val="0"/>
                <w:i w:val="0"/>
                <w:sz w:val="19"/>
              </w:rPr>
              <w:t>-10.23 – 25.82</w:t>
            </w:r>
          </w:p>
        </w:tc>
      </w:tr>
    </w:tbl>
    <w:p/>
    <w:p>
      <w:pPr>
        <w:jc w:val="both"/>
      </w:pPr>
      <w:r>
        <w:rPr>
          <w:b w:val="0"/>
          <w:i/>
          <w:sz w:val="20"/>
        </w:rPr>
        <w:t>μ (SD) = mean (standard deviation). Trait abbreviations: CH₄ = daily methane output (g day⁻¹); CO₂ = daily carbon dioxide output (g day⁻¹); CH₄/MBW = methane per kg metabolic body weight (g day⁻¹ kg⁻⁰·⁷⁵); CH₄ ratio = CH₄/(CH₄+CO₂), mass basis; CH₄/ADG = methane per kg average daily gain (g kg⁻¹); CH₄/MM = methane per kg computed tomography (CT) muscle mass (g day⁻¹ kg⁻¹); CH₄/rumen = methane per litre CT rumen volume (g day⁻¹ L⁻¹); RMTMBW, RMTMBW+CO₂ and RMTADG = residual methane (g day⁻¹) from regression of CH₄ on metabolic body weight; metabolic body weight and CO₂; and average daily gain, respectively.</w:t>
      </w:r>
    </w:p>
    <w:p>
      <w:pPr>
        <w:pStyle w:val="Subheadings"/>
        <w:jc w:val="both"/>
      </w:pPr>
      <w:r>
        <w:rPr>
          <w:b w:val="0"/>
          <w:i w:val="0"/>
        </w:rPr>
        <w:t>Genetic parameters</w:t>
      </w:r>
    </w:p>
    <w:p>
      <w:pPr>
        <w:jc w:val="both"/>
      </w:pPr>
      <w:r>
        <w:rPr>
          <w:b w:val="0"/>
          <w:i w:val="0"/>
        </w:rPr>
        <w:t>Genetic parameters for the methane and CO₂ trait definitions are presented in Table 2. Genetic standard deviations ranged from 0.06 g day⁻¹ kg⁻⁰·⁷⁵ for methane intensity (CH₄/MBW) to 35.92 g kg⁻¹ for methane expressed relative to growth rate (CH₄/ADG), with corresponding genetic coefficient of variation (CVa) values of 7.44% and 26.05%, respectively. Methane production (CH₄) had a genetic standard deviation of 1.47 g day⁻¹ and CVa of 8.20%, and carbon dioxide production (CO₂) had a genetic standard deviation of 117.18 g day⁻¹ and CVa of 9.85%. The genetic standard deviation for methane expressed relative to muscle mass and rumen volume were 0.20 g day⁻¹ kg⁻¹ and 0.37 g day⁻¹ L⁻¹ with CVa values of 13.59% and 13.83%, respectively. Residual methane traits (RMTMBW, RMTMBW+CO₂, and RMTADG) had genetic standard deviations of 1.29, 1.41, and 1.55 g day⁻¹.</w:t>
      </w:r>
    </w:p>
    <w:p>
      <w:pPr>
        <w:jc w:val="both"/>
      </w:pPr>
      <w:r>
        <w:rPr>
          <w:b w:val="0"/>
          <w:i w:val="0"/>
        </w:rPr>
        <w:t xml:space="preserve">Heritability estimates ranged from 0.12 ± 0.03 for CH₄/ADG to 0.46 ± 0.11 for CH₄/MM (Table 2). Heritability estimates for CH₄ (0.19), CH₄/MBW (0.16), CH₄ ratio (0.19), RMTMBW (0.16) and RMTMBW+CO₂ (0.17), from the heterogeneous-residual model, and for CH₄/ADG (0.12 ± 0.03) and RMTADG (0.28 ± 0.03) were broadly similar. </w:t>
      </w:r>
      <w:r>
        <w:rPr>
          <w:b w:val="0"/>
          <w:i w:val="0"/>
          <w:highlight w:val="yellow"/>
        </w:rPr>
        <w:t>Carbon dioxide production (CO₂), also from the heterogeneous-residual model, was somewhat more heritable than most methane traits (0.25; repeatability 0.43).</w:t>
      </w:r>
      <w:r>
        <w:rPr>
          <w:b w:val="0"/>
          <w:i w:val="0"/>
        </w:rPr>
        <w:t xml:space="preserve"> Methane expressed relative to muscle mass and rumen volume produced larger heritability estimates (0.46 ± 0.11 and 0.35 ± 0.11), although both were associated with larger standard errors, consistent with their much smaller sample sizes (766 CT records). Where the permanent environmental variance could be estimated, repeatability ranged from 0.20 (CH₄/MBW) to 0.43 (CO₂).</w:t>
      </w:r>
    </w:p>
    <w:p>
      <w:pPr>
        <w:jc w:val="both"/>
      </w:pPr>
      <w:r>
        <w:rPr>
          <w:b/>
          <w:i w:val="0"/>
        </w:rPr>
        <w:t>Table 2.</w:t>
      </w:r>
      <w:r>
        <w:rPr>
          <w:b w:val="0"/>
          <w:i w:val="0"/>
        </w:rPr>
        <w:t xml:space="preserve"> Genetic parameters for methane and CO₂ trait definitions.</w:t>
      </w:r>
    </w:p>
    <w:tbl>
      <w:tblPr>
        <w:tblStyle w:val="PlainTable2"/>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tcPr>
          <w:p>
            <w:pPr>
              <w:jc w:val="both"/>
            </w:pPr>
            <w:r>
              <w:rPr>
                <w:b w:val="0"/>
                <w:i w:val="0"/>
                <w:sz w:val="19"/>
              </w:rPr>
              <w:t>Trait group</w:t>
            </w:r>
          </w:p>
        </w:tc>
        <w:tc>
          <w:tcPr>
            <w:tcW w:type="dxa" w:w="1289"/>
          </w:tcPr>
          <w:p>
            <w:pPr>
              <w:jc w:val="both"/>
            </w:pPr>
            <w:r>
              <w:rPr>
                <w:b w:val="0"/>
                <w:i w:val="0"/>
                <w:sz w:val="19"/>
              </w:rPr>
              <w:t>Trait</w:t>
            </w:r>
          </w:p>
        </w:tc>
        <w:tc>
          <w:tcPr>
            <w:tcW w:type="dxa" w:w="1289"/>
          </w:tcPr>
          <w:p>
            <w:pPr>
              <w:jc w:val="center"/>
            </w:pPr>
            <w:r>
              <w:rPr>
                <w:b w:val="0"/>
                <w:i w:val="0"/>
                <w:sz w:val="19"/>
              </w:rPr>
              <w:t>σa</w:t>
            </w:r>
          </w:p>
        </w:tc>
        <w:tc>
          <w:tcPr>
            <w:tcW w:type="dxa" w:w="1289"/>
          </w:tcPr>
          <w:p>
            <w:pPr>
              <w:jc w:val="center"/>
            </w:pPr>
            <w:r>
              <w:rPr>
                <w:b w:val="0"/>
                <w:i w:val="0"/>
                <w:sz w:val="19"/>
              </w:rPr>
              <w:t>σpe</w:t>
            </w:r>
          </w:p>
        </w:tc>
        <w:tc>
          <w:tcPr>
            <w:tcW w:type="dxa" w:w="1289"/>
          </w:tcPr>
          <w:p>
            <w:pPr>
              <w:jc w:val="center"/>
            </w:pPr>
            <w:r>
              <w:rPr>
                <w:b w:val="0"/>
                <w:i w:val="0"/>
                <w:sz w:val="19"/>
              </w:rPr>
              <w:t>h² (SE)</w:t>
            </w:r>
          </w:p>
        </w:tc>
        <w:tc>
          <w:tcPr>
            <w:tcW w:type="dxa" w:w="1289"/>
          </w:tcPr>
          <w:p>
            <w:pPr>
              <w:jc w:val="center"/>
            </w:pPr>
            <w:r>
              <w:rPr>
                <w:b w:val="0"/>
                <w:i w:val="0"/>
                <w:sz w:val="19"/>
              </w:rPr>
              <w:t>t (SE)</w:t>
            </w:r>
          </w:p>
        </w:tc>
        <w:tc>
          <w:tcPr>
            <w:tcW w:type="dxa" w:w="1289"/>
          </w:tcPr>
          <w:p>
            <w:pPr>
              <w:jc w:val="center"/>
            </w:pPr>
            <w:r>
              <w:rPr>
                <w:b w:val="0"/>
                <w:i w:val="0"/>
                <w:sz w:val="19"/>
              </w:rPr>
              <w:t>CVa</w:t>
            </w:r>
          </w:p>
        </w:tc>
      </w:tr>
      <w:tr>
        <w:tc>
          <w:tcPr>
            <w:tcW w:type="dxa" w:w="1289"/>
          </w:tcPr>
          <w:p>
            <w:pPr>
              <w:jc w:val="both"/>
            </w:pPr>
            <w:r>
              <w:rPr>
                <w:b w:val="0"/>
                <w:i w:val="0"/>
                <w:sz w:val="19"/>
              </w:rPr>
              <w:t>Absolute</w:t>
            </w:r>
          </w:p>
        </w:tc>
        <w:tc>
          <w:tcPr>
            <w:tcW w:type="dxa" w:w="1289"/>
          </w:tcPr>
          <w:p>
            <w:pPr>
              <w:jc w:val="both"/>
            </w:pPr>
            <w:r>
              <w:rPr>
                <w:b w:val="0"/>
                <w:i w:val="0"/>
                <w:sz w:val="19"/>
              </w:rPr>
              <w:t>CH₄</w:t>
            </w:r>
          </w:p>
        </w:tc>
        <w:tc>
          <w:tcPr>
            <w:tcW w:type="dxa" w:w="1289"/>
          </w:tcPr>
          <w:p>
            <w:pPr>
              <w:jc w:val="center"/>
            </w:pPr>
            <w:r>
              <w:rPr>
                <w:b w:val="0"/>
                <w:i w:val="0"/>
                <w:sz w:val="19"/>
              </w:rPr>
              <w:t>1.47</w:t>
            </w:r>
          </w:p>
        </w:tc>
        <w:tc>
          <w:tcPr>
            <w:tcW w:type="dxa" w:w="1289"/>
          </w:tcPr>
          <w:p>
            <w:pPr>
              <w:jc w:val="center"/>
            </w:pPr>
            <w:r>
              <w:rPr>
                <w:b w:val="0"/>
                <w:i w:val="0"/>
                <w:sz w:val="19"/>
              </w:rPr>
              <w:t>0.61</w:t>
            </w:r>
          </w:p>
        </w:tc>
        <w:tc>
          <w:tcPr>
            <w:tcW w:type="dxa" w:w="1289"/>
          </w:tcPr>
          <w:p>
            <w:pPr>
              <w:jc w:val="center"/>
            </w:pPr>
            <w:r>
              <w:rPr>
                <w:b w:val="0"/>
                <w:i w:val="0"/>
                <w:sz w:val="19"/>
              </w:rPr>
              <w:t>0.19</w:t>
            </w:r>
          </w:p>
        </w:tc>
        <w:tc>
          <w:tcPr>
            <w:tcW w:type="dxa" w:w="1289"/>
          </w:tcPr>
          <w:p>
            <w:pPr>
              <w:jc w:val="center"/>
            </w:pPr>
            <w:r>
              <w:rPr>
                <w:b w:val="0"/>
                <w:i w:val="0"/>
                <w:sz w:val="19"/>
              </w:rPr>
              <w:t>0.22</w:t>
            </w:r>
          </w:p>
        </w:tc>
        <w:tc>
          <w:tcPr>
            <w:tcW w:type="dxa" w:w="1289"/>
          </w:tcPr>
          <w:p>
            <w:pPr>
              <w:jc w:val="center"/>
            </w:pPr>
            <w:r>
              <w:rPr>
                <w:b w:val="0"/>
                <w:i w:val="0"/>
                <w:sz w:val="19"/>
              </w:rPr>
              <w:t>8.20%</w:t>
            </w:r>
          </w:p>
        </w:tc>
      </w:tr>
      <w:tr>
        <w:tc>
          <w:tcPr>
            <w:tcW w:type="dxa" w:w="1289"/>
          </w:tcPr>
          <w:p>
            <w:pPr>
              <w:jc w:val="both"/>
            </w:pPr>
            <w:r>
              <w:rPr>
                <w:b w:val="0"/>
                <w:i w:val="0"/>
                <w:sz w:val="19"/>
                <w:highlight w:val="yellow"/>
              </w:rPr>
              <w:t>Absolute</w:t>
            </w:r>
          </w:p>
        </w:tc>
        <w:tc>
          <w:tcPr>
            <w:tcW w:type="dxa" w:w="1289"/>
          </w:tcPr>
          <w:p>
            <w:pPr>
              <w:jc w:val="both"/>
            </w:pPr>
            <w:r>
              <w:rPr>
                <w:b w:val="0"/>
                <w:i w:val="0"/>
                <w:sz w:val="19"/>
                <w:highlight w:val="yellow"/>
              </w:rPr>
              <w:t>CO₂</w:t>
            </w:r>
          </w:p>
        </w:tc>
        <w:tc>
          <w:tcPr>
            <w:tcW w:type="dxa" w:w="1289"/>
          </w:tcPr>
          <w:p>
            <w:pPr>
              <w:jc w:val="center"/>
            </w:pPr>
            <w:r>
              <w:rPr>
                <w:b w:val="0"/>
                <w:i w:val="0"/>
                <w:sz w:val="19"/>
                <w:highlight w:val="yellow"/>
              </w:rPr>
              <w:t>117.18</w:t>
            </w:r>
          </w:p>
        </w:tc>
        <w:tc>
          <w:tcPr>
            <w:tcW w:type="dxa" w:w="1289"/>
          </w:tcPr>
          <w:p>
            <w:pPr>
              <w:jc w:val="center"/>
            </w:pPr>
            <w:r>
              <w:rPr>
                <w:b w:val="0"/>
                <w:i w:val="0"/>
                <w:sz w:val="19"/>
                <w:highlight w:val="yellow"/>
              </w:rPr>
              <w:t>97.26</w:t>
            </w:r>
          </w:p>
        </w:tc>
        <w:tc>
          <w:tcPr>
            <w:tcW w:type="dxa" w:w="1289"/>
          </w:tcPr>
          <w:p>
            <w:pPr>
              <w:jc w:val="center"/>
            </w:pPr>
            <w:r>
              <w:rPr>
                <w:b w:val="0"/>
                <w:i w:val="0"/>
                <w:sz w:val="19"/>
                <w:highlight w:val="yellow"/>
              </w:rPr>
              <w:t>0.25</w:t>
            </w:r>
          </w:p>
        </w:tc>
        <w:tc>
          <w:tcPr>
            <w:tcW w:type="dxa" w:w="1289"/>
          </w:tcPr>
          <w:p>
            <w:pPr>
              <w:jc w:val="center"/>
            </w:pPr>
            <w:r>
              <w:rPr>
                <w:b w:val="0"/>
                <w:i w:val="0"/>
                <w:sz w:val="19"/>
                <w:highlight w:val="yellow"/>
              </w:rPr>
              <w:t>0.43</w:t>
            </w:r>
          </w:p>
        </w:tc>
        <w:tc>
          <w:tcPr>
            <w:tcW w:type="dxa" w:w="1289"/>
          </w:tcPr>
          <w:p>
            <w:pPr>
              <w:jc w:val="center"/>
            </w:pPr>
            <w:r>
              <w:rPr>
                <w:b w:val="0"/>
                <w:i w:val="0"/>
                <w:sz w:val="19"/>
                <w:highlight w:val="yellow"/>
              </w:rPr>
              <w:t>9.85%</w:t>
            </w:r>
          </w:p>
        </w:tc>
      </w:tr>
      <w:tr>
        <w:tc>
          <w:tcPr>
            <w:tcW w:type="dxa" w:w="1289"/>
          </w:tcPr>
          <w:p>
            <w:pPr>
              <w:jc w:val="both"/>
            </w:pPr>
            <w:r>
              <w:rPr>
                <w:b w:val="0"/>
                <w:i w:val="0"/>
                <w:sz w:val="19"/>
              </w:rPr>
              <w:t>Ratio</w:t>
            </w:r>
          </w:p>
        </w:tc>
        <w:tc>
          <w:tcPr>
            <w:tcW w:type="dxa" w:w="1289"/>
          </w:tcPr>
          <w:p>
            <w:pPr>
              <w:jc w:val="both"/>
            </w:pPr>
            <w:r>
              <w:rPr>
                <w:b w:val="0"/>
                <w:i w:val="0"/>
                <w:sz w:val="19"/>
              </w:rPr>
              <w:t>CH₄/MBW</w:t>
            </w:r>
          </w:p>
        </w:tc>
        <w:tc>
          <w:tcPr>
            <w:tcW w:type="dxa" w:w="1289"/>
          </w:tcPr>
          <w:p>
            <w:pPr>
              <w:jc w:val="center"/>
            </w:pPr>
            <w:r>
              <w:rPr>
                <w:b w:val="0"/>
                <w:i w:val="0"/>
                <w:sz w:val="19"/>
              </w:rPr>
              <w:t>0.060</w:t>
            </w:r>
          </w:p>
        </w:tc>
        <w:tc>
          <w:tcPr>
            <w:tcW w:type="dxa" w:w="1289"/>
          </w:tcPr>
          <w:p>
            <w:pPr>
              <w:jc w:val="center"/>
            </w:pPr>
            <w:r>
              <w:rPr>
                <w:b w:val="0"/>
                <w:i w:val="0"/>
                <w:sz w:val="19"/>
              </w:rPr>
              <w:t>0.034</w:t>
            </w:r>
          </w:p>
        </w:tc>
        <w:tc>
          <w:tcPr>
            <w:tcW w:type="dxa" w:w="1289"/>
          </w:tcPr>
          <w:p>
            <w:pPr>
              <w:jc w:val="center"/>
            </w:pPr>
            <w:r>
              <w:rPr>
                <w:b w:val="0"/>
                <w:i w:val="0"/>
                <w:sz w:val="19"/>
              </w:rPr>
              <w:t>0.16</w:t>
            </w:r>
          </w:p>
        </w:tc>
        <w:tc>
          <w:tcPr>
            <w:tcW w:type="dxa" w:w="1289"/>
          </w:tcPr>
          <w:p>
            <w:pPr>
              <w:jc w:val="center"/>
            </w:pPr>
            <w:r>
              <w:rPr>
                <w:b w:val="0"/>
                <w:i w:val="0"/>
                <w:sz w:val="19"/>
              </w:rPr>
              <w:t>0.20</w:t>
            </w:r>
          </w:p>
        </w:tc>
        <w:tc>
          <w:tcPr>
            <w:tcW w:type="dxa" w:w="1289"/>
          </w:tcPr>
          <w:p>
            <w:pPr>
              <w:jc w:val="center"/>
            </w:pPr>
            <w:r>
              <w:rPr>
                <w:b w:val="0"/>
                <w:i w:val="0"/>
                <w:sz w:val="19"/>
              </w:rPr>
              <w:t>7.44%</w:t>
            </w:r>
          </w:p>
        </w:tc>
      </w:tr>
      <w:tr>
        <w:tc>
          <w:tcPr>
            <w:tcW w:type="dxa" w:w="1289"/>
          </w:tcPr>
          <w:p>
            <w:pPr>
              <w:jc w:val="both"/>
            </w:pPr>
          </w:p>
        </w:tc>
        <w:tc>
          <w:tcPr>
            <w:tcW w:type="dxa" w:w="1289"/>
          </w:tcPr>
          <w:p>
            <w:pPr>
              <w:jc w:val="both"/>
            </w:pPr>
            <w:r>
              <w:rPr>
                <w:b w:val="0"/>
                <w:i w:val="0"/>
                <w:sz w:val="19"/>
              </w:rPr>
              <w:t>CH₄ ratio</w:t>
            </w:r>
          </w:p>
        </w:tc>
        <w:tc>
          <w:tcPr>
            <w:tcW w:type="dxa" w:w="1289"/>
          </w:tcPr>
          <w:p>
            <w:pPr>
              <w:jc w:val="center"/>
            </w:pPr>
            <w:r>
              <w:rPr>
                <w:b w:val="0"/>
                <w:i w:val="0"/>
                <w:sz w:val="19"/>
              </w:rPr>
              <w:t>1.63×10⁻³</w:t>
            </w:r>
          </w:p>
        </w:tc>
        <w:tc>
          <w:tcPr>
            <w:tcW w:type="dxa" w:w="1289"/>
          </w:tcPr>
          <w:p>
            <w:pPr>
              <w:jc w:val="center"/>
            </w:pPr>
            <w:r>
              <w:rPr>
                <w:b w:val="0"/>
                <w:i w:val="0"/>
                <w:sz w:val="19"/>
              </w:rPr>
              <w:t>1.39×10⁻³</w:t>
            </w:r>
          </w:p>
        </w:tc>
        <w:tc>
          <w:tcPr>
            <w:tcW w:type="dxa" w:w="1289"/>
          </w:tcPr>
          <w:p>
            <w:pPr>
              <w:jc w:val="center"/>
            </w:pPr>
            <w:r>
              <w:rPr>
                <w:b w:val="0"/>
                <w:i w:val="0"/>
                <w:sz w:val="19"/>
              </w:rPr>
              <w:t>0.19</w:t>
            </w:r>
          </w:p>
        </w:tc>
        <w:tc>
          <w:tcPr>
            <w:tcW w:type="dxa" w:w="1289"/>
          </w:tcPr>
          <w:p>
            <w:pPr>
              <w:jc w:val="center"/>
            </w:pPr>
            <w:r>
              <w:rPr>
                <w:b w:val="0"/>
                <w:i w:val="0"/>
                <w:sz w:val="19"/>
              </w:rPr>
              <w:t>0.32</w:t>
            </w:r>
          </w:p>
        </w:tc>
        <w:tc>
          <w:tcPr>
            <w:tcW w:type="dxa" w:w="1289"/>
          </w:tcPr>
          <w:p>
            <w:pPr>
              <w:jc w:val="center"/>
            </w:pPr>
            <w:r>
              <w:rPr>
                <w:b w:val="0"/>
                <w:i w:val="0"/>
                <w:sz w:val="19"/>
              </w:rPr>
              <w:t>–</w:t>
            </w:r>
          </w:p>
        </w:tc>
      </w:tr>
      <w:tr>
        <w:tc>
          <w:tcPr>
            <w:tcW w:type="dxa" w:w="1289"/>
          </w:tcPr>
          <w:p>
            <w:pPr>
              <w:jc w:val="both"/>
            </w:pPr>
          </w:p>
        </w:tc>
        <w:tc>
          <w:tcPr>
            <w:tcW w:type="dxa" w:w="1289"/>
          </w:tcPr>
          <w:p>
            <w:pPr>
              <w:jc w:val="both"/>
            </w:pPr>
            <w:r>
              <w:rPr>
                <w:b w:val="0"/>
                <w:i w:val="0"/>
                <w:sz w:val="19"/>
              </w:rPr>
              <w:t>CH₄/ADG</w:t>
            </w:r>
          </w:p>
        </w:tc>
        <w:tc>
          <w:tcPr>
            <w:tcW w:type="dxa" w:w="1289"/>
          </w:tcPr>
          <w:p>
            <w:pPr>
              <w:jc w:val="center"/>
            </w:pPr>
            <w:r>
              <w:rPr>
                <w:b w:val="0"/>
                <w:i w:val="0"/>
                <w:sz w:val="19"/>
              </w:rPr>
              <w:t>35.92 (4.73)</w:t>
            </w:r>
          </w:p>
        </w:tc>
        <w:tc>
          <w:tcPr>
            <w:tcW w:type="dxa" w:w="1289"/>
          </w:tcPr>
          <w:p>
            <w:pPr>
              <w:jc w:val="center"/>
            </w:pPr>
            <w:r>
              <w:rPr>
                <w:b w:val="0"/>
                <w:i w:val="0"/>
                <w:sz w:val="19"/>
              </w:rPr>
              <w:t>44.35 (3.68)</w:t>
            </w:r>
          </w:p>
        </w:tc>
        <w:tc>
          <w:tcPr>
            <w:tcW w:type="dxa" w:w="1289"/>
          </w:tcPr>
          <w:p>
            <w:pPr>
              <w:jc w:val="center"/>
            </w:pPr>
            <w:r>
              <w:rPr>
                <w:b w:val="0"/>
                <w:i w:val="0"/>
                <w:sz w:val="19"/>
              </w:rPr>
              <w:t>0.12 (0.03)</w:t>
            </w:r>
          </w:p>
        </w:tc>
        <w:tc>
          <w:tcPr>
            <w:tcW w:type="dxa" w:w="1289"/>
          </w:tcPr>
          <w:p>
            <w:pPr>
              <w:jc w:val="center"/>
            </w:pPr>
            <w:r>
              <w:rPr>
                <w:b w:val="0"/>
                <w:i w:val="0"/>
                <w:sz w:val="19"/>
              </w:rPr>
              <w:t>0.30 (0.02)</w:t>
            </w:r>
          </w:p>
        </w:tc>
        <w:tc>
          <w:tcPr>
            <w:tcW w:type="dxa" w:w="1289"/>
          </w:tcPr>
          <w:p>
            <w:pPr>
              <w:jc w:val="center"/>
            </w:pPr>
            <w:r>
              <w:rPr>
                <w:b w:val="0"/>
                <w:i w:val="0"/>
                <w:sz w:val="19"/>
              </w:rPr>
              <w:t>26.05%</w:t>
            </w:r>
          </w:p>
        </w:tc>
      </w:tr>
      <w:tr>
        <w:tc>
          <w:tcPr>
            <w:tcW w:type="dxa" w:w="1289"/>
          </w:tcPr>
          <w:p>
            <w:pPr>
              <w:jc w:val="both"/>
            </w:pPr>
          </w:p>
        </w:tc>
        <w:tc>
          <w:tcPr>
            <w:tcW w:type="dxa" w:w="1289"/>
          </w:tcPr>
          <w:p>
            <w:pPr>
              <w:jc w:val="both"/>
            </w:pPr>
            <w:r>
              <w:rPr>
                <w:b w:val="0"/>
                <w:i w:val="0"/>
                <w:sz w:val="19"/>
              </w:rPr>
              <w:t>CH₄/MM</w:t>
            </w:r>
          </w:p>
        </w:tc>
        <w:tc>
          <w:tcPr>
            <w:tcW w:type="dxa" w:w="1289"/>
          </w:tcPr>
          <w:p>
            <w:pPr>
              <w:jc w:val="center"/>
            </w:pPr>
            <w:r>
              <w:rPr>
                <w:b w:val="0"/>
                <w:i w:val="0"/>
                <w:sz w:val="19"/>
              </w:rPr>
              <w:t>0.20 (0.03)</w:t>
            </w:r>
          </w:p>
        </w:tc>
        <w:tc>
          <w:tcPr>
            <w:tcW w:type="dxa" w:w="1289"/>
          </w:tcPr>
          <w:p>
            <w:pPr>
              <w:jc w:val="center"/>
            </w:pPr>
            <w:r>
              <w:rPr>
                <w:b w:val="0"/>
                <w:i w:val="0"/>
                <w:sz w:val="19"/>
              </w:rPr>
              <w:t>–</w:t>
            </w:r>
          </w:p>
        </w:tc>
        <w:tc>
          <w:tcPr>
            <w:tcW w:type="dxa" w:w="1289"/>
          </w:tcPr>
          <w:p>
            <w:pPr>
              <w:jc w:val="center"/>
            </w:pPr>
            <w:r>
              <w:rPr>
                <w:b w:val="0"/>
                <w:i w:val="0"/>
                <w:sz w:val="19"/>
              </w:rPr>
              <w:t>0.46 (0.11)</w:t>
            </w:r>
          </w:p>
        </w:tc>
        <w:tc>
          <w:tcPr>
            <w:tcW w:type="dxa" w:w="1289"/>
          </w:tcPr>
          <w:p>
            <w:pPr>
              <w:jc w:val="center"/>
            </w:pPr>
            <w:r>
              <w:rPr>
                <w:b w:val="0"/>
                <w:i w:val="0"/>
                <w:sz w:val="19"/>
              </w:rPr>
              <w:t>–</w:t>
            </w:r>
          </w:p>
        </w:tc>
        <w:tc>
          <w:tcPr>
            <w:tcW w:type="dxa" w:w="1289"/>
          </w:tcPr>
          <w:p>
            <w:pPr>
              <w:jc w:val="center"/>
            </w:pPr>
            <w:r>
              <w:rPr>
                <w:b w:val="0"/>
                <w:i w:val="0"/>
                <w:sz w:val="19"/>
              </w:rPr>
              <w:t>13.59%</w:t>
            </w:r>
          </w:p>
        </w:tc>
      </w:tr>
      <w:tr>
        <w:tc>
          <w:tcPr>
            <w:tcW w:type="dxa" w:w="1289"/>
          </w:tcPr>
          <w:p>
            <w:pPr>
              <w:jc w:val="both"/>
            </w:pPr>
          </w:p>
        </w:tc>
        <w:tc>
          <w:tcPr>
            <w:tcW w:type="dxa" w:w="1289"/>
          </w:tcPr>
          <w:p>
            <w:pPr>
              <w:jc w:val="both"/>
            </w:pPr>
            <w:r>
              <w:rPr>
                <w:b w:val="0"/>
                <w:i w:val="0"/>
                <w:sz w:val="19"/>
              </w:rPr>
              <w:t>CH₄/rumen</w:t>
            </w:r>
          </w:p>
        </w:tc>
        <w:tc>
          <w:tcPr>
            <w:tcW w:type="dxa" w:w="1289"/>
          </w:tcPr>
          <w:p>
            <w:pPr>
              <w:jc w:val="center"/>
            </w:pPr>
            <w:r>
              <w:rPr>
                <w:b w:val="0"/>
                <w:i w:val="0"/>
                <w:sz w:val="19"/>
              </w:rPr>
              <w:t>0.37 (0.06)</w:t>
            </w:r>
          </w:p>
        </w:tc>
        <w:tc>
          <w:tcPr>
            <w:tcW w:type="dxa" w:w="1289"/>
          </w:tcPr>
          <w:p>
            <w:pPr>
              <w:jc w:val="center"/>
            </w:pPr>
            <w:r>
              <w:rPr>
                <w:b w:val="0"/>
                <w:i w:val="0"/>
                <w:sz w:val="19"/>
              </w:rPr>
              <w:t>–</w:t>
            </w:r>
          </w:p>
        </w:tc>
        <w:tc>
          <w:tcPr>
            <w:tcW w:type="dxa" w:w="1289"/>
          </w:tcPr>
          <w:p>
            <w:pPr>
              <w:jc w:val="center"/>
            </w:pPr>
            <w:r>
              <w:rPr>
                <w:b w:val="0"/>
                <w:i w:val="0"/>
                <w:sz w:val="19"/>
              </w:rPr>
              <w:t>0.35 (0.11)</w:t>
            </w:r>
          </w:p>
        </w:tc>
        <w:tc>
          <w:tcPr>
            <w:tcW w:type="dxa" w:w="1289"/>
          </w:tcPr>
          <w:p>
            <w:pPr>
              <w:jc w:val="center"/>
            </w:pPr>
            <w:r>
              <w:rPr>
                <w:b w:val="0"/>
                <w:i w:val="0"/>
                <w:sz w:val="19"/>
              </w:rPr>
              <w:t>–</w:t>
            </w:r>
          </w:p>
        </w:tc>
        <w:tc>
          <w:tcPr>
            <w:tcW w:type="dxa" w:w="1289"/>
          </w:tcPr>
          <w:p>
            <w:pPr>
              <w:jc w:val="center"/>
            </w:pPr>
            <w:r>
              <w:rPr>
                <w:b w:val="0"/>
                <w:i w:val="0"/>
                <w:sz w:val="19"/>
              </w:rPr>
              <w:t>13.83%</w:t>
            </w:r>
          </w:p>
        </w:tc>
      </w:tr>
      <w:tr>
        <w:tc>
          <w:tcPr>
            <w:tcW w:type="dxa" w:w="1289"/>
          </w:tcPr>
          <w:p>
            <w:pPr>
              <w:jc w:val="both"/>
            </w:pPr>
            <w:r>
              <w:rPr>
                <w:b w:val="0"/>
                <w:i w:val="0"/>
                <w:sz w:val="19"/>
              </w:rPr>
              <w:t>Residual</w:t>
            </w:r>
          </w:p>
        </w:tc>
        <w:tc>
          <w:tcPr>
            <w:tcW w:type="dxa" w:w="1289"/>
          </w:tcPr>
          <w:p>
            <w:pPr>
              <w:jc w:val="both"/>
            </w:pPr>
            <w:r>
              <w:rPr>
                <w:b w:val="0"/>
                <w:i w:val="0"/>
                <w:sz w:val="19"/>
              </w:rPr>
              <w:t>RMTMBW</w:t>
            </w:r>
          </w:p>
        </w:tc>
        <w:tc>
          <w:tcPr>
            <w:tcW w:type="dxa" w:w="1289"/>
          </w:tcPr>
          <w:p>
            <w:pPr>
              <w:jc w:val="center"/>
            </w:pPr>
            <w:r>
              <w:rPr>
                <w:b w:val="0"/>
                <w:i w:val="0"/>
                <w:sz w:val="19"/>
              </w:rPr>
              <w:t>1.29</w:t>
            </w:r>
          </w:p>
        </w:tc>
        <w:tc>
          <w:tcPr>
            <w:tcW w:type="dxa" w:w="1289"/>
          </w:tcPr>
          <w:p>
            <w:pPr>
              <w:jc w:val="center"/>
            </w:pPr>
            <w:r>
              <w:rPr>
                <w:b w:val="0"/>
                <w:i w:val="0"/>
                <w:sz w:val="19"/>
              </w:rPr>
              <w:t>0.90</w:t>
            </w:r>
          </w:p>
        </w:tc>
        <w:tc>
          <w:tcPr>
            <w:tcW w:type="dxa" w:w="1289"/>
          </w:tcPr>
          <w:p>
            <w:pPr>
              <w:jc w:val="center"/>
            </w:pPr>
            <w:r>
              <w:rPr>
                <w:b w:val="0"/>
                <w:i w:val="0"/>
                <w:sz w:val="19"/>
              </w:rPr>
              <w:t>0.16</w:t>
            </w:r>
          </w:p>
        </w:tc>
        <w:tc>
          <w:tcPr>
            <w:tcW w:type="dxa" w:w="1289"/>
          </w:tcPr>
          <w:p>
            <w:pPr>
              <w:jc w:val="center"/>
            </w:pPr>
            <w:r>
              <w:rPr>
                <w:b w:val="0"/>
                <w:i w:val="0"/>
                <w:sz w:val="19"/>
              </w:rPr>
              <w:t>0.24</w:t>
            </w:r>
          </w:p>
        </w:tc>
        <w:tc>
          <w:tcPr>
            <w:tcW w:type="dxa" w:w="1289"/>
          </w:tcPr>
          <w:p>
            <w:pPr>
              <w:jc w:val="center"/>
            </w:pPr>
            <w:r>
              <w:rPr>
                <w:b w:val="0"/>
                <w:i w:val="0"/>
                <w:sz w:val="19"/>
              </w:rPr>
              <w:t>–</w:t>
            </w:r>
          </w:p>
        </w:tc>
      </w:tr>
      <w:tr>
        <w:tc>
          <w:tcPr>
            <w:tcW w:type="dxa" w:w="1289"/>
          </w:tcPr>
          <w:p>
            <w:pPr>
              <w:jc w:val="both"/>
            </w:pPr>
          </w:p>
        </w:tc>
        <w:tc>
          <w:tcPr>
            <w:tcW w:type="dxa" w:w="1289"/>
          </w:tcPr>
          <w:p>
            <w:pPr>
              <w:jc w:val="both"/>
            </w:pPr>
            <w:r>
              <w:rPr>
                <w:b w:val="0"/>
                <w:i w:val="0"/>
                <w:sz w:val="19"/>
              </w:rPr>
              <w:t>RMTMBW+CO₂</w:t>
            </w:r>
          </w:p>
        </w:tc>
        <w:tc>
          <w:tcPr>
            <w:tcW w:type="dxa" w:w="1289"/>
          </w:tcPr>
          <w:p>
            <w:pPr>
              <w:jc w:val="center"/>
            </w:pPr>
            <w:r>
              <w:rPr>
                <w:b w:val="0"/>
                <w:i w:val="0"/>
                <w:sz w:val="19"/>
              </w:rPr>
              <w:t>1.41</w:t>
            </w:r>
          </w:p>
        </w:tc>
        <w:tc>
          <w:tcPr>
            <w:tcW w:type="dxa" w:w="1289"/>
          </w:tcPr>
          <w:p>
            <w:pPr>
              <w:jc w:val="center"/>
            </w:pPr>
            <w:r>
              <w:rPr>
                <w:b w:val="0"/>
                <w:i w:val="0"/>
                <w:sz w:val="19"/>
              </w:rPr>
              <w:t>1.14</w:t>
            </w:r>
          </w:p>
        </w:tc>
        <w:tc>
          <w:tcPr>
            <w:tcW w:type="dxa" w:w="1289"/>
          </w:tcPr>
          <w:p>
            <w:pPr>
              <w:jc w:val="center"/>
            </w:pPr>
            <w:r>
              <w:rPr>
                <w:b w:val="0"/>
                <w:i w:val="0"/>
                <w:sz w:val="19"/>
              </w:rPr>
              <w:t>0.17</w:t>
            </w:r>
          </w:p>
        </w:tc>
        <w:tc>
          <w:tcPr>
            <w:tcW w:type="dxa" w:w="1289"/>
          </w:tcPr>
          <w:p>
            <w:pPr>
              <w:jc w:val="center"/>
            </w:pPr>
            <w:r>
              <w:rPr>
                <w:b w:val="0"/>
                <w:i w:val="0"/>
                <w:sz w:val="19"/>
              </w:rPr>
              <w:t>0.28</w:t>
            </w:r>
          </w:p>
        </w:tc>
        <w:tc>
          <w:tcPr>
            <w:tcW w:type="dxa" w:w="1289"/>
          </w:tcPr>
          <w:p>
            <w:pPr>
              <w:jc w:val="center"/>
            </w:pPr>
            <w:r>
              <w:rPr>
                <w:b w:val="0"/>
                <w:i w:val="0"/>
                <w:sz w:val="19"/>
              </w:rPr>
              <w:t>–</w:t>
            </w:r>
          </w:p>
        </w:tc>
      </w:tr>
      <w:tr>
        <w:tc>
          <w:tcPr>
            <w:tcW w:type="dxa" w:w="1289"/>
          </w:tcPr>
          <w:p>
            <w:pPr>
              <w:jc w:val="both"/>
            </w:pPr>
          </w:p>
        </w:tc>
        <w:tc>
          <w:tcPr>
            <w:tcW w:type="dxa" w:w="1289"/>
          </w:tcPr>
          <w:p>
            <w:pPr>
              <w:jc w:val="both"/>
            </w:pPr>
            <w:r>
              <w:rPr>
                <w:b w:val="0"/>
                <w:i w:val="0"/>
                <w:sz w:val="19"/>
              </w:rPr>
              <w:t>RMTADG</w:t>
            </w:r>
          </w:p>
        </w:tc>
        <w:tc>
          <w:tcPr>
            <w:tcW w:type="dxa" w:w="1289"/>
          </w:tcPr>
          <w:p>
            <w:pPr>
              <w:jc w:val="center"/>
            </w:pPr>
            <w:r>
              <w:rPr>
                <w:b w:val="0"/>
                <w:i w:val="0"/>
                <w:sz w:val="19"/>
              </w:rPr>
              <w:t>1.55 (0.08)</w:t>
            </w:r>
          </w:p>
        </w:tc>
        <w:tc>
          <w:tcPr>
            <w:tcW w:type="dxa" w:w="1289"/>
          </w:tcPr>
          <w:p>
            <w:pPr>
              <w:jc w:val="center"/>
            </w:pPr>
            <w:r>
              <w:rPr>
                <w:b w:val="0"/>
                <w:i w:val="0"/>
                <w:sz w:val="19"/>
              </w:rPr>
              <w:t>–</w:t>
            </w:r>
          </w:p>
        </w:tc>
        <w:tc>
          <w:tcPr>
            <w:tcW w:type="dxa" w:w="1289"/>
          </w:tcPr>
          <w:p>
            <w:pPr>
              <w:jc w:val="center"/>
            </w:pPr>
            <w:r>
              <w:rPr>
                <w:b w:val="0"/>
                <w:i w:val="0"/>
                <w:sz w:val="19"/>
              </w:rPr>
              <w:t>0.28 (0.03)</w:t>
            </w:r>
          </w:p>
        </w:tc>
        <w:tc>
          <w:tcPr>
            <w:tcW w:type="dxa" w:w="1289"/>
          </w:tcPr>
          <w:p>
            <w:pPr>
              <w:jc w:val="center"/>
            </w:pPr>
            <w:r>
              <w:rPr>
                <w:b w:val="0"/>
                <w:i w:val="0"/>
                <w:sz w:val="19"/>
              </w:rPr>
              <w:t>–</w:t>
            </w:r>
          </w:p>
        </w:tc>
        <w:tc>
          <w:tcPr>
            <w:tcW w:type="dxa" w:w="1289"/>
          </w:tcPr>
          <w:p>
            <w:pPr>
              <w:jc w:val="center"/>
            </w:pPr>
            <w:r>
              <w:rPr>
                <w:b w:val="0"/>
                <w:i w:val="0"/>
                <w:sz w:val="19"/>
              </w:rPr>
              <w:t>–</w:t>
            </w:r>
          </w:p>
        </w:tc>
      </w:tr>
    </w:tbl>
    <w:p/>
    <w:p>
      <w:pPr>
        <w:jc w:val="both"/>
      </w:pPr>
      <w:r>
        <w:rPr>
          <w:b w:val="0"/>
          <w:i/>
          <w:sz w:val="20"/>
        </w:rPr>
        <w:t>σₐ = direct genetic standard deviation; σₚₑ = animal permanent environmental standard deviation; h² = heritability; t = repeatability; CVₐ = coefficient of genetic variation. Standard errors in parentheses. Trait abbreviations: CH₄ = daily methane output (g day⁻¹); CO₂ = daily carbon dioxide output (g day⁻¹); CH₄/MBW = methane per kg metabolic body weight (g day⁻¹ kg⁻⁰·⁷⁵); CH₄ ratio = CH₄/(CH₄+CO₂), mass basis; CH₄/ADG = methane per kg average daily gain (g kg⁻¹); CH₄/MM = methane per kg computed tomography (CT) muscle mass (g day⁻¹ kg⁻¹); CH₄/rumen = methane per litre CT rumen volume (g day⁻¹ L⁻¹); RMTMBW, RMTMBW+CO₂ and RMTADG = residual methane (g day⁻¹) from regression of CH₄ on metabolic body weight; metabolic body weight and CO₂; and average daily gain, respectively. For CO₂, CH₄, CH₄/MBW, CH₄ ratio, RMTMBW and RMTMBW+CO₂, a heterogeneous residual variance (41 classes) was modelled, whereas for CH₄/ADG, CH₄/MM, CH₄/rumen and RMTADG a single homogeneous residual variance was assumed. – = not estimated.</w:t>
      </w:r>
    </w:p>
    <w:p>
      <w:pPr>
        <w:pStyle w:val="Subheadings"/>
        <w:jc w:val="both"/>
      </w:pPr>
      <w:r>
        <w:rPr>
          <w:b w:val="0"/>
          <w:i w:val="0"/>
        </w:rPr>
        <w:t>Correlations among methane traits</w:t>
      </w:r>
    </w:p>
    <w:p>
      <w:pPr>
        <w:jc w:val="both"/>
      </w:pPr>
      <w:r>
        <w:rPr>
          <w:b w:val="0"/>
          <w:i w:val="0"/>
        </w:rPr>
        <w:t>Genetic and phenotypic correlations between daily methane production (CH₄), CO₂, and each alternative methane trait definition are presented in Table 3. Phenotypically, daily methane was strongly correlated with the size-adjusted definitions (0.87 with both CH₄/MBW and CH₄/MM, 0.90 with RMTMBW, 0.79 with RMTMBW+CO₂ and 0.71 with CH₄/rumen) and essentially perfectly correlated with RMTADG (1.00), but more weakly with CH₄/ADG (0.31) and CH₄ ratio (0.46).</w:t>
      </w:r>
    </w:p>
    <w:p>
      <w:pPr>
        <w:jc w:val="both"/>
      </w:pPr>
      <w:r>
        <w:rPr>
          <w:b w:val="0"/>
          <w:i w:val="0"/>
        </w:rPr>
        <w:t>Genetically, daily methane was strongly correlated with methane intensity (CH₄/MBW; 0.85 ± 0.02) and CH₄/MM (0.85 ± 0.04), moderately-to-strongly with CH₄/rumen (0.78 ± 0.10) and CH₄ ratio (0.71 ± 0.03), and only moderately with CH₄/ADG (0.38 ± 0.08). Notably, all three residual methane traits were strongly genetically correlated with absolute methane: RMTMBW (0.86 ± 0.01), RMTMBW+CO₂ (0.78 ± 0.02) and RMTADG (1.00 ± 0.00), the last being genetically indistinguishable from daily methane. Daily methane was also moderately correlated with CO₂ production both phenotypically (0.35) and genetically (0.57 ± 0.04).</w:t>
      </w:r>
    </w:p>
    <w:p>
      <w:pPr>
        <w:jc w:val="both"/>
      </w:pPr>
      <w:r>
        <w:rPr>
          <w:b/>
          <w:i w:val="0"/>
        </w:rPr>
        <w:t>Table 3.</w:t>
      </w:r>
      <w:r>
        <w:rPr>
          <w:b w:val="0"/>
          <w:i w:val="0"/>
        </w:rPr>
        <w:t xml:space="preserve"> Genetic and phenotypic correlations between daily methane production (CH₄), CO₂, and each alternative methane trait definition.</w:t>
      </w:r>
    </w:p>
    <w:tbl>
      <w:tblPr>
        <w:tblStyle w:val="PlainTable2"/>
        <w:tblW w:type="auto" w:w="0"/>
        <w:tblLook w:firstColumn="1" w:firstRow="1" w:lastColumn="0" w:lastRow="0" w:noHBand="0" w:noVBand="1" w:val="04A0"/>
      </w:tblPr>
      <w:tblGrid>
        <w:gridCol w:w="3009"/>
        <w:gridCol w:w="3009"/>
        <w:gridCol w:w="3009"/>
      </w:tblGrid>
      <w:tr>
        <w:tc>
          <w:tcPr>
            <w:tcW w:type="dxa" w:w="3009"/>
          </w:tcPr>
          <w:p>
            <w:pPr>
              <w:jc w:val="both"/>
            </w:pPr>
            <w:r>
              <w:rPr>
                <w:b w:val="0"/>
                <w:i w:val="0"/>
                <w:sz w:val="19"/>
              </w:rPr>
              <w:t>Trait</w:t>
            </w:r>
          </w:p>
        </w:tc>
        <w:tc>
          <w:tcPr>
            <w:tcW w:type="dxa" w:w="3009"/>
          </w:tcPr>
          <w:p>
            <w:pPr>
              <w:jc w:val="both"/>
            </w:pPr>
            <w:r>
              <w:rPr>
                <w:b w:val="0"/>
                <w:i w:val="0"/>
                <w:sz w:val="19"/>
              </w:rPr>
              <w:t>Genetic correlation with CH₄ (SE)</w:t>
            </w:r>
          </w:p>
        </w:tc>
        <w:tc>
          <w:tcPr>
            <w:tcW w:type="dxa" w:w="3009"/>
          </w:tcPr>
          <w:p>
            <w:pPr>
              <w:jc w:val="center"/>
            </w:pPr>
            <w:r>
              <w:rPr>
                <w:b w:val="0"/>
                <w:i w:val="0"/>
                <w:sz w:val="19"/>
              </w:rPr>
              <w:t>Phenotypic correlation with CH₄</w:t>
            </w:r>
          </w:p>
        </w:tc>
      </w:tr>
      <w:tr>
        <w:tc>
          <w:tcPr>
            <w:tcW w:type="dxa" w:w="3009"/>
          </w:tcPr>
          <w:p>
            <w:pPr>
              <w:jc w:val="both"/>
            </w:pPr>
            <w:r>
              <w:rPr>
                <w:b w:val="0"/>
                <w:i w:val="0"/>
                <w:sz w:val="19"/>
                <w:highlight w:val="yellow"/>
              </w:rPr>
              <w:t>CO₂</w:t>
            </w:r>
          </w:p>
        </w:tc>
        <w:tc>
          <w:tcPr>
            <w:tcW w:type="dxa" w:w="3009"/>
          </w:tcPr>
          <w:p>
            <w:pPr>
              <w:jc w:val="both"/>
            </w:pPr>
            <w:r>
              <w:rPr>
                <w:b w:val="0"/>
                <w:i w:val="0"/>
                <w:sz w:val="19"/>
                <w:highlight w:val="yellow"/>
              </w:rPr>
              <w:t>0.57 (0.04)</w:t>
            </w:r>
          </w:p>
        </w:tc>
        <w:tc>
          <w:tcPr>
            <w:tcW w:type="dxa" w:w="3009"/>
          </w:tcPr>
          <w:p>
            <w:pPr>
              <w:jc w:val="center"/>
            </w:pPr>
            <w:r>
              <w:rPr>
                <w:b w:val="0"/>
                <w:i w:val="0"/>
                <w:sz w:val="19"/>
                <w:highlight w:val="yellow"/>
              </w:rPr>
              <w:t>0.35</w:t>
            </w:r>
          </w:p>
        </w:tc>
      </w:tr>
      <w:tr>
        <w:tc>
          <w:tcPr>
            <w:tcW w:type="dxa" w:w="3009"/>
          </w:tcPr>
          <w:p>
            <w:pPr>
              <w:jc w:val="both"/>
            </w:pPr>
            <w:r>
              <w:rPr>
                <w:b w:val="0"/>
                <w:i w:val="0"/>
                <w:sz w:val="19"/>
              </w:rPr>
              <w:t>CH₄/MBW</w:t>
            </w:r>
          </w:p>
        </w:tc>
        <w:tc>
          <w:tcPr>
            <w:tcW w:type="dxa" w:w="3009"/>
          </w:tcPr>
          <w:p>
            <w:pPr>
              <w:jc w:val="both"/>
            </w:pPr>
            <w:r>
              <w:rPr>
                <w:b w:val="0"/>
                <w:i w:val="0"/>
                <w:sz w:val="19"/>
              </w:rPr>
              <w:t>0.85 (0.02)</w:t>
            </w:r>
          </w:p>
        </w:tc>
        <w:tc>
          <w:tcPr>
            <w:tcW w:type="dxa" w:w="3009"/>
          </w:tcPr>
          <w:p>
            <w:pPr>
              <w:jc w:val="center"/>
            </w:pPr>
            <w:r>
              <w:rPr>
                <w:b w:val="0"/>
                <w:i w:val="0"/>
                <w:sz w:val="19"/>
              </w:rPr>
              <w:t>0.87</w:t>
            </w:r>
          </w:p>
        </w:tc>
      </w:tr>
      <w:tr>
        <w:tc>
          <w:tcPr>
            <w:tcW w:type="dxa" w:w="3009"/>
          </w:tcPr>
          <w:p>
            <w:pPr>
              <w:jc w:val="both"/>
            </w:pPr>
            <w:r>
              <w:rPr>
                <w:b w:val="0"/>
                <w:i w:val="0"/>
                <w:sz w:val="19"/>
              </w:rPr>
              <w:t>CH₄ ratio</w:t>
            </w:r>
          </w:p>
        </w:tc>
        <w:tc>
          <w:tcPr>
            <w:tcW w:type="dxa" w:w="3009"/>
          </w:tcPr>
          <w:p>
            <w:pPr>
              <w:jc w:val="both"/>
            </w:pPr>
            <w:r>
              <w:rPr>
                <w:b w:val="0"/>
                <w:i w:val="0"/>
                <w:sz w:val="19"/>
              </w:rPr>
              <w:t>0.71 (0.03)</w:t>
            </w:r>
          </w:p>
        </w:tc>
        <w:tc>
          <w:tcPr>
            <w:tcW w:type="dxa" w:w="3009"/>
          </w:tcPr>
          <w:p>
            <w:pPr>
              <w:jc w:val="center"/>
            </w:pPr>
            <w:r>
              <w:rPr>
                <w:b w:val="0"/>
                <w:i w:val="0"/>
                <w:sz w:val="19"/>
              </w:rPr>
              <w:t>0.46</w:t>
            </w:r>
          </w:p>
        </w:tc>
      </w:tr>
      <w:tr>
        <w:tc>
          <w:tcPr>
            <w:tcW w:type="dxa" w:w="3009"/>
          </w:tcPr>
          <w:p>
            <w:pPr>
              <w:jc w:val="both"/>
            </w:pPr>
            <w:r>
              <w:rPr>
                <w:b w:val="0"/>
                <w:i w:val="0"/>
                <w:sz w:val="19"/>
              </w:rPr>
              <w:t>CH₄/ADG</w:t>
            </w:r>
          </w:p>
        </w:tc>
        <w:tc>
          <w:tcPr>
            <w:tcW w:type="dxa" w:w="3009"/>
          </w:tcPr>
          <w:p>
            <w:pPr>
              <w:jc w:val="both"/>
            </w:pPr>
            <w:r>
              <w:rPr>
                <w:b w:val="0"/>
                <w:i w:val="0"/>
                <w:sz w:val="19"/>
              </w:rPr>
              <w:t>0.38 (0.08)</w:t>
            </w:r>
          </w:p>
        </w:tc>
        <w:tc>
          <w:tcPr>
            <w:tcW w:type="dxa" w:w="3009"/>
          </w:tcPr>
          <w:p>
            <w:pPr>
              <w:jc w:val="center"/>
            </w:pPr>
            <w:r>
              <w:rPr>
                <w:b w:val="0"/>
                <w:i w:val="0"/>
                <w:sz w:val="19"/>
              </w:rPr>
              <w:t>0.31</w:t>
            </w:r>
          </w:p>
        </w:tc>
      </w:tr>
      <w:tr>
        <w:tc>
          <w:tcPr>
            <w:tcW w:type="dxa" w:w="3009"/>
          </w:tcPr>
          <w:p>
            <w:pPr>
              <w:jc w:val="both"/>
            </w:pPr>
            <w:r>
              <w:rPr>
                <w:b w:val="0"/>
                <w:i w:val="0"/>
                <w:sz w:val="19"/>
              </w:rPr>
              <w:t>CH₄/MM</w:t>
            </w:r>
          </w:p>
        </w:tc>
        <w:tc>
          <w:tcPr>
            <w:tcW w:type="dxa" w:w="3009"/>
          </w:tcPr>
          <w:p>
            <w:pPr>
              <w:jc w:val="both"/>
            </w:pPr>
            <w:r>
              <w:rPr>
                <w:b w:val="0"/>
                <w:i w:val="0"/>
                <w:sz w:val="19"/>
              </w:rPr>
              <w:t>0.85 (0.04)</w:t>
            </w:r>
          </w:p>
        </w:tc>
        <w:tc>
          <w:tcPr>
            <w:tcW w:type="dxa" w:w="3009"/>
          </w:tcPr>
          <w:p>
            <w:pPr>
              <w:jc w:val="center"/>
            </w:pPr>
            <w:r>
              <w:rPr>
                <w:b w:val="0"/>
                <w:i w:val="0"/>
                <w:sz w:val="19"/>
              </w:rPr>
              <w:t>0.87</w:t>
            </w:r>
          </w:p>
        </w:tc>
      </w:tr>
      <w:tr>
        <w:tc>
          <w:tcPr>
            <w:tcW w:type="dxa" w:w="3009"/>
          </w:tcPr>
          <w:p>
            <w:pPr>
              <w:jc w:val="both"/>
            </w:pPr>
            <w:r>
              <w:rPr>
                <w:b w:val="0"/>
                <w:i w:val="0"/>
                <w:sz w:val="19"/>
              </w:rPr>
              <w:t>CH₄/rumen</w:t>
            </w:r>
          </w:p>
        </w:tc>
        <w:tc>
          <w:tcPr>
            <w:tcW w:type="dxa" w:w="3009"/>
          </w:tcPr>
          <w:p>
            <w:pPr>
              <w:jc w:val="both"/>
            </w:pPr>
            <w:r>
              <w:rPr>
                <w:b w:val="0"/>
                <w:i w:val="0"/>
                <w:sz w:val="19"/>
              </w:rPr>
              <w:t>0.78 (0.10)</w:t>
            </w:r>
          </w:p>
        </w:tc>
        <w:tc>
          <w:tcPr>
            <w:tcW w:type="dxa" w:w="3009"/>
          </w:tcPr>
          <w:p>
            <w:pPr>
              <w:jc w:val="center"/>
            </w:pPr>
            <w:r>
              <w:rPr>
                <w:b w:val="0"/>
                <w:i w:val="0"/>
                <w:sz w:val="19"/>
              </w:rPr>
              <w:t>0.71</w:t>
            </w:r>
          </w:p>
        </w:tc>
      </w:tr>
      <w:tr>
        <w:tc>
          <w:tcPr>
            <w:tcW w:type="dxa" w:w="3009"/>
          </w:tcPr>
          <w:p>
            <w:pPr>
              <w:jc w:val="both"/>
            </w:pPr>
            <w:r>
              <w:rPr>
                <w:b w:val="0"/>
                <w:i w:val="0"/>
                <w:sz w:val="19"/>
              </w:rPr>
              <w:t>RMTMBW</w:t>
            </w:r>
          </w:p>
        </w:tc>
        <w:tc>
          <w:tcPr>
            <w:tcW w:type="dxa" w:w="3009"/>
          </w:tcPr>
          <w:p>
            <w:pPr>
              <w:jc w:val="both"/>
            </w:pPr>
            <w:r>
              <w:rPr>
                <w:b w:val="0"/>
                <w:i w:val="0"/>
                <w:sz w:val="19"/>
              </w:rPr>
              <w:t>0.86 (0.01)</w:t>
            </w:r>
          </w:p>
        </w:tc>
        <w:tc>
          <w:tcPr>
            <w:tcW w:type="dxa" w:w="3009"/>
          </w:tcPr>
          <w:p>
            <w:pPr>
              <w:jc w:val="center"/>
            </w:pPr>
            <w:r>
              <w:rPr>
                <w:b w:val="0"/>
                <w:i w:val="0"/>
                <w:sz w:val="19"/>
              </w:rPr>
              <w:t>0.90</w:t>
            </w:r>
          </w:p>
        </w:tc>
      </w:tr>
      <w:tr>
        <w:tc>
          <w:tcPr>
            <w:tcW w:type="dxa" w:w="3009"/>
          </w:tcPr>
          <w:p>
            <w:pPr>
              <w:jc w:val="both"/>
            </w:pPr>
            <w:r>
              <w:rPr>
                <w:b w:val="0"/>
                <w:i w:val="0"/>
                <w:sz w:val="19"/>
              </w:rPr>
              <w:t>RMTMBW+CO₂</w:t>
            </w:r>
          </w:p>
        </w:tc>
        <w:tc>
          <w:tcPr>
            <w:tcW w:type="dxa" w:w="3009"/>
          </w:tcPr>
          <w:p>
            <w:pPr>
              <w:jc w:val="both"/>
            </w:pPr>
            <w:r>
              <w:rPr>
                <w:b w:val="0"/>
                <w:i w:val="0"/>
                <w:sz w:val="19"/>
              </w:rPr>
              <w:t>0.78 (0.02)</w:t>
            </w:r>
          </w:p>
        </w:tc>
        <w:tc>
          <w:tcPr>
            <w:tcW w:type="dxa" w:w="3009"/>
          </w:tcPr>
          <w:p>
            <w:pPr>
              <w:jc w:val="center"/>
            </w:pPr>
            <w:r>
              <w:rPr>
                <w:b w:val="0"/>
                <w:i w:val="0"/>
                <w:sz w:val="19"/>
              </w:rPr>
              <w:t>0.79</w:t>
            </w:r>
          </w:p>
        </w:tc>
      </w:tr>
      <w:tr>
        <w:tc>
          <w:tcPr>
            <w:tcW w:type="dxa" w:w="3009"/>
          </w:tcPr>
          <w:p>
            <w:pPr>
              <w:jc w:val="both"/>
            </w:pPr>
            <w:r>
              <w:rPr>
                <w:b w:val="0"/>
                <w:i w:val="0"/>
                <w:sz w:val="19"/>
              </w:rPr>
              <w:t>RMTADG</w:t>
            </w:r>
          </w:p>
        </w:tc>
        <w:tc>
          <w:tcPr>
            <w:tcW w:type="dxa" w:w="3009"/>
          </w:tcPr>
          <w:p>
            <w:pPr>
              <w:jc w:val="both"/>
            </w:pPr>
            <w:r>
              <w:rPr>
                <w:b w:val="0"/>
                <w:i w:val="0"/>
                <w:sz w:val="19"/>
              </w:rPr>
              <w:t>1.00 (0.00)</w:t>
            </w:r>
          </w:p>
        </w:tc>
        <w:tc>
          <w:tcPr>
            <w:tcW w:type="dxa" w:w="3009"/>
          </w:tcPr>
          <w:p>
            <w:pPr>
              <w:jc w:val="center"/>
            </w:pPr>
            <w:r>
              <w:rPr>
                <w:b w:val="0"/>
                <w:i w:val="0"/>
                <w:sz w:val="19"/>
              </w:rPr>
              <w:t>1.00</w:t>
            </w:r>
          </w:p>
        </w:tc>
      </w:tr>
    </w:tbl>
    <w:p/>
    <w:p>
      <w:pPr>
        <w:jc w:val="both"/>
      </w:pPr>
      <w:r>
        <w:rPr>
          <w:b w:val="0"/>
          <w:i/>
          <w:sz w:val="20"/>
        </w:rPr>
        <w:t>Standard errors of genetic correlations in parentheses; standard errors of phenotypic correlations were all ≤0.02. Trait abbreviations: CH₄ = daily methane output (g day⁻¹); CO₂ = daily carbon dioxide output (g day⁻¹); CH₄/MBW = methane per kg metabolic body weight (g day⁻¹ kg⁻⁰·⁷⁵); CH₄ ratio = CH₄/(CH₄+CO₂), mass basis; CH₄/ADG = methane per kg average daily gain (g kg⁻¹); CH₄/MM = methane per kg computed tomography (CT) muscle mass (g day⁻¹ kg⁻¹); CH₄/rumen = methane per litre CT rumen volume (g day⁻¹ L⁻¹); RMTMBW, RMTMBW+CO₂ and RMTADG = residual methane (g day⁻¹) from regression of CH₄ on metabolic body weight; metabolic body weight and CO₂; and average daily gain, respectively.</w:t>
      </w:r>
    </w:p>
    <w:p>
      <w:pPr>
        <w:pStyle w:val="Subheadings"/>
        <w:jc w:val="both"/>
      </w:pPr>
      <w:r>
        <w:rPr>
          <w:b w:val="0"/>
          <w:i w:val="0"/>
        </w:rPr>
        <w:t>Correlations between methane and production traits</w:t>
      </w:r>
    </w:p>
    <w:p>
      <w:pPr>
        <w:jc w:val="both"/>
      </w:pPr>
      <w:r>
        <w:rPr>
          <w:b w:val="0"/>
          <w:i w:val="0"/>
        </w:rPr>
        <w:t>Phenotypic and genetic correlations between methane traits and production traits are presented in Tables 4 and 5, respectively. Phenotypically, CH₄ showed weak to moderate positive correlations with the production traits examined, including metabolic body weight (MBW; 0.36 ± 0.01), live weight (LW; 0.35 ± 0.01), ADG (0.17 ± 0.02), rumen volume (0.31 ± 0.04), and muscle mass (0.26 ± 0.04). As expected, several ratio-based methane traits showed negative phenotypic correlations with the denominator production traits, including methane intensity (CH₄/MBW) with MBW (−0.10 ± 0.01), CH₄/MM with muscle mass (−0.24 ± 0.04), CH₄/ADG with ADG itself (−0.25 ± 0.02), and CH₄/rumen with rumen volume (−0.45 ± 0.03). Residual methane traits showed contrasting patterns, with RMTMBW negatively phenotypically correlated with MBW (−0.08 ± 0.01), whereas RMTADG showed a positive phenotypic correlation with its own adjustment trait, ADG (0.12 ± 0.02).</w:t>
      </w:r>
    </w:p>
    <w:p>
      <w:pPr>
        <w:jc w:val="both"/>
      </w:pPr>
      <w:r>
        <w:rPr>
          <w:b/>
          <w:i w:val="0"/>
        </w:rPr>
        <w:t>Table 4.</w:t>
      </w:r>
      <w:r>
        <w:rPr>
          <w:b w:val="0"/>
          <w:i w:val="0"/>
        </w:rPr>
        <w:t xml:space="preserve"> Phenotypic correlations between methane traits and production traits (standard errors in parentheses).</w:t>
      </w:r>
    </w:p>
    <w:tbl>
      <w:tblPr>
        <w:tblStyle w:val="TableGrid"/>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tcPr>
          <w:p>
            <w:pPr>
              <w:jc w:val="both"/>
            </w:pPr>
            <w:r>
              <w:rPr>
                <w:b w:val="0"/>
                <w:i w:val="0"/>
                <w:sz w:val="19"/>
              </w:rPr>
              <w:t>Trait group</w:t>
            </w:r>
          </w:p>
        </w:tc>
        <w:tc>
          <w:tcPr>
            <w:tcW w:type="dxa" w:w="1289"/>
          </w:tcPr>
          <w:p>
            <w:pPr>
              <w:jc w:val="both"/>
            </w:pPr>
            <w:r>
              <w:rPr>
                <w:b w:val="0"/>
                <w:i w:val="0"/>
                <w:sz w:val="19"/>
              </w:rPr>
              <w:t>Trait</w:t>
            </w:r>
          </w:p>
        </w:tc>
        <w:tc>
          <w:tcPr>
            <w:tcW w:type="dxa" w:w="1289"/>
          </w:tcPr>
          <w:p>
            <w:pPr>
              <w:jc w:val="center"/>
            </w:pPr>
            <w:r>
              <w:rPr>
                <w:b w:val="0"/>
                <w:i w:val="0"/>
                <w:sz w:val="19"/>
              </w:rPr>
              <w:t>Metabolic body weight</w:t>
            </w:r>
          </w:p>
        </w:tc>
        <w:tc>
          <w:tcPr>
            <w:tcW w:type="dxa" w:w="1289"/>
          </w:tcPr>
          <w:p>
            <w:pPr>
              <w:jc w:val="center"/>
            </w:pPr>
            <w:r>
              <w:rPr>
                <w:b w:val="0"/>
                <w:i w:val="0"/>
                <w:sz w:val="19"/>
              </w:rPr>
              <w:t>Live weight</w:t>
            </w:r>
          </w:p>
        </w:tc>
        <w:tc>
          <w:tcPr>
            <w:tcW w:type="dxa" w:w="1289"/>
          </w:tcPr>
          <w:p>
            <w:pPr>
              <w:jc w:val="center"/>
            </w:pPr>
            <w:r>
              <w:rPr>
                <w:b w:val="0"/>
                <w:i w:val="0"/>
                <w:sz w:val="19"/>
              </w:rPr>
              <w:t>Average daily gain</w:t>
            </w:r>
          </w:p>
        </w:tc>
        <w:tc>
          <w:tcPr>
            <w:tcW w:type="dxa" w:w="1289"/>
          </w:tcPr>
          <w:p>
            <w:pPr>
              <w:jc w:val="center"/>
            </w:pPr>
            <w:r>
              <w:rPr>
                <w:b w:val="0"/>
                <w:i w:val="0"/>
                <w:sz w:val="19"/>
              </w:rPr>
              <w:t>Muscle mass</w:t>
            </w:r>
          </w:p>
        </w:tc>
        <w:tc>
          <w:tcPr>
            <w:tcW w:type="dxa" w:w="1289"/>
          </w:tcPr>
          <w:p>
            <w:pPr>
              <w:jc w:val="center"/>
            </w:pPr>
            <w:r>
              <w:rPr>
                <w:b w:val="0"/>
                <w:i w:val="0"/>
                <w:sz w:val="19"/>
              </w:rPr>
              <w:t>Rumen volume</w:t>
            </w:r>
          </w:p>
        </w:tc>
      </w:tr>
      <w:tr>
        <w:tc>
          <w:tcPr>
            <w:tcW w:type="dxa" w:w="1289"/>
          </w:tcPr>
          <w:p>
            <w:pPr>
              <w:jc w:val="both"/>
            </w:pPr>
            <w:r>
              <w:rPr>
                <w:b w:val="0"/>
                <w:i w:val="0"/>
                <w:sz w:val="19"/>
              </w:rPr>
              <w:t>Absolute</w:t>
            </w:r>
          </w:p>
        </w:tc>
        <w:tc>
          <w:tcPr>
            <w:tcW w:type="dxa" w:w="1289"/>
          </w:tcPr>
          <w:p>
            <w:pPr>
              <w:jc w:val="both"/>
            </w:pPr>
            <w:r>
              <w:rPr>
                <w:b w:val="0"/>
                <w:i w:val="0"/>
                <w:sz w:val="19"/>
              </w:rPr>
              <w:t>CH₄</w:t>
            </w:r>
          </w:p>
        </w:tc>
        <w:tc>
          <w:tcPr>
            <w:tcW w:type="dxa" w:w="1289"/>
          </w:tcPr>
          <w:p>
            <w:pPr>
              <w:jc w:val="center"/>
            </w:pPr>
            <w:r>
              <w:rPr>
                <w:b w:val="0"/>
                <w:i w:val="0"/>
                <w:sz w:val="19"/>
              </w:rPr>
              <w:t>0.36 (0.01)</w:t>
            </w:r>
          </w:p>
        </w:tc>
        <w:tc>
          <w:tcPr>
            <w:tcW w:type="dxa" w:w="1289"/>
          </w:tcPr>
          <w:p>
            <w:pPr>
              <w:jc w:val="center"/>
            </w:pPr>
            <w:r>
              <w:rPr>
                <w:b w:val="0"/>
                <w:i w:val="0"/>
                <w:sz w:val="19"/>
              </w:rPr>
              <w:t>0.35 (0.01)</w:t>
            </w:r>
          </w:p>
        </w:tc>
        <w:tc>
          <w:tcPr>
            <w:tcW w:type="dxa" w:w="1289"/>
          </w:tcPr>
          <w:p>
            <w:pPr>
              <w:jc w:val="center"/>
            </w:pPr>
            <w:r>
              <w:rPr>
                <w:b w:val="0"/>
                <w:i w:val="0"/>
                <w:sz w:val="19"/>
              </w:rPr>
              <w:t>0.17 (0.02)</w:t>
            </w:r>
          </w:p>
        </w:tc>
        <w:tc>
          <w:tcPr>
            <w:tcW w:type="dxa" w:w="1289"/>
          </w:tcPr>
          <w:p>
            <w:pPr>
              <w:jc w:val="center"/>
            </w:pPr>
            <w:r>
              <w:rPr>
                <w:b w:val="0"/>
                <w:i w:val="0"/>
                <w:sz w:val="19"/>
              </w:rPr>
              <w:t>0.26 (0.04)</w:t>
            </w:r>
          </w:p>
        </w:tc>
        <w:tc>
          <w:tcPr>
            <w:tcW w:type="dxa" w:w="1289"/>
          </w:tcPr>
          <w:p>
            <w:pPr>
              <w:jc w:val="center"/>
            </w:pPr>
            <w:r>
              <w:rPr>
                <w:b w:val="0"/>
                <w:i w:val="0"/>
                <w:sz w:val="19"/>
              </w:rPr>
              <w:t>0.31 (0.04)</w:t>
            </w:r>
          </w:p>
        </w:tc>
      </w:tr>
      <w:tr>
        <w:tc>
          <w:tcPr>
            <w:tcW w:type="dxa" w:w="1289"/>
          </w:tcPr>
          <w:p>
            <w:pPr>
              <w:jc w:val="both"/>
            </w:pPr>
            <w:r>
              <w:rPr>
                <w:b w:val="0"/>
                <w:i w:val="0"/>
                <w:sz w:val="19"/>
              </w:rPr>
              <w:t>Ratio</w:t>
            </w:r>
          </w:p>
        </w:tc>
        <w:tc>
          <w:tcPr>
            <w:tcW w:type="dxa" w:w="1289"/>
          </w:tcPr>
          <w:p>
            <w:pPr>
              <w:jc w:val="both"/>
            </w:pPr>
            <w:r>
              <w:rPr>
                <w:b w:val="0"/>
                <w:i w:val="0"/>
                <w:sz w:val="19"/>
              </w:rPr>
              <w:t>CH₄/MBW</w:t>
            </w:r>
          </w:p>
        </w:tc>
        <w:tc>
          <w:tcPr>
            <w:tcW w:type="dxa" w:w="1289"/>
          </w:tcPr>
          <w:p>
            <w:pPr>
              <w:jc w:val="center"/>
            </w:pPr>
            <w:r>
              <w:rPr>
                <w:b w:val="0"/>
                <w:i w:val="0"/>
                <w:sz w:val="19"/>
              </w:rPr>
              <w:t>-0.10 (0.01)</w:t>
            </w:r>
          </w:p>
        </w:tc>
        <w:tc>
          <w:tcPr>
            <w:tcW w:type="dxa" w:w="1289"/>
          </w:tcPr>
          <w:p>
            <w:pPr>
              <w:jc w:val="center"/>
            </w:pPr>
            <w:r>
              <w:rPr>
                <w:b w:val="0"/>
                <w:i w:val="0"/>
                <w:sz w:val="19"/>
              </w:rPr>
              <w:t>-0.10 (0.01)</w:t>
            </w:r>
          </w:p>
        </w:tc>
        <w:tc>
          <w:tcPr>
            <w:tcW w:type="dxa" w:w="1289"/>
          </w:tcPr>
          <w:p>
            <w:pPr>
              <w:jc w:val="center"/>
            </w:pPr>
            <w:r>
              <w:rPr>
                <w:b w:val="0"/>
                <w:i w:val="0"/>
                <w:sz w:val="19"/>
              </w:rPr>
              <w:t>-0.11 (0.02)</w:t>
            </w:r>
          </w:p>
        </w:tc>
        <w:tc>
          <w:tcPr>
            <w:tcW w:type="dxa" w:w="1289"/>
          </w:tcPr>
          <w:p>
            <w:pPr>
              <w:jc w:val="center"/>
            </w:pPr>
            <w:r>
              <w:rPr>
                <w:b w:val="0"/>
                <w:i w:val="0"/>
                <w:sz w:val="19"/>
              </w:rPr>
              <w:t>-0.04 (0.04)</w:t>
            </w:r>
          </w:p>
        </w:tc>
        <w:tc>
          <w:tcPr>
            <w:tcW w:type="dxa" w:w="1289"/>
          </w:tcPr>
          <w:p>
            <w:pPr>
              <w:jc w:val="center"/>
            </w:pPr>
            <w:r>
              <w:rPr>
                <w:b w:val="0"/>
                <w:i w:val="0"/>
                <w:sz w:val="19"/>
              </w:rPr>
              <w:t>0.13 (0.04)</w:t>
            </w:r>
          </w:p>
        </w:tc>
      </w:tr>
      <w:tr>
        <w:tc>
          <w:tcPr>
            <w:tcW w:type="dxa" w:w="1289"/>
          </w:tcPr>
          <w:p>
            <w:pPr>
              <w:jc w:val="both"/>
            </w:pPr>
          </w:p>
        </w:tc>
        <w:tc>
          <w:tcPr>
            <w:tcW w:type="dxa" w:w="1289"/>
          </w:tcPr>
          <w:p>
            <w:pPr>
              <w:jc w:val="both"/>
            </w:pPr>
            <w:r>
              <w:rPr>
                <w:b w:val="0"/>
                <w:i w:val="0"/>
                <w:sz w:val="19"/>
              </w:rPr>
              <w:t>CH₄ ratio</w:t>
            </w:r>
          </w:p>
        </w:tc>
        <w:tc>
          <w:tcPr>
            <w:tcW w:type="dxa" w:w="1289"/>
          </w:tcPr>
          <w:p>
            <w:pPr>
              <w:jc w:val="center"/>
            </w:pPr>
            <w:r>
              <w:rPr>
                <w:b w:val="0"/>
                <w:i w:val="0"/>
                <w:sz w:val="19"/>
              </w:rPr>
              <w:t>-0.06 (0.01)</w:t>
            </w:r>
          </w:p>
        </w:tc>
        <w:tc>
          <w:tcPr>
            <w:tcW w:type="dxa" w:w="1289"/>
          </w:tcPr>
          <w:p>
            <w:pPr>
              <w:jc w:val="center"/>
            </w:pPr>
            <w:r>
              <w:rPr>
                <w:b w:val="0"/>
                <w:i w:val="0"/>
                <w:sz w:val="19"/>
              </w:rPr>
              <w:t>–</w:t>
            </w:r>
          </w:p>
        </w:tc>
        <w:tc>
          <w:tcPr>
            <w:tcW w:type="dxa" w:w="1289"/>
          </w:tcPr>
          <w:p>
            <w:pPr>
              <w:jc w:val="center"/>
            </w:pPr>
            <w:r>
              <w:rPr>
                <w:b w:val="0"/>
                <w:i w:val="0"/>
                <w:sz w:val="19"/>
              </w:rPr>
              <w:t>-0.01 (0.02)</w:t>
            </w:r>
          </w:p>
        </w:tc>
        <w:tc>
          <w:tcPr>
            <w:tcW w:type="dxa" w:w="1289"/>
          </w:tcPr>
          <w:p>
            <w:pPr>
              <w:jc w:val="center"/>
            </w:pPr>
            <w:r>
              <w:rPr>
                <w:b w:val="0"/>
                <w:i w:val="0"/>
                <w:sz w:val="19"/>
              </w:rPr>
              <w:t>-0.06 (0.04)</w:t>
            </w:r>
          </w:p>
        </w:tc>
        <w:tc>
          <w:tcPr>
            <w:tcW w:type="dxa" w:w="1289"/>
          </w:tcPr>
          <w:p>
            <w:pPr>
              <w:jc w:val="center"/>
            </w:pPr>
            <w:r>
              <w:rPr>
                <w:b w:val="0"/>
                <w:i w:val="0"/>
                <w:sz w:val="19"/>
              </w:rPr>
              <w:t>0.19 (0.04)</w:t>
            </w:r>
          </w:p>
        </w:tc>
      </w:tr>
      <w:tr>
        <w:tc>
          <w:tcPr>
            <w:tcW w:type="dxa" w:w="1289"/>
          </w:tcPr>
          <w:p>
            <w:pPr>
              <w:jc w:val="both"/>
            </w:pPr>
          </w:p>
        </w:tc>
        <w:tc>
          <w:tcPr>
            <w:tcW w:type="dxa" w:w="1289"/>
          </w:tcPr>
          <w:p>
            <w:pPr>
              <w:jc w:val="both"/>
            </w:pPr>
            <w:r>
              <w:rPr>
                <w:b w:val="0"/>
                <w:i w:val="0"/>
                <w:sz w:val="19"/>
              </w:rPr>
              <w:t>CH₄/ADG</w:t>
            </w:r>
          </w:p>
        </w:tc>
        <w:tc>
          <w:tcPr>
            <w:tcW w:type="dxa" w:w="1289"/>
          </w:tcPr>
          <w:p>
            <w:pPr>
              <w:jc w:val="center"/>
            </w:pPr>
            <w:r>
              <w:rPr>
                <w:b w:val="0"/>
                <w:i w:val="0"/>
                <w:sz w:val="19"/>
              </w:rPr>
              <w:t>-0.00 (0.02)</w:t>
            </w:r>
          </w:p>
        </w:tc>
        <w:tc>
          <w:tcPr>
            <w:tcW w:type="dxa" w:w="1289"/>
          </w:tcPr>
          <w:p>
            <w:pPr>
              <w:jc w:val="center"/>
            </w:pPr>
            <w:r>
              <w:rPr>
                <w:b w:val="0"/>
                <w:i w:val="0"/>
                <w:sz w:val="19"/>
              </w:rPr>
              <w:t>-0.02 (0.02)</w:t>
            </w:r>
          </w:p>
        </w:tc>
        <w:tc>
          <w:tcPr>
            <w:tcW w:type="dxa" w:w="1289"/>
          </w:tcPr>
          <w:p>
            <w:pPr>
              <w:jc w:val="center"/>
            </w:pPr>
            <w:r>
              <w:rPr>
                <w:b w:val="0"/>
                <w:i w:val="0"/>
                <w:sz w:val="19"/>
              </w:rPr>
              <w:t>-0.25 (0.02)</w:t>
            </w:r>
          </w:p>
        </w:tc>
        <w:tc>
          <w:tcPr>
            <w:tcW w:type="dxa" w:w="1289"/>
          </w:tcPr>
          <w:p>
            <w:pPr>
              <w:jc w:val="center"/>
            </w:pPr>
            <w:r>
              <w:rPr>
                <w:b w:val="0"/>
                <w:i w:val="0"/>
                <w:sz w:val="19"/>
              </w:rPr>
              <w:t>0.26 (0.05)</w:t>
            </w:r>
          </w:p>
        </w:tc>
        <w:tc>
          <w:tcPr>
            <w:tcW w:type="dxa" w:w="1289"/>
          </w:tcPr>
          <w:p>
            <w:pPr>
              <w:jc w:val="center"/>
            </w:pPr>
            <w:r>
              <w:rPr>
                <w:b w:val="0"/>
                <w:i w:val="0"/>
                <w:sz w:val="19"/>
              </w:rPr>
              <w:t>0.20 (0.05)</w:t>
            </w:r>
          </w:p>
        </w:tc>
      </w:tr>
      <w:tr>
        <w:tc>
          <w:tcPr>
            <w:tcW w:type="dxa" w:w="1289"/>
          </w:tcPr>
          <w:p>
            <w:pPr>
              <w:jc w:val="both"/>
            </w:pPr>
          </w:p>
        </w:tc>
        <w:tc>
          <w:tcPr>
            <w:tcW w:type="dxa" w:w="1289"/>
          </w:tcPr>
          <w:p>
            <w:pPr>
              <w:jc w:val="both"/>
            </w:pPr>
            <w:r>
              <w:rPr>
                <w:b w:val="0"/>
                <w:i w:val="0"/>
                <w:sz w:val="19"/>
              </w:rPr>
              <w:t>CH₄/MM</w:t>
            </w:r>
          </w:p>
        </w:tc>
        <w:tc>
          <w:tcPr>
            <w:tcW w:type="dxa" w:w="1289"/>
          </w:tcPr>
          <w:p>
            <w:pPr>
              <w:jc w:val="center"/>
            </w:pPr>
            <w:r>
              <w:rPr>
                <w:b w:val="0"/>
                <w:i w:val="0"/>
                <w:sz w:val="19"/>
              </w:rPr>
              <w:t>-0.09 (0.05)</w:t>
            </w:r>
          </w:p>
        </w:tc>
        <w:tc>
          <w:tcPr>
            <w:tcW w:type="dxa" w:w="1289"/>
          </w:tcPr>
          <w:p>
            <w:pPr>
              <w:jc w:val="center"/>
            </w:pPr>
            <w:r>
              <w:rPr>
                <w:b w:val="0"/>
                <w:i w:val="0"/>
                <w:sz w:val="19"/>
              </w:rPr>
              <w:t>-0.06 (0.05)</w:t>
            </w:r>
          </w:p>
        </w:tc>
        <w:tc>
          <w:tcPr>
            <w:tcW w:type="dxa" w:w="1289"/>
          </w:tcPr>
          <w:p>
            <w:pPr>
              <w:jc w:val="center"/>
            </w:pPr>
            <w:r>
              <w:rPr>
                <w:b w:val="0"/>
                <w:i w:val="0"/>
                <w:sz w:val="19"/>
              </w:rPr>
              <w:t>0.01 (0.05)</w:t>
            </w:r>
          </w:p>
        </w:tc>
        <w:tc>
          <w:tcPr>
            <w:tcW w:type="dxa" w:w="1289"/>
          </w:tcPr>
          <w:p>
            <w:pPr>
              <w:jc w:val="center"/>
            </w:pPr>
            <w:r>
              <w:rPr>
                <w:b w:val="0"/>
                <w:i w:val="0"/>
                <w:sz w:val="19"/>
              </w:rPr>
              <w:t>-0.24 (0.04)</w:t>
            </w:r>
          </w:p>
        </w:tc>
        <w:tc>
          <w:tcPr>
            <w:tcW w:type="dxa" w:w="1289"/>
          </w:tcPr>
          <w:p>
            <w:pPr>
              <w:jc w:val="center"/>
            </w:pPr>
            <w:r>
              <w:rPr>
                <w:b w:val="0"/>
                <w:i w:val="0"/>
                <w:sz w:val="19"/>
              </w:rPr>
              <w:t>0.13 (0.04)</w:t>
            </w:r>
          </w:p>
        </w:tc>
      </w:tr>
      <w:tr>
        <w:tc>
          <w:tcPr>
            <w:tcW w:type="dxa" w:w="1289"/>
          </w:tcPr>
          <w:p>
            <w:pPr>
              <w:jc w:val="both"/>
            </w:pPr>
          </w:p>
        </w:tc>
        <w:tc>
          <w:tcPr>
            <w:tcW w:type="dxa" w:w="1289"/>
          </w:tcPr>
          <w:p>
            <w:pPr>
              <w:jc w:val="both"/>
            </w:pPr>
            <w:r>
              <w:rPr>
                <w:b w:val="0"/>
                <w:i w:val="0"/>
                <w:sz w:val="19"/>
              </w:rPr>
              <w:t>CH₄/rumen</w:t>
            </w:r>
          </w:p>
        </w:tc>
        <w:tc>
          <w:tcPr>
            <w:tcW w:type="dxa" w:w="1289"/>
          </w:tcPr>
          <w:p>
            <w:pPr>
              <w:jc w:val="center"/>
            </w:pPr>
            <w:r>
              <w:rPr>
                <w:b w:val="0"/>
                <w:i w:val="0"/>
                <w:sz w:val="19"/>
              </w:rPr>
              <w:t>–</w:t>
            </w:r>
          </w:p>
        </w:tc>
        <w:tc>
          <w:tcPr>
            <w:tcW w:type="dxa" w:w="1289"/>
          </w:tcPr>
          <w:p>
            <w:pPr>
              <w:jc w:val="center"/>
            </w:pPr>
            <w:r>
              <w:rPr>
                <w:b w:val="0"/>
                <w:i w:val="0"/>
                <w:sz w:val="19"/>
              </w:rPr>
              <w:t>0.04 (0.05)</w:t>
            </w:r>
          </w:p>
        </w:tc>
        <w:tc>
          <w:tcPr>
            <w:tcW w:type="dxa" w:w="1289"/>
          </w:tcPr>
          <w:p>
            <w:pPr>
              <w:jc w:val="center"/>
            </w:pPr>
            <w:r>
              <w:rPr>
                <w:b w:val="0"/>
                <w:i w:val="0"/>
                <w:sz w:val="19"/>
              </w:rPr>
              <w:t>0.00 (0.05)</w:t>
            </w:r>
          </w:p>
        </w:tc>
        <w:tc>
          <w:tcPr>
            <w:tcW w:type="dxa" w:w="1289"/>
          </w:tcPr>
          <w:p>
            <w:pPr>
              <w:jc w:val="center"/>
            </w:pPr>
            <w:r>
              <w:rPr>
                <w:b w:val="0"/>
                <w:i w:val="0"/>
                <w:sz w:val="19"/>
              </w:rPr>
              <w:t>-0.03 (0.04)</w:t>
            </w:r>
          </w:p>
        </w:tc>
        <w:tc>
          <w:tcPr>
            <w:tcW w:type="dxa" w:w="1289"/>
          </w:tcPr>
          <w:p>
            <w:pPr>
              <w:jc w:val="center"/>
            </w:pPr>
            <w:r>
              <w:rPr>
                <w:b w:val="0"/>
                <w:i w:val="0"/>
                <w:sz w:val="19"/>
              </w:rPr>
              <w:t>-0.45 (0.03)</w:t>
            </w:r>
          </w:p>
        </w:tc>
      </w:tr>
      <w:tr>
        <w:tc>
          <w:tcPr>
            <w:tcW w:type="dxa" w:w="1289"/>
          </w:tcPr>
          <w:p>
            <w:pPr>
              <w:jc w:val="both"/>
            </w:pPr>
            <w:r>
              <w:rPr>
                <w:b w:val="0"/>
                <w:i w:val="0"/>
                <w:sz w:val="19"/>
              </w:rPr>
              <w:t>Residual</w:t>
            </w:r>
          </w:p>
        </w:tc>
        <w:tc>
          <w:tcPr>
            <w:tcW w:type="dxa" w:w="1289"/>
          </w:tcPr>
          <w:p>
            <w:pPr>
              <w:jc w:val="both"/>
            </w:pPr>
            <w:r>
              <w:rPr>
                <w:b w:val="0"/>
                <w:i w:val="0"/>
                <w:sz w:val="19"/>
              </w:rPr>
              <w:t>RMTMBW</w:t>
            </w:r>
          </w:p>
        </w:tc>
        <w:tc>
          <w:tcPr>
            <w:tcW w:type="dxa" w:w="1289"/>
          </w:tcPr>
          <w:p>
            <w:pPr>
              <w:jc w:val="center"/>
            </w:pPr>
            <w:r>
              <w:rPr>
                <w:b w:val="0"/>
                <w:i w:val="0"/>
                <w:sz w:val="19"/>
              </w:rPr>
              <w:t>-0.08 (0.01)</w:t>
            </w:r>
          </w:p>
        </w:tc>
        <w:tc>
          <w:tcPr>
            <w:tcW w:type="dxa" w:w="1289"/>
          </w:tcPr>
          <w:p>
            <w:pPr>
              <w:jc w:val="center"/>
            </w:pPr>
            <w:r>
              <w:rPr>
                <w:b w:val="0"/>
                <w:i w:val="0"/>
                <w:sz w:val="19"/>
              </w:rPr>
              <w:t>-0.16 (0.01)</w:t>
            </w:r>
          </w:p>
        </w:tc>
        <w:tc>
          <w:tcPr>
            <w:tcW w:type="dxa" w:w="1289"/>
          </w:tcPr>
          <w:p>
            <w:pPr>
              <w:jc w:val="center"/>
            </w:pPr>
            <w:r>
              <w:rPr>
                <w:b w:val="0"/>
                <w:i w:val="0"/>
                <w:sz w:val="19"/>
              </w:rPr>
              <w:t>0.02 (0.02)</w:t>
            </w:r>
          </w:p>
        </w:tc>
        <w:tc>
          <w:tcPr>
            <w:tcW w:type="dxa" w:w="1289"/>
          </w:tcPr>
          <w:p>
            <w:pPr>
              <w:jc w:val="center"/>
            </w:pPr>
            <w:r>
              <w:rPr>
                <w:b w:val="0"/>
                <w:i w:val="0"/>
                <w:sz w:val="19"/>
              </w:rPr>
              <w:t>-0.13 (0.05)</w:t>
            </w:r>
          </w:p>
        </w:tc>
        <w:tc>
          <w:tcPr>
            <w:tcW w:type="dxa" w:w="1289"/>
          </w:tcPr>
          <w:p>
            <w:pPr>
              <w:jc w:val="center"/>
            </w:pPr>
            <w:r>
              <w:rPr>
                <w:b w:val="0"/>
                <w:i w:val="0"/>
                <w:sz w:val="19"/>
              </w:rPr>
              <w:t>0.07 (0.05)</w:t>
            </w:r>
          </w:p>
        </w:tc>
      </w:tr>
      <w:tr>
        <w:tc>
          <w:tcPr>
            <w:tcW w:type="dxa" w:w="1289"/>
          </w:tcPr>
          <w:p>
            <w:pPr>
              <w:jc w:val="both"/>
            </w:pPr>
          </w:p>
        </w:tc>
        <w:tc>
          <w:tcPr>
            <w:tcW w:type="dxa" w:w="1289"/>
          </w:tcPr>
          <w:p>
            <w:pPr>
              <w:jc w:val="both"/>
            </w:pPr>
            <w:r>
              <w:rPr>
                <w:b w:val="0"/>
                <w:i w:val="0"/>
                <w:sz w:val="19"/>
              </w:rPr>
              <w:t>RMTMBW+CO₂</w:t>
            </w:r>
          </w:p>
        </w:tc>
        <w:tc>
          <w:tcPr>
            <w:tcW w:type="dxa" w:w="1289"/>
          </w:tcPr>
          <w:p>
            <w:pPr>
              <w:jc w:val="center"/>
            </w:pPr>
            <w:r>
              <w:rPr>
                <w:b w:val="0"/>
                <w:i w:val="0"/>
                <w:sz w:val="19"/>
              </w:rPr>
              <w:t>-0.02 (0.01)</w:t>
            </w:r>
          </w:p>
        </w:tc>
        <w:tc>
          <w:tcPr>
            <w:tcW w:type="dxa" w:w="1289"/>
          </w:tcPr>
          <w:p>
            <w:pPr>
              <w:jc w:val="center"/>
            </w:pPr>
            <w:r>
              <w:rPr>
                <w:b w:val="0"/>
                <w:i w:val="0"/>
                <w:sz w:val="19"/>
              </w:rPr>
              <w:t>-0.12 (0.01)</w:t>
            </w:r>
          </w:p>
        </w:tc>
        <w:tc>
          <w:tcPr>
            <w:tcW w:type="dxa" w:w="1289"/>
          </w:tcPr>
          <w:p>
            <w:pPr>
              <w:jc w:val="center"/>
            </w:pPr>
            <w:r>
              <w:rPr>
                <w:b w:val="0"/>
                <w:i w:val="0"/>
                <w:sz w:val="19"/>
              </w:rPr>
              <w:t>0.02 (0.02)</w:t>
            </w:r>
          </w:p>
        </w:tc>
        <w:tc>
          <w:tcPr>
            <w:tcW w:type="dxa" w:w="1289"/>
          </w:tcPr>
          <w:p>
            <w:pPr>
              <w:jc w:val="center"/>
            </w:pPr>
            <w:r>
              <w:rPr>
                <w:b w:val="0"/>
                <w:i w:val="0"/>
                <w:sz w:val="19"/>
              </w:rPr>
              <w:t>–</w:t>
            </w:r>
          </w:p>
        </w:tc>
        <w:tc>
          <w:tcPr>
            <w:tcW w:type="dxa" w:w="1289"/>
          </w:tcPr>
          <w:p>
            <w:pPr>
              <w:jc w:val="center"/>
            </w:pPr>
            <w:r>
              <w:rPr>
                <w:b w:val="0"/>
                <w:i w:val="0"/>
                <w:sz w:val="19"/>
              </w:rPr>
              <w:t>–</w:t>
            </w:r>
          </w:p>
        </w:tc>
      </w:tr>
      <w:tr>
        <w:tc>
          <w:tcPr>
            <w:tcW w:type="dxa" w:w="1289"/>
          </w:tcPr>
          <w:p>
            <w:pPr>
              <w:jc w:val="both"/>
            </w:pPr>
          </w:p>
        </w:tc>
        <w:tc>
          <w:tcPr>
            <w:tcW w:type="dxa" w:w="1289"/>
          </w:tcPr>
          <w:p>
            <w:pPr>
              <w:jc w:val="both"/>
            </w:pPr>
            <w:r>
              <w:rPr>
                <w:b w:val="0"/>
                <w:i w:val="0"/>
                <w:sz w:val="19"/>
              </w:rPr>
              <w:t>RMTADG</w:t>
            </w:r>
          </w:p>
        </w:tc>
        <w:tc>
          <w:tcPr>
            <w:tcW w:type="dxa" w:w="1289"/>
          </w:tcPr>
          <w:p>
            <w:pPr>
              <w:jc w:val="center"/>
            </w:pPr>
            <w:r>
              <w:rPr>
                <w:b w:val="0"/>
                <w:i w:val="0"/>
                <w:sz w:val="19"/>
              </w:rPr>
              <w:t>0.17 (0.03)</w:t>
            </w:r>
          </w:p>
        </w:tc>
        <w:tc>
          <w:tcPr>
            <w:tcW w:type="dxa" w:w="1289"/>
          </w:tcPr>
          <w:p>
            <w:pPr>
              <w:jc w:val="center"/>
            </w:pPr>
            <w:r>
              <w:rPr>
                <w:b w:val="0"/>
                <w:i w:val="0"/>
                <w:sz w:val="19"/>
              </w:rPr>
              <w:t>0.47 (0.02)</w:t>
            </w:r>
          </w:p>
        </w:tc>
        <w:tc>
          <w:tcPr>
            <w:tcW w:type="dxa" w:w="1289"/>
          </w:tcPr>
          <w:p>
            <w:pPr>
              <w:jc w:val="center"/>
            </w:pPr>
            <w:r>
              <w:rPr>
                <w:b w:val="0"/>
                <w:i w:val="0"/>
                <w:sz w:val="19"/>
              </w:rPr>
              <w:t>0.12 (0.02)</w:t>
            </w:r>
          </w:p>
        </w:tc>
        <w:tc>
          <w:tcPr>
            <w:tcW w:type="dxa" w:w="1289"/>
          </w:tcPr>
          <w:p>
            <w:pPr>
              <w:jc w:val="center"/>
            </w:pPr>
            <w:r>
              <w:rPr>
                <w:b w:val="0"/>
                <w:i w:val="0"/>
                <w:sz w:val="19"/>
              </w:rPr>
              <w:t>0.21 (0.08)</w:t>
            </w:r>
          </w:p>
        </w:tc>
        <w:tc>
          <w:tcPr>
            <w:tcW w:type="dxa" w:w="1289"/>
          </w:tcPr>
          <w:p>
            <w:pPr>
              <w:jc w:val="center"/>
            </w:pPr>
            <w:r>
              <w:rPr>
                <w:b w:val="0"/>
                <w:i w:val="0"/>
                <w:sz w:val="19"/>
              </w:rPr>
              <w:t>0.21 (0.08)</w:t>
            </w:r>
          </w:p>
        </w:tc>
      </w:tr>
    </w:tbl>
    <w:p/>
    <w:p>
      <w:pPr>
        <w:jc w:val="both"/>
      </w:pPr>
      <w:r>
        <w:rPr>
          <w:b w:val="0"/>
          <w:i/>
          <w:sz w:val="20"/>
        </w:rPr>
        <w:t>Trait abbreviations: CH₄ = daily methane output (g day⁻¹); CO₂ = daily carbon dioxide output (g day⁻¹); CH₄/MBW = methane per kg metabolic body weight (g day⁻¹ kg⁻⁰·⁷⁵); CH₄ ratio = CH₄/(CH₄+CO₂), mass basis; CH₄/ADG = methane per kg average daily gain (g kg⁻¹); CH₄/MM = methane per kg computed tomography (CT) muscle mass (g day⁻¹ kg⁻¹); CH₄/rumen = methane per litre CT rumen volume (g day⁻¹ L⁻¹); RMTMBW, RMTMBW+CO₂ and RMTADG = residual methane (g day⁻¹) from regression of CH₄ on metabolic body weight; metabolic body weight and CO₂; and average daily gain, respectively. Muscle mass and rumen volume were measured by CT. Standard errors in parentheses; – = not estimated.</w:t>
      </w:r>
    </w:p>
    <w:p>
      <w:pPr>
        <w:jc w:val="both"/>
      </w:pPr>
      <w:r>
        <w:rPr>
          <w:b w:val="0"/>
          <w:i w:val="0"/>
        </w:rPr>
        <w:t>Genetically, CH₄ showed a moderate-to-strong positive genetic correlation with metabolic body weight (MBW; 0.72 ± 0.03), live weight (0.71 ± 0.03), ADG (0.51 ± 0.07), muscle mass (0.42 ± 0.12), and rumen volume (0.68 ± 0.15). Ratio-based methane traits were generally negatively genetically correlated with the denominator production traits, including methane intensity (CH₄/MBW) with MBW (−0.27 ± 0.04), CH₄/ADG with ADG itself (−0.81 ± 0.08), and CH₄/rumen with rumen volume (−0.14 ± 0.30, a correlation with a wide confidence interval). Methane ratio showed weak to moderate negative genetic correlations with MBW (−0.21 ± 0.04), ADG (−0.04 ± 0.06), and muscle mass (−0.23 ± 0.19). Among the residual methane traits, RMTMBW's genetic correlation with MBW was −0.28 ± 0.04, and RMTMBW+CO₂'s with MBW was −0.11 ± 0.04, whereas RMTADG showed a moderate positive genetic correlation with its own adjustment trait, ADG (0.42 ± 0.07).</w:t>
      </w:r>
    </w:p>
    <w:p>
      <w:pPr>
        <w:jc w:val="both"/>
      </w:pPr>
      <w:r>
        <w:rPr>
          <w:b/>
          <w:i w:val="0"/>
        </w:rPr>
        <w:t>Table 5.</w:t>
      </w:r>
      <w:r>
        <w:rPr>
          <w:b w:val="0"/>
          <w:i w:val="0"/>
        </w:rPr>
        <w:t xml:space="preserve"> Genetic correlations between methane traits and production traits (standard errors in parentheses).</w:t>
      </w:r>
    </w:p>
    <w:tbl>
      <w:tblPr>
        <w:tblStyle w:val="PlainTable2"/>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tcPr>
          <w:p>
            <w:pPr>
              <w:jc w:val="both"/>
            </w:pPr>
            <w:r>
              <w:rPr>
                <w:b w:val="0"/>
                <w:i w:val="0"/>
                <w:sz w:val="19"/>
              </w:rPr>
              <w:t>Trait group</w:t>
            </w:r>
          </w:p>
        </w:tc>
        <w:tc>
          <w:tcPr>
            <w:tcW w:type="dxa" w:w="1289"/>
          </w:tcPr>
          <w:p>
            <w:pPr>
              <w:jc w:val="both"/>
            </w:pPr>
            <w:r>
              <w:rPr>
                <w:b w:val="0"/>
                <w:i w:val="0"/>
                <w:sz w:val="19"/>
              </w:rPr>
              <w:t>Trait</w:t>
            </w:r>
          </w:p>
        </w:tc>
        <w:tc>
          <w:tcPr>
            <w:tcW w:type="dxa" w:w="1289"/>
          </w:tcPr>
          <w:p>
            <w:pPr>
              <w:jc w:val="center"/>
            </w:pPr>
            <w:r>
              <w:rPr>
                <w:b w:val="0"/>
                <w:i w:val="0"/>
                <w:sz w:val="19"/>
              </w:rPr>
              <w:t>Metabolic body weight</w:t>
            </w:r>
          </w:p>
        </w:tc>
        <w:tc>
          <w:tcPr>
            <w:tcW w:type="dxa" w:w="1289"/>
          </w:tcPr>
          <w:p>
            <w:pPr>
              <w:jc w:val="center"/>
            </w:pPr>
            <w:r>
              <w:rPr>
                <w:b w:val="0"/>
                <w:i w:val="0"/>
                <w:sz w:val="19"/>
              </w:rPr>
              <w:t>Live weight</w:t>
            </w:r>
          </w:p>
        </w:tc>
        <w:tc>
          <w:tcPr>
            <w:tcW w:type="dxa" w:w="1289"/>
          </w:tcPr>
          <w:p>
            <w:pPr>
              <w:jc w:val="center"/>
            </w:pPr>
            <w:r>
              <w:rPr>
                <w:b w:val="0"/>
                <w:i w:val="0"/>
                <w:sz w:val="19"/>
              </w:rPr>
              <w:t>Average daily gain</w:t>
            </w:r>
          </w:p>
        </w:tc>
        <w:tc>
          <w:tcPr>
            <w:tcW w:type="dxa" w:w="1289"/>
          </w:tcPr>
          <w:p>
            <w:pPr>
              <w:jc w:val="center"/>
            </w:pPr>
            <w:r>
              <w:rPr>
                <w:b w:val="0"/>
                <w:i w:val="0"/>
                <w:sz w:val="19"/>
              </w:rPr>
              <w:t>Muscle mass</w:t>
            </w:r>
          </w:p>
        </w:tc>
        <w:tc>
          <w:tcPr>
            <w:tcW w:type="dxa" w:w="1289"/>
          </w:tcPr>
          <w:p>
            <w:pPr>
              <w:jc w:val="center"/>
            </w:pPr>
            <w:r>
              <w:rPr>
                <w:b w:val="0"/>
                <w:i w:val="0"/>
                <w:sz w:val="19"/>
              </w:rPr>
              <w:t>Rumen volume</w:t>
            </w:r>
          </w:p>
        </w:tc>
      </w:tr>
      <w:tr>
        <w:tc>
          <w:tcPr>
            <w:tcW w:type="dxa" w:w="1289"/>
          </w:tcPr>
          <w:p>
            <w:pPr>
              <w:jc w:val="both"/>
            </w:pPr>
            <w:r>
              <w:rPr>
                <w:b w:val="0"/>
                <w:i w:val="0"/>
                <w:sz w:val="19"/>
              </w:rPr>
              <w:t>Absolute</w:t>
            </w:r>
          </w:p>
        </w:tc>
        <w:tc>
          <w:tcPr>
            <w:tcW w:type="dxa" w:w="1289"/>
          </w:tcPr>
          <w:p>
            <w:pPr>
              <w:jc w:val="both"/>
            </w:pPr>
            <w:r>
              <w:rPr>
                <w:b w:val="0"/>
                <w:i w:val="0"/>
                <w:sz w:val="19"/>
              </w:rPr>
              <w:t>CH₄</w:t>
            </w:r>
          </w:p>
        </w:tc>
        <w:tc>
          <w:tcPr>
            <w:tcW w:type="dxa" w:w="1289"/>
          </w:tcPr>
          <w:p>
            <w:pPr>
              <w:jc w:val="center"/>
            </w:pPr>
            <w:r>
              <w:rPr>
                <w:b w:val="0"/>
                <w:i w:val="0"/>
                <w:sz w:val="19"/>
              </w:rPr>
              <w:t>0.72 (0.03)</w:t>
            </w:r>
          </w:p>
        </w:tc>
        <w:tc>
          <w:tcPr>
            <w:tcW w:type="dxa" w:w="1289"/>
          </w:tcPr>
          <w:p>
            <w:pPr>
              <w:jc w:val="center"/>
            </w:pPr>
            <w:r>
              <w:rPr>
                <w:b w:val="0"/>
                <w:i w:val="0"/>
                <w:sz w:val="19"/>
              </w:rPr>
              <w:t>0.71 (0.03)</w:t>
            </w:r>
          </w:p>
        </w:tc>
        <w:tc>
          <w:tcPr>
            <w:tcW w:type="dxa" w:w="1289"/>
          </w:tcPr>
          <w:p>
            <w:pPr>
              <w:jc w:val="center"/>
            </w:pPr>
            <w:r>
              <w:rPr>
                <w:b w:val="0"/>
                <w:i w:val="0"/>
                <w:sz w:val="19"/>
              </w:rPr>
              <w:t>0.51 (0.07)</w:t>
            </w:r>
          </w:p>
        </w:tc>
        <w:tc>
          <w:tcPr>
            <w:tcW w:type="dxa" w:w="1289"/>
          </w:tcPr>
          <w:p>
            <w:pPr>
              <w:jc w:val="center"/>
            </w:pPr>
            <w:r>
              <w:rPr>
                <w:b w:val="0"/>
                <w:i w:val="0"/>
                <w:sz w:val="19"/>
              </w:rPr>
              <w:t>0.42 (0.12)</w:t>
            </w:r>
          </w:p>
        </w:tc>
        <w:tc>
          <w:tcPr>
            <w:tcW w:type="dxa" w:w="1289"/>
          </w:tcPr>
          <w:p>
            <w:pPr>
              <w:jc w:val="center"/>
            </w:pPr>
            <w:r>
              <w:rPr>
                <w:b w:val="0"/>
                <w:i w:val="0"/>
                <w:sz w:val="19"/>
              </w:rPr>
              <w:t>0.68 (0.15)</w:t>
            </w:r>
          </w:p>
        </w:tc>
      </w:tr>
      <w:tr>
        <w:tc>
          <w:tcPr>
            <w:tcW w:type="dxa" w:w="1289"/>
          </w:tcPr>
          <w:p>
            <w:pPr>
              <w:jc w:val="both"/>
            </w:pPr>
            <w:r>
              <w:rPr>
                <w:b w:val="0"/>
                <w:i w:val="0"/>
                <w:sz w:val="19"/>
              </w:rPr>
              <w:t>Ratio</w:t>
            </w:r>
          </w:p>
        </w:tc>
        <w:tc>
          <w:tcPr>
            <w:tcW w:type="dxa" w:w="1289"/>
          </w:tcPr>
          <w:p>
            <w:pPr>
              <w:jc w:val="both"/>
            </w:pPr>
            <w:r>
              <w:rPr>
                <w:b w:val="0"/>
                <w:i w:val="0"/>
                <w:sz w:val="19"/>
              </w:rPr>
              <w:t>CH₄/MBW</w:t>
            </w:r>
          </w:p>
        </w:tc>
        <w:tc>
          <w:tcPr>
            <w:tcW w:type="dxa" w:w="1289"/>
          </w:tcPr>
          <w:p>
            <w:pPr>
              <w:jc w:val="center"/>
            </w:pPr>
            <w:r>
              <w:rPr>
                <w:b w:val="0"/>
                <w:i w:val="0"/>
                <w:sz w:val="19"/>
              </w:rPr>
              <w:t>-0.27 (0.04)</w:t>
            </w:r>
          </w:p>
        </w:tc>
        <w:tc>
          <w:tcPr>
            <w:tcW w:type="dxa" w:w="1289"/>
          </w:tcPr>
          <w:p>
            <w:pPr>
              <w:jc w:val="center"/>
            </w:pPr>
            <w:r>
              <w:rPr>
                <w:b w:val="0"/>
                <w:i w:val="0"/>
                <w:sz w:val="19"/>
              </w:rPr>
              <w:t>-0.27 (0.03)</w:t>
            </w:r>
          </w:p>
        </w:tc>
        <w:tc>
          <w:tcPr>
            <w:tcW w:type="dxa" w:w="1289"/>
          </w:tcPr>
          <w:p>
            <w:pPr>
              <w:jc w:val="center"/>
            </w:pPr>
            <w:r>
              <w:rPr>
                <w:b w:val="0"/>
                <w:i w:val="0"/>
                <w:sz w:val="19"/>
              </w:rPr>
              <w:t>-0.31 (0.08)</w:t>
            </w:r>
          </w:p>
        </w:tc>
        <w:tc>
          <w:tcPr>
            <w:tcW w:type="dxa" w:w="1289"/>
          </w:tcPr>
          <w:p>
            <w:pPr>
              <w:jc w:val="center"/>
            </w:pPr>
            <w:r>
              <w:rPr>
                <w:b w:val="0"/>
                <w:i w:val="0"/>
                <w:sz w:val="19"/>
              </w:rPr>
              <w:t>-0.10 (0.16)</w:t>
            </w:r>
          </w:p>
        </w:tc>
        <w:tc>
          <w:tcPr>
            <w:tcW w:type="dxa" w:w="1289"/>
          </w:tcPr>
          <w:p>
            <w:pPr>
              <w:jc w:val="center"/>
            </w:pPr>
            <w:r>
              <w:rPr>
                <w:b w:val="0"/>
                <w:i w:val="0"/>
                <w:sz w:val="19"/>
              </w:rPr>
              <w:t>-0.31 (0.22)</w:t>
            </w:r>
          </w:p>
        </w:tc>
      </w:tr>
      <w:tr>
        <w:tc>
          <w:tcPr>
            <w:tcW w:type="dxa" w:w="1289"/>
          </w:tcPr>
          <w:p>
            <w:pPr>
              <w:jc w:val="both"/>
            </w:pPr>
          </w:p>
        </w:tc>
        <w:tc>
          <w:tcPr>
            <w:tcW w:type="dxa" w:w="1289"/>
          </w:tcPr>
          <w:p>
            <w:pPr>
              <w:jc w:val="both"/>
            </w:pPr>
            <w:r>
              <w:rPr>
                <w:b w:val="0"/>
                <w:i w:val="0"/>
                <w:sz w:val="19"/>
              </w:rPr>
              <w:t>CH₄ ratio</w:t>
            </w:r>
          </w:p>
        </w:tc>
        <w:tc>
          <w:tcPr>
            <w:tcW w:type="dxa" w:w="1289"/>
          </w:tcPr>
          <w:p>
            <w:pPr>
              <w:jc w:val="center"/>
            </w:pPr>
            <w:r>
              <w:rPr>
                <w:b w:val="0"/>
                <w:i w:val="0"/>
                <w:sz w:val="19"/>
              </w:rPr>
              <w:t>-0.21 (0.04)</w:t>
            </w:r>
          </w:p>
        </w:tc>
        <w:tc>
          <w:tcPr>
            <w:tcW w:type="dxa" w:w="1289"/>
          </w:tcPr>
          <w:p>
            <w:pPr>
              <w:jc w:val="center"/>
            </w:pPr>
            <w:r>
              <w:rPr>
                <w:b w:val="0"/>
                <w:i w:val="0"/>
                <w:sz w:val="19"/>
              </w:rPr>
              <w:t>–</w:t>
            </w:r>
          </w:p>
        </w:tc>
        <w:tc>
          <w:tcPr>
            <w:tcW w:type="dxa" w:w="1289"/>
          </w:tcPr>
          <w:p>
            <w:pPr>
              <w:jc w:val="center"/>
            </w:pPr>
            <w:r>
              <w:rPr>
                <w:b w:val="0"/>
                <w:i w:val="0"/>
                <w:sz w:val="19"/>
              </w:rPr>
              <w:t>-0.04 (0.06)</w:t>
            </w:r>
          </w:p>
        </w:tc>
        <w:tc>
          <w:tcPr>
            <w:tcW w:type="dxa" w:w="1289"/>
          </w:tcPr>
          <w:p>
            <w:pPr>
              <w:jc w:val="center"/>
            </w:pPr>
            <w:r>
              <w:rPr>
                <w:b w:val="0"/>
                <w:i w:val="0"/>
                <w:sz w:val="19"/>
              </w:rPr>
              <w:t>-0.23 (0.19)</w:t>
            </w:r>
          </w:p>
        </w:tc>
        <w:tc>
          <w:tcPr>
            <w:tcW w:type="dxa" w:w="1289"/>
          </w:tcPr>
          <w:p>
            <w:pPr>
              <w:jc w:val="center"/>
            </w:pPr>
            <w:r>
              <w:rPr>
                <w:b w:val="0"/>
                <w:i w:val="0"/>
                <w:sz w:val="19"/>
              </w:rPr>
              <w:t>0.13 (0.30)</w:t>
            </w:r>
          </w:p>
        </w:tc>
      </w:tr>
      <w:tr>
        <w:tc>
          <w:tcPr>
            <w:tcW w:type="dxa" w:w="1289"/>
          </w:tcPr>
          <w:p>
            <w:pPr>
              <w:jc w:val="both"/>
            </w:pPr>
          </w:p>
        </w:tc>
        <w:tc>
          <w:tcPr>
            <w:tcW w:type="dxa" w:w="1289"/>
          </w:tcPr>
          <w:p>
            <w:pPr>
              <w:jc w:val="both"/>
            </w:pPr>
            <w:r>
              <w:rPr>
                <w:b w:val="0"/>
                <w:i w:val="0"/>
                <w:sz w:val="19"/>
              </w:rPr>
              <w:t>CH₄/ADG</w:t>
            </w:r>
          </w:p>
        </w:tc>
        <w:tc>
          <w:tcPr>
            <w:tcW w:type="dxa" w:w="1289"/>
          </w:tcPr>
          <w:p>
            <w:pPr>
              <w:jc w:val="center"/>
            </w:pPr>
            <w:r>
              <w:rPr>
                <w:b w:val="0"/>
                <w:i w:val="0"/>
                <w:sz w:val="19"/>
              </w:rPr>
              <w:t>-0.12 (0.07)</w:t>
            </w:r>
          </w:p>
        </w:tc>
        <w:tc>
          <w:tcPr>
            <w:tcW w:type="dxa" w:w="1289"/>
          </w:tcPr>
          <w:p>
            <w:pPr>
              <w:jc w:val="center"/>
            </w:pPr>
            <w:r>
              <w:rPr>
                <w:b w:val="0"/>
                <w:i w:val="0"/>
                <w:sz w:val="19"/>
              </w:rPr>
              <w:t>-0.19 (0.08)</w:t>
            </w:r>
          </w:p>
        </w:tc>
        <w:tc>
          <w:tcPr>
            <w:tcW w:type="dxa" w:w="1289"/>
          </w:tcPr>
          <w:p>
            <w:pPr>
              <w:jc w:val="center"/>
            </w:pPr>
            <w:r>
              <w:rPr>
                <w:b w:val="0"/>
                <w:i w:val="0"/>
                <w:sz w:val="19"/>
              </w:rPr>
              <w:t>-0.81 (0.08)</w:t>
            </w:r>
          </w:p>
        </w:tc>
        <w:tc>
          <w:tcPr>
            <w:tcW w:type="dxa" w:w="1289"/>
          </w:tcPr>
          <w:p>
            <w:pPr>
              <w:jc w:val="center"/>
            </w:pPr>
            <w:r>
              <w:rPr>
                <w:b w:val="0"/>
                <w:i w:val="0"/>
                <w:sz w:val="19"/>
              </w:rPr>
              <w:t>-0.02 (0.21)</w:t>
            </w:r>
          </w:p>
        </w:tc>
        <w:tc>
          <w:tcPr>
            <w:tcW w:type="dxa" w:w="1289"/>
          </w:tcPr>
          <w:p>
            <w:pPr>
              <w:jc w:val="center"/>
            </w:pPr>
            <w:r>
              <w:rPr>
                <w:b w:val="0"/>
                <w:i w:val="0"/>
                <w:sz w:val="19"/>
              </w:rPr>
              <w:t>0.06 (0.22)</w:t>
            </w:r>
          </w:p>
        </w:tc>
      </w:tr>
      <w:tr>
        <w:tc>
          <w:tcPr>
            <w:tcW w:type="dxa" w:w="1289"/>
          </w:tcPr>
          <w:p>
            <w:pPr>
              <w:jc w:val="both"/>
            </w:pPr>
          </w:p>
        </w:tc>
        <w:tc>
          <w:tcPr>
            <w:tcW w:type="dxa" w:w="1289"/>
          </w:tcPr>
          <w:p>
            <w:pPr>
              <w:jc w:val="both"/>
            </w:pPr>
            <w:r>
              <w:rPr>
                <w:b w:val="0"/>
                <w:i w:val="0"/>
                <w:sz w:val="19"/>
              </w:rPr>
              <w:t>CH₄/MM</w:t>
            </w:r>
          </w:p>
        </w:tc>
        <w:tc>
          <w:tcPr>
            <w:tcW w:type="dxa" w:w="1289"/>
          </w:tcPr>
          <w:p>
            <w:pPr>
              <w:jc w:val="center"/>
            </w:pPr>
            <w:r>
              <w:rPr>
                <w:b w:val="0"/>
                <w:i w:val="0"/>
                <w:sz w:val="19"/>
              </w:rPr>
              <w:t>-0.26 (0.14)</w:t>
            </w:r>
          </w:p>
        </w:tc>
        <w:tc>
          <w:tcPr>
            <w:tcW w:type="dxa" w:w="1289"/>
          </w:tcPr>
          <w:p>
            <w:pPr>
              <w:jc w:val="center"/>
            </w:pPr>
            <w:r>
              <w:rPr>
                <w:b w:val="0"/>
                <w:i w:val="0"/>
                <w:sz w:val="19"/>
              </w:rPr>
              <w:t>-0.21 (0.12)</w:t>
            </w:r>
          </w:p>
        </w:tc>
        <w:tc>
          <w:tcPr>
            <w:tcW w:type="dxa" w:w="1289"/>
          </w:tcPr>
          <w:p>
            <w:pPr>
              <w:jc w:val="center"/>
            </w:pPr>
            <w:r>
              <w:rPr>
                <w:b w:val="0"/>
                <w:i w:val="0"/>
                <w:sz w:val="19"/>
              </w:rPr>
              <w:t>-0.04 (0.13)</w:t>
            </w:r>
          </w:p>
        </w:tc>
        <w:tc>
          <w:tcPr>
            <w:tcW w:type="dxa" w:w="1289"/>
          </w:tcPr>
          <w:p>
            <w:pPr>
              <w:jc w:val="center"/>
            </w:pPr>
            <w:r>
              <w:rPr>
                <w:b w:val="0"/>
                <w:i w:val="0"/>
                <w:sz w:val="19"/>
              </w:rPr>
              <w:t>–</w:t>
            </w:r>
          </w:p>
        </w:tc>
        <w:tc>
          <w:tcPr>
            <w:tcW w:type="dxa" w:w="1289"/>
          </w:tcPr>
          <w:p>
            <w:pPr>
              <w:jc w:val="center"/>
            </w:pPr>
            <w:r>
              <w:rPr>
                <w:b w:val="0"/>
                <w:i w:val="0"/>
                <w:sz w:val="19"/>
              </w:rPr>
              <w:t>0.22 (0.30)</w:t>
            </w:r>
          </w:p>
        </w:tc>
      </w:tr>
      <w:tr>
        <w:tc>
          <w:tcPr>
            <w:tcW w:type="dxa" w:w="1289"/>
          </w:tcPr>
          <w:p>
            <w:pPr>
              <w:jc w:val="both"/>
            </w:pPr>
          </w:p>
        </w:tc>
        <w:tc>
          <w:tcPr>
            <w:tcW w:type="dxa" w:w="1289"/>
          </w:tcPr>
          <w:p>
            <w:pPr>
              <w:jc w:val="both"/>
            </w:pPr>
            <w:r>
              <w:rPr>
                <w:b w:val="0"/>
                <w:i w:val="0"/>
                <w:sz w:val="19"/>
              </w:rPr>
              <w:t>CH₄/rumen</w:t>
            </w:r>
          </w:p>
        </w:tc>
        <w:tc>
          <w:tcPr>
            <w:tcW w:type="dxa" w:w="1289"/>
          </w:tcPr>
          <w:p>
            <w:pPr>
              <w:jc w:val="center"/>
            </w:pPr>
            <w:r>
              <w:rPr>
                <w:b w:val="0"/>
                <w:i w:val="0"/>
                <w:sz w:val="19"/>
              </w:rPr>
              <w:t>–</w:t>
            </w:r>
          </w:p>
        </w:tc>
        <w:tc>
          <w:tcPr>
            <w:tcW w:type="dxa" w:w="1289"/>
          </w:tcPr>
          <w:p>
            <w:pPr>
              <w:jc w:val="center"/>
            </w:pPr>
            <w:r>
              <w:rPr>
                <w:b w:val="0"/>
                <w:i w:val="0"/>
                <w:sz w:val="19"/>
              </w:rPr>
              <w:t>0.12 (0.12)</w:t>
            </w:r>
          </w:p>
        </w:tc>
        <w:tc>
          <w:tcPr>
            <w:tcW w:type="dxa" w:w="1289"/>
          </w:tcPr>
          <w:p>
            <w:pPr>
              <w:jc w:val="center"/>
            </w:pPr>
            <w:r>
              <w:rPr>
                <w:b w:val="0"/>
                <w:i w:val="0"/>
                <w:sz w:val="19"/>
              </w:rPr>
              <w:t>-0.04 (0.12)</w:t>
            </w:r>
          </w:p>
        </w:tc>
        <w:tc>
          <w:tcPr>
            <w:tcW w:type="dxa" w:w="1289"/>
          </w:tcPr>
          <w:p>
            <w:pPr>
              <w:jc w:val="center"/>
            </w:pPr>
            <w:r>
              <w:rPr>
                <w:b w:val="0"/>
                <w:i w:val="0"/>
                <w:sz w:val="19"/>
              </w:rPr>
              <w:t>0.16 (0.22)</w:t>
            </w:r>
          </w:p>
        </w:tc>
        <w:tc>
          <w:tcPr>
            <w:tcW w:type="dxa" w:w="1289"/>
          </w:tcPr>
          <w:p>
            <w:pPr>
              <w:jc w:val="center"/>
            </w:pPr>
            <w:r>
              <w:rPr>
                <w:b w:val="0"/>
                <w:i w:val="0"/>
                <w:sz w:val="19"/>
              </w:rPr>
              <w:t>-0.14 (0.30)</w:t>
            </w:r>
          </w:p>
        </w:tc>
      </w:tr>
      <w:tr>
        <w:tc>
          <w:tcPr>
            <w:tcW w:type="dxa" w:w="1289"/>
          </w:tcPr>
          <w:p>
            <w:pPr>
              <w:jc w:val="both"/>
            </w:pPr>
            <w:r>
              <w:rPr>
                <w:b w:val="0"/>
                <w:i w:val="0"/>
                <w:sz w:val="19"/>
              </w:rPr>
              <w:t>Residual</w:t>
            </w:r>
          </w:p>
        </w:tc>
        <w:tc>
          <w:tcPr>
            <w:tcW w:type="dxa" w:w="1289"/>
          </w:tcPr>
          <w:p>
            <w:pPr>
              <w:jc w:val="both"/>
            </w:pPr>
            <w:r>
              <w:rPr>
                <w:b w:val="0"/>
                <w:i w:val="0"/>
                <w:sz w:val="19"/>
              </w:rPr>
              <w:t>RMTMBW</w:t>
            </w:r>
          </w:p>
        </w:tc>
        <w:tc>
          <w:tcPr>
            <w:tcW w:type="dxa" w:w="1289"/>
          </w:tcPr>
          <w:p>
            <w:pPr>
              <w:jc w:val="center"/>
            </w:pPr>
            <w:r>
              <w:rPr>
                <w:b w:val="0"/>
                <w:i w:val="0"/>
                <w:sz w:val="19"/>
              </w:rPr>
              <w:t>-0.28 (0.04)</w:t>
            </w:r>
          </w:p>
        </w:tc>
        <w:tc>
          <w:tcPr>
            <w:tcW w:type="dxa" w:w="1289"/>
          </w:tcPr>
          <w:p>
            <w:pPr>
              <w:jc w:val="center"/>
            </w:pPr>
            <w:r>
              <w:rPr>
                <w:b w:val="0"/>
                <w:i w:val="0"/>
                <w:sz w:val="19"/>
              </w:rPr>
              <w:t>-0.44 (0.06)</w:t>
            </w:r>
          </w:p>
        </w:tc>
        <w:tc>
          <w:tcPr>
            <w:tcW w:type="dxa" w:w="1289"/>
          </w:tcPr>
          <w:p>
            <w:pPr>
              <w:jc w:val="center"/>
            </w:pPr>
            <w:r>
              <w:rPr>
                <w:b w:val="0"/>
                <w:i w:val="0"/>
                <w:sz w:val="19"/>
              </w:rPr>
              <w:t>0.01 (0.05)</w:t>
            </w:r>
          </w:p>
        </w:tc>
        <w:tc>
          <w:tcPr>
            <w:tcW w:type="dxa" w:w="1289"/>
          </w:tcPr>
          <w:p>
            <w:pPr>
              <w:jc w:val="center"/>
            </w:pPr>
            <w:r>
              <w:rPr>
                <w:b w:val="0"/>
                <w:i w:val="0"/>
                <w:sz w:val="19"/>
              </w:rPr>
              <w:t>-0.52 (0.48)</w:t>
            </w:r>
          </w:p>
        </w:tc>
        <w:tc>
          <w:tcPr>
            <w:tcW w:type="dxa" w:w="1289"/>
          </w:tcPr>
          <w:p>
            <w:pPr>
              <w:jc w:val="center"/>
            </w:pPr>
            <w:r>
              <w:rPr>
                <w:b w:val="0"/>
                <w:i w:val="0"/>
                <w:sz w:val="19"/>
              </w:rPr>
              <w:t>0.39 (0.42)</w:t>
            </w:r>
          </w:p>
        </w:tc>
      </w:tr>
      <w:tr>
        <w:tc>
          <w:tcPr>
            <w:tcW w:type="dxa" w:w="1289"/>
          </w:tcPr>
          <w:p>
            <w:pPr>
              <w:jc w:val="both"/>
            </w:pPr>
          </w:p>
        </w:tc>
        <w:tc>
          <w:tcPr>
            <w:tcW w:type="dxa" w:w="1289"/>
          </w:tcPr>
          <w:p>
            <w:pPr>
              <w:jc w:val="both"/>
            </w:pPr>
            <w:r>
              <w:rPr>
                <w:b w:val="0"/>
                <w:i w:val="0"/>
                <w:sz w:val="19"/>
              </w:rPr>
              <w:t>RMTMBW+CO₂</w:t>
            </w:r>
          </w:p>
        </w:tc>
        <w:tc>
          <w:tcPr>
            <w:tcW w:type="dxa" w:w="1289"/>
          </w:tcPr>
          <w:p>
            <w:pPr>
              <w:jc w:val="center"/>
            </w:pPr>
            <w:r>
              <w:rPr>
                <w:b w:val="0"/>
                <w:i w:val="0"/>
                <w:sz w:val="19"/>
              </w:rPr>
              <w:t>-0.11 (0.04)</w:t>
            </w:r>
          </w:p>
        </w:tc>
        <w:tc>
          <w:tcPr>
            <w:tcW w:type="dxa" w:w="1289"/>
          </w:tcPr>
          <w:p>
            <w:pPr>
              <w:jc w:val="center"/>
            </w:pPr>
            <w:r>
              <w:rPr>
                <w:b w:val="0"/>
                <w:i w:val="0"/>
                <w:sz w:val="19"/>
              </w:rPr>
              <w:t>-0.36 (0.05)</w:t>
            </w:r>
          </w:p>
        </w:tc>
        <w:tc>
          <w:tcPr>
            <w:tcW w:type="dxa" w:w="1289"/>
          </w:tcPr>
          <w:p>
            <w:pPr>
              <w:jc w:val="center"/>
            </w:pPr>
            <w:r>
              <w:rPr>
                <w:b w:val="0"/>
                <w:i w:val="0"/>
                <w:sz w:val="19"/>
              </w:rPr>
              <w:t>0.02 (0.05)</w:t>
            </w:r>
          </w:p>
        </w:tc>
        <w:tc>
          <w:tcPr>
            <w:tcW w:type="dxa" w:w="1289"/>
          </w:tcPr>
          <w:p>
            <w:pPr>
              <w:jc w:val="center"/>
            </w:pPr>
            <w:r>
              <w:rPr>
                <w:b w:val="0"/>
                <w:i w:val="0"/>
                <w:sz w:val="19"/>
              </w:rPr>
              <w:t>–</w:t>
            </w:r>
          </w:p>
        </w:tc>
        <w:tc>
          <w:tcPr>
            <w:tcW w:type="dxa" w:w="1289"/>
          </w:tcPr>
          <w:p>
            <w:pPr>
              <w:jc w:val="center"/>
            </w:pPr>
            <w:r>
              <w:rPr>
                <w:b w:val="0"/>
                <w:i w:val="0"/>
                <w:sz w:val="19"/>
              </w:rPr>
              <w:t>–</w:t>
            </w:r>
          </w:p>
        </w:tc>
      </w:tr>
      <w:tr>
        <w:tc>
          <w:tcPr>
            <w:tcW w:type="dxa" w:w="1289"/>
          </w:tcPr>
          <w:p>
            <w:pPr>
              <w:jc w:val="both"/>
            </w:pPr>
          </w:p>
        </w:tc>
        <w:tc>
          <w:tcPr>
            <w:tcW w:type="dxa" w:w="1289"/>
          </w:tcPr>
          <w:p>
            <w:pPr>
              <w:jc w:val="both"/>
            </w:pPr>
            <w:r>
              <w:rPr>
                <w:b w:val="0"/>
                <w:i w:val="0"/>
                <w:sz w:val="19"/>
              </w:rPr>
              <w:t>RMTADG</w:t>
            </w:r>
          </w:p>
        </w:tc>
        <w:tc>
          <w:tcPr>
            <w:tcW w:type="dxa" w:w="1289"/>
          </w:tcPr>
          <w:p>
            <w:pPr>
              <w:jc w:val="center"/>
            </w:pPr>
            <w:r>
              <w:rPr>
                <w:b w:val="0"/>
                <w:i w:val="0"/>
                <w:sz w:val="19"/>
              </w:rPr>
              <w:t>0.31 (0.11)</w:t>
            </w:r>
          </w:p>
        </w:tc>
        <w:tc>
          <w:tcPr>
            <w:tcW w:type="dxa" w:w="1289"/>
          </w:tcPr>
          <w:p>
            <w:pPr>
              <w:jc w:val="center"/>
            </w:pPr>
            <w:r>
              <w:rPr>
                <w:b w:val="0"/>
                <w:i w:val="0"/>
                <w:sz w:val="19"/>
              </w:rPr>
              <w:t>0.94 (0.07)</w:t>
            </w:r>
          </w:p>
        </w:tc>
        <w:tc>
          <w:tcPr>
            <w:tcW w:type="dxa" w:w="1289"/>
          </w:tcPr>
          <w:p>
            <w:pPr>
              <w:jc w:val="center"/>
            </w:pPr>
            <w:r>
              <w:rPr>
                <w:b w:val="0"/>
                <w:i w:val="0"/>
                <w:sz w:val="19"/>
              </w:rPr>
              <w:t>0.42 (0.07)</w:t>
            </w:r>
          </w:p>
        </w:tc>
        <w:tc>
          <w:tcPr>
            <w:tcW w:type="dxa" w:w="1289"/>
          </w:tcPr>
          <w:p>
            <w:pPr>
              <w:jc w:val="center"/>
            </w:pPr>
            <w:r>
              <w:rPr>
                <w:b w:val="0"/>
                <w:i w:val="0"/>
                <w:sz w:val="19"/>
              </w:rPr>
              <w:t>0.37 (0.28)</w:t>
            </w:r>
          </w:p>
        </w:tc>
        <w:tc>
          <w:tcPr>
            <w:tcW w:type="dxa" w:w="1289"/>
          </w:tcPr>
          <w:p>
            <w:pPr>
              <w:jc w:val="center"/>
            </w:pPr>
            <w:r>
              <w:rPr>
                <w:b w:val="0"/>
                <w:i w:val="0"/>
                <w:sz w:val="19"/>
              </w:rPr>
              <w:t>0.37 (0.28)</w:t>
            </w:r>
          </w:p>
        </w:tc>
      </w:tr>
    </w:tbl>
    <w:p/>
    <w:p>
      <w:pPr>
        <w:jc w:val="both"/>
      </w:pPr>
      <w:r>
        <w:rPr>
          <w:b w:val="0"/>
          <w:i/>
          <w:sz w:val="20"/>
        </w:rPr>
        <w:t>Trait abbreviations: CH₄ = daily methane output (g day⁻¹); CO₂ = daily carbon dioxide output (g day⁻¹); CH₄/MBW = methane per kg metabolic body weight (g day⁻¹ kg⁻⁰·⁷⁵); CH₄ ratio = CH₄/(CH₄+CO₂), mass basis; CH₄/ADG = methane per kg average daily gain (g kg⁻¹); CH₄/MM = methane per kg computed tomography (CT) muscle mass (g day⁻¹ kg⁻¹); CH₄/rumen = methane per litre CT rumen volume (g day⁻¹ L⁻¹); RMTMBW, RMTMBW+CO₂ and RMTADG = residual methane (g day⁻¹) from regression of CH₄ on metabolic body weight; metabolic body weight and CO₂; and average daily gain, respectively. Muscle mass and rumen volume were measured by CT. Standard errors in parentheses; – = not estimated.</w:t>
      </w:r>
    </w:p>
    <w:p>
      <w:pPr>
        <w:pStyle w:val="Subheadings"/>
        <w:jc w:val="both"/>
      </w:pPr>
      <w:r>
        <w:rPr>
          <w:b w:val="0"/>
          <w:i w:val="0"/>
        </w:rPr>
        <w:t>Selection index analysis</w:t>
      </w:r>
    </w:p>
    <w:p>
      <w:pPr>
        <w:pStyle w:val="Sub-subheading"/>
      </w:pPr>
      <w:r>
        <w:t>Genetic parameters of CH₄, MBW and CO₂</w:t>
      </w:r>
    </w:p>
    <w:p>
      <w:pPr>
        <w:jc w:val="both"/>
      </w:pPr>
      <w:r>
        <w:rPr>
          <w:b w:val="0"/>
          <w:i w:val="0"/>
        </w:rPr>
        <w:t>Genetic parameters from the trivariate analysis of CH₄, MBW and CO₂, used for all index calculations, are given in Supplementary Table S3.</w:t>
      </w:r>
    </w:p>
    <w:p>
      <w:pPr>
        <w:pStyle w:val="Sub-subheading"/>
      </w:pPr>
      <w:r>
        <w:t>The favourable region</w:t>
      </w:r>
    </w:p>
    <w:p>
      <w:pPr>
        <w:jc w:val="both"/>
      </w:pPr>
      <w:r>
        <w:rPr>
          <w:b w:val="0"/>
          <w:i w:val="0"/>
        </w:rPr>
        <w:t xml:space="preserve">Figure 1 shows every response attainable by an index of CH₄, MBW and CO₂. The favourable region within it, in which CH₄ is reduced without a decline in MBW or CO₂, exists, and along its boundary the correlated CO₂ response was positive (+10.1 to +64.5 g day⁻¹). The region is small, covering about 6.5% (95% interval 4.9–7.8%) of the area of attainable responses in Figure 1, because CH₄ is strongly genetically correlated with both MBW and CO₂. </w:t>
      </w:r>
      <w:r>
        <w:rPr>
          <w:b w:val="0"/>
          <w:i w:val="0"/>
          <w:highlight w:val="yellow"/>
        </w:rPr>
        <w:t>Holding both MBW and CO₂ at zero response (the reference index) reduced methane by 0.61 g day⁻¹ (95% interval 0.46–0.75), 46% (35–54%) of the largest attainable methane reduction (−1.34 g day⁻¹; −1.46 to −1.22).</w:t>
      </w:r>
      <w:r>
        <w:rPr>
          <w:b w:val="0"/>
          <w:i w:val="0"/>
        </w:rPr>
        <w:t xml:space="preserve"> Holding MBW alone at zero gave a similar reduction (0.63 g day⁻¹) but increased CO₂ by 10.0 g day⁻¹. Within the region, the weighting sets the balance between the three traits: an index that increased MBW by 0.12 kg⁰·⁷⁵ and CO₂ by 20.7 g day⁻¹ still reduced CH₄ by 0.52 g day⁻¹, and some methane reduction remained possible up to an MBW increase of about 0.65 kg⁰·⁷⁵ (0.52–0.77), or a CO₂ increase of about 75 g day⁻¹ (63–86) (Figure 1).</w:t>
      </w:r>
    </w:p>
    <w:p>
      <w:pPr>
        <w:jc w:val="center"/>
      </w:pPr>
      <w:r>
        <w:drawing>
          <wp:inline xmlns:a="http://schemas.openxmlformats.org/drawingml/2006/main" xmlns:pic="http://schemas.openxmlformats.org/drawingml/2006/picture">
            <wp:extent cx="5040000" cy="5040000"/>
            <wp:docPr id="1" name="Picture 1"/>
            <wp:cNvGraphicFramePr>
              <a:graphicFrameLocks noChangeAspect="1"/>
            </wp:cNvGraphicFramePr>
            <a:graphic>
              <a:graphicData uri="http://schemas.openxmlformats.org/drawingml/2006/picture">
                <pic:pic>
                  <pic:nvPicPr>
                    <pic:cNvPr id="0" name="tri_frontier_co2.png"/>
                    <pic:cNvPicPr/>
                  </pic:nvPicPr>
                  <pic:blipFill>
                    <a:blip r:embed="rId16"/>
                    <a:stretch>
                      <a:fillRect/>
                    </a:stretch>
                  </pic:blipFill>
                  <pic:spPr>
                    <a:xfrm>
                      <a:off x="0" y="0"/>
                      <a:ext cx="5040000" cy="5040000"/>
                    </a:xfrm>
                    <a:prstGeom prst="rect"/>
                  </pic:spPr>
                </pic:pic>
              </a:graphicData>
            </a:graphic>
          </wp:inline>
        </w:drawing>
      </w:r>
    </w:p>
    <w:p>
      <w:pPr>
        <w:jc w:val="both"/>
      </w:pPr>
      <w:r>
        <w:rPr>
          <w:b/>
          <w:i w:val="0"/>
        </w:rPr>
        <w:t>Figure 1.</w:t>
      </w:r>
      <w:r>
        <w:rPr>
          <w:b w:val="0"/>
          <w:i w:val="0"/>
        </w:rPr>
        <w:t xml:space="preserve"> Responses in methane (CH₄) and metabolic body weight (MBW) attainable per generation (selection intensity 1) by any index of CH₄, MBW and CO₂. Colour shows the correlated response in CO₂ (g day⁻¹). The shaded area is the favourable region, in which CH₄ is reduced and neither MBW nor CO₂ is reduced, shown in the CH₄–MBW plane; the CO₂ response along its boundary is positive (+10.1 to +64.5 g day⁻¹). The reference favourable index (the largest CH₄ reduction with MBW and CO₂ held at zero response) lies on the region’s MBW = 0 edge at a CH₄ response of −0.61 g day⁻¹.</w:t>
      </w:r>
    </w:p>
    <w:p>
      <w:pPr>
        <w:jc w:val="both"/>
      </w:pPr>
      <w:r>
        <w:rPr>
          <w:b w:val="0"/>
          <w:i w:val="0"/>
        </w:rPr>
        <w:t>The largest methane reduction attainable without any change in MBW or CO₂ (−0.61 g day⁻¹ CH₄ per generation) could be reached from a breeding goal built on any of the methane traits, provided appropriate additional weights were placed on MBW and CO₂ (Table 6). All five methane traits then led to the same index and the same responses. The outcome was therefore determined by the weights on MBW and CO₂, not by which methane trait the goal was built on.</w:t>
      </w:r>
    </w:p>
    <w:p>
      <w:pPr>
        <w:jc w:val="both"/>
      </w:pPr>
      <w:r>
        <w:rPr>
          <w:b/>
          <w:i w:val="0"/>
        </w:rPr>
        <w:t>Table 6.</w:t>
      </w:r>
      <w:r>
        <w:rPr>
          <w:b w:val="0"/>
          <w:i w:val="0"/>
        </w:rPr>
        <w:t xml:space="preserve"> Additional breeding-goal weights on MBW and CO₂ needed to reach the reference favourable response (CH₄ reduced, MBW and CO₂ held at zero response) when each methane trait forms the breeding goal.</w:t>
      </w:r>
    </w:p>
    <w:tbl>
      <w:tblPr>
        <w:tblStyle w:val="PlainTable2"/>
        <w:tblW w:type="auto" w:w="0"/>
        <w:tblLook w:firstColumn="1" w:firstRow="1" w:lastColumn="0" w:lastRow="0" w:noHBand="0" w:noVBand="1" w:val="04A0"/>
      </w:tblPr>
      <w:tblGrid>
        <w:gridCol w:w="2256"/>
        <w:gridCol w:w="2256"/>
        <w:gridCol w:w="2256"/>
        <w:gridCol w:w="2256"/>
      </w:tblGrid>
      <w:tr>
        <w:tc>
          <w:tcPr>
            <w:tcW w:type="dxa" w:w="2256"/>
          </w:tcPr>
          <w:p>
            <w:pPr>
              <w:jc w:val="both"/>
            </w:pPr>
            <w:r>
              <w:rPr>
                <w:b w:val="0"/>
                <w:i w:val="0"/>
                <w:sz w:val="19"/>
              </w:rPr>
              <w:t>Methane term in the breeding goal</w:t>
            </w:r>
          </w:p>
        </w:tc>
        <w:tc>
          <w:tcPr>
            <w:tcW w:type="dxa" w:w="2256"/>
          </w:tcPr>
          <w:p>
            <w:pPr>
              <w:jc w:val="both"/>
            </w:pPr>
            <w:r>
              <w:rPr>
                <w:b w:val="0"/>
                <w:i w:val="0"/>
                <w:sz w:val="19"/>
              </w:rPr>
              <w:t>Additional weight on MBW (per kg⁰·⁷⁵)</w:t>
            </w:r>
          </w:p>
        </w:tc>
        <w:tc>
          <w:tcPr>
            <w:tcW w:type="dxa" w:w="2256"/>
          </w:tcPr>
          <w:p>
            <w:pPr>
              <w:jc w:val="center"/>
            </w:pPr>
            <w:r>
              <w:rPr>
                <w:b w:val="0"/>
                <w:i w:val="0"/>
                <w:sz w:val="19"/>
              </w:rPr>
              <w:t>Additional weight on CO₂ (per g day⁻¹)</w:t>
            </w:r>
          </w:p>
        </w:tc>
        <w:tc>
          <w:tcPr>
            <w:tcW w:type="dxa" w:w="2256"/>
          </w:tcPr>
          <w:p>
            <w:pPr>
              <w:jc w:val="center"/>
            </w:pPr>
            <w:r>
              <w:rPr>
                <w:b w:val="0"/>
                <w:i w:val="0"/>
                <w:sz w:val="19"/>
              </w:rPr>
              <w:t>Response: ΔCH₄ (g day⁻¹) / ΔMBW (kg⁰·⁷⁵) / ΔCO₂ (g day⁻¹)</w:t>
            </w:r>
          </w:p>
        </w:tc>
      </w:tr>
      <w:tr>
        <w:tc>
          <w:tcPr>
            <w:tcW w:type="dxa" w:w="2256"/>
          </w:tcPr>
          <w:p>
            <w:pPr>
              <w:jc w:val="both"/>
            </w:pPr>
            <w:r>
              <w:rPr>
                <w:b w:val="0"/>
                <w:i w:val="0"/>
                <w:sz w:val="19"/>
              </w:rPr>
              <w:t>CH₄</w:t>
            </w:r>
          </w:p>
        </w:tc>
        <w:tc>
          <w:tcPr>
            <w:tcW w:type="dxa" w:w="2256"/>
          </w:tcPr>
          <w:p>
            <w:pPr>
              <w:jc w:val="both"/>
            </w:pPr>
            <w:r>
              <w:rPr>
                <w:b w:val="0"/>
                <w:i w:val="0"/>
                <w:sz w:val="19"/>
              </w:rPr>
              <w:t>+1.21</w:t>
            </w:r>
          </w:p>
        </w:tc>
        <w:tc>
          <w:tcPr>
            <w:tcW w:type="dxa" w:w="2256"/>
          </w:tcPr>
          <w:p>
            <w:pPr>
              <w:jc w:val="center"/>
            </w:pPr>
            <w:r>
              <w:rPr>
                <w:b w:val="0"/>
                <w:i w:val="0"/>
                <w:sz w:val="19"/>
              </w:rPr>
              <w:t>−0.0040</w:t>
            </w:r>
          </w:p>
        </w:tc>
        <w:tc>
          <w:tcPr>
            <w:tcW w:type="dxa" w:w="2256"/>
          </w:tcPr>
          <w:p>
            <w:pPr>
              <w:jc w:val="center"/>
            </w:pPr>
            <w:r>
              <w:rPr>
                <w:b w:val="0"/>
                <w:i w:val="0"/>
                <w:sz w:val="19"/>
              </w:rPr>
              <w:t>−0.61 / 0 / 0</w:t>
            </w:r>
          </w:p>
        </w:tc>
      </w:tr>
      <w:tr>
        <w:tc>
          <w:tcPr>
            <w:tcW w:type="dxa" w:w="2256"/>
          </w:tcPr>
          <w:p>
            <w:pPr>
              <w:jc w:val="both"/>
            </w:pPr>
            <w:r>
              <w:rPr>
                <w:b w:val="0"/>
                <w:i w:val="0"/>
                <w:sz w:val="19"/>
              </w:rPr>
              <w:t>CH₄/MBW (linearised)</w:t>
            </w:r>
          </w:p>
        </w:tc>
        <w:tc>
          <w:tcPr>
            <w:tcW w:type="dxa" w:w="2256"/>
          </w:tcPr>
          <w:p>
            <w:pPr>
              <w:jc w:val="both"/>
            </w:pPr>
            <w:r>
              <w:rPr>
                <w:b w:val="0"/>
                <w:i w:val="0"/>
                <w:sz w:val="19"/>
              </w:rPr>
              <w:t>+0.40</w:t>
            </w:r>
          </w:p>
        </w:tc>
        <w:tc>
          <w:tcPr>
            <w:tcW w:type="dxa" w:w="2256"/>
          </w:tcPr>
          <w:p>
            <w:pPr>
              <w:jc w:val="center"/>
            </w:pPr>
            <w:r>
              <w:rPr>
                <w:b w:val="0"/>
                <w:i w:val="0"/>
                <w:sz w:val="19"/>
              </w:rPr>
              <w:t>−0.0040</w:t>
            </w:r>
          </w:p>
        </w:tc>
        <w:tc>
          <w:tcPr>
            <w:tcW w:type="dxa" w:w="2256"/>
          </w:tcPr>
          <w:p>
            <w:pPr>
              <w:jc w:val="center"/>
            </w:pPr>
            <w:r>
              <w:rPr>
                <w:b w:val="0"/>
                <w:i w:val="0"/>
                <w:sz w:val="19"/>
              </w:rPr>
              <w:t>−0.61 / 0 / 0</w:t>
            </w:r>
          </w:p>
        </w:tc>
      </w:tr>
      <w:tr>
        <w:tc>
          <w:tcPr>
            <w:tcW w:type="dxa" w:w="2256"/>
          </w:tcPr>
          <w:p>
            <w:pPr>
              <w:jc w:val="both"/>
            </w:pPr>
            <w:r>
              <w:rPr>
                <w:b w:val="0"/>
                <w:i w:val="0"/>
                <w:sz w:val="19"/>
              </w:rPr>
              <w:t>CH₄ ratio (linearised)</w:t>
            </w:r>
          </w:p>
        </w:tc>
        <w:tc>
          <w:tcPr>
            <w:tcW w:type="dxa" w:w="2256"/>
          </w:tcPr>
          <w:p>
            <w:pPr>
              <w:jc w:val="both"/>
            </w:pPr>
            <w:r>
              <w:rPr>
                <w:b w:val="0"/>
                <w:i w:val="0"/>
                <w:sz w:val="19"/>
              </w:rPr>
              <w:t>+1.21</w:t>
            </w:r>
          </w:p>
        </w:tc>
        <w:tc>
          <w:tcPr>
            <w:tcW w:type="dxa" w:w="2256"/>
          </w:tcPr>
          <w:p>
            <w:pPr>
              <w:jc w:val="center"/>
            </w:pPr>
            <w:r>
              <w:rPr>
                <w:b w:val="0"/>
                <w:i w:val="0"/>
                <w:sz w:val="19"/>
              </w:rPr>
              <w:t>−0.0191</w:t>
            </w:r>
          </w:p>
        </w:tc>
        <w:tc>
          <w:tcPr>
            <w:tcW w:type="dxa" w:w="2256"/>
          </w:tcPr>
          <w:p>
            <w:pPr>
              <w:jc w:val="center"/>
            </w:pPr>
            <w:r>
              <w:rPr>
                <w:b w:val="0"/>
                <w:i w:val="0"/>
                <w:sz w:val="19"/>
              </w:rPr>
              <w:t>−0.61 / 0 / 0</w:t>
            </w:r>
          </w:p>
        </w:tc>
      </w:tr>
      <w:tr>
        <w:tc>
          <w:tcPr>
            <w:tcW w:type="dxa" w:w="2256"/>
          </w:tcPr>
          <w:p>
            <w:pPr>
              <w:jc w:val="both"/>
            </w:pPr>
            <w:r>
              <w:rPr>
                <w:b w:val="0"/>
                <w:i w:val="0"/>
                <w:sz w:val="19"/>
              </w:rPr>
              <w:t>Genetic residual</w:t>
            </w:r>
          </w:p>
        </w:tc>
        <w:tc>
          <w:tcPr>
            <w:tcW w:type="dxa" w:w="2256"/>
          </w:tcPr>
          <w:p>
            <w:pPr>
              <w:jc w:val="both"/>
            </w:pPr>
            <w:r>
              <w:rPr>
                <w:b w:val="0"/>
                <w:i w:val="0"/>
                <w:sz w:val="19"/>
              </w:rPr>
              <w:t>+0.37</w:t>
            </w:r>
          </w:p>
        </w:tc>
        <w:tc>
          <w:tcPr>
            <w:tcW w:type="dxa" w:w="2256"/>
          </w:tcPr>
          <w:p>
            <w:pPr>
              <w:jc w:val="center"/>
            </w:pPr>
            <w:r>
              <w:rPr>
                <w:b w:val="0"/>
                <w:i w:val="0"/>
                <w:sz w:val="19"/>
              </w:rPr>
              <w:t>−0.0040</w:t>
            </w:r>
          </w:p>
        </w:tc>
        <w:tc>
          <w:tcPr>
            <w:tcW w:type="dxa" w:w="2256"/>
          </w:tcPr>
          <w:p>
            <w:pPr>
              <w:jc w:val="center"/>
            </w:pPr>
            <w:r>
              <w:rPr>
                <w:b w:val="0"/>
                <w:i w:val="0"/>
                <w:sz w:val="19"/>
              </w:rPr>
              <w:t>−0.61 / 0 / 0</w:t>
            </w:r>
          </w:p>
        </w:tc>
      </w:tr>
      <w:tr>
        <w:tc>
          <w:tcPr>
            <w:tcW w:type="dxa" w:w="2256"/>
          </w:tcPr>
          <w:p>
            <w:pPr>
              <w:jc w:val="both"/>
            </w:pPr>
            <w:r>
              <w:rPr>
                <w:b w:val="0"/>
                <w:i w:val="0"/>
                <w:sz w:val="19"/>
              </w:rPr>
              <w:t>Phenotypic residual (RMTMBW+CO₂)</w:t>
            </w:r>
          </w:p>
        </w:tc>
        <w:tc>
          <w:tcPr>
            <w:tcW w:type="dxa" w:w="2256"/>
          </w:tcPr>
          <w:p>
            <w:pPr>
              <w:jc w:val="both"/>
            </w:pPr>
            <w:r>
              <w:rPr>
                <w:b w:val="0"/>
                <w:i w:val="0"/>
                <w:sz w:val="19"/>
              </w:rPr>
              <w:t>+0.78</w:t>
            </w:r>
          </w:p>
        </w:tc>
        <w:tc>
          <w:tcPr>
            <w:tcW w:type="dxa" w:w="2256"/>
          </w:tcPr>
          <w:p>
            <w:pPr>
              <w:jc w:val="center"/>
            </w:pPr>
            <w:r>
              <w:rPr>
                <w:b w:val="0"/>
                <w:i w:val="0"/>
                <w:sz w:val="19"/>
              </w:rPr>
              <w:t>−0.0078</w:t>
            </w:r>
          </w:p>
        </w:tc>
        <w:tc>
          <w:tcPr>
            <w:tcW w:type="dxa" w:w="2256"/>
          </w:tcPr>
          <w:p>
            <w:pPr>
              <w:jc w:val="center"/>
            </w:pPr>
            <w:r>
              <w:rPr>
                <w:b w:val="0"/>
                <w:i w:val="0"/>
                <w:sz w:val="19"/>
              </w:rPr>
              <w:t>−0.61 / 0 / 0</w:t>
            </w:r>
          </w:p>
        </w:tc>
      </w:tr>
    </w:tbl>
    <w:p/>
    <w:p>
      <w:pPr>
        <w:jc w:val="both"/>
      </w:pPr>
      <w:r>
        <w:rPr>
          <w:b w:val="0"/>
          <w:i/>
          <w:sz w:val="20"/>
        </w:rPr>
        <w:t>Weights are per −1 on the methane term, i.e. the goal is −(methane term) + w(MBW)·MBW + w(CO₂)·CO₂. They are relative breeding-goal weights (a), not economic values: only their ratios matter, and all five goals give the same index and the same responses. They differ only because each methane term already carries some weight on MBW and CO₂ (ratios linearised around the trait means; residual regression coefficients as in Methods). The corresponding selection index weights (b) are given in Supplementary Table S4. Abbreviations: CH₄ = daily methane output (g day⁻¹); MBW = metabolic body weight (kg⁰·⁷⁵); CO₂ = daily carbon dioxide output (g day⁻¹); CH₄ ratio = CH₄/(CH₄+CO₂), mass basis; RMTMBW+CO₂ = residual methane from regression of CH₄ on MBW and CO₂. Responses are per generation at selection intensity 1.</w:t>
      </w:r>
    </w:p>
    <w:p>
      <w:r>
        <w:rPr>
          <w:b/>
          <w:i w:val="0"/>
          <w:sz w:val="36"/>
        </w:rPr>
        <w:t>Discussion</w:t>
      </w:r>
    </w:p>
    <w:p>
      <w:pPr>
        <w:jc w:val="both"/>
      </w:pPr>
      <w:r>
        <w:rPr>
          <w:b w:val="0"/>
          <w:i w:val="0"/>
        </w:rPr>
        <w:t>The present study estimated genetic parameters for a comprehensive set of methane trait definitions in pasture-based sheep, comparing absolute, ratio-based, and residual methane traits. Multiple methane traits are used across the literature to quantify emissions, but their statistical properties, and their genetic relationships with production traits, are not always made explicit. Lassen and Difford {Lassen, 2020 #175} highlighted the need for further empirical work on the genetic parameters of ratio- and residual-based methane traits. This study addresses that gap and extends it by examining how these traits respond to selection within a selection index.</w:t>
      </w:r>
    </w:p>
    <w:p>
      <w:pPr>
        <w:pStyle w:val="Subheadings"/>
        <w:jc w:val="both"/>
      </w:pPr>
      <w:r>
        <w:rPr>
          <w:b w:val="0"/>
          <w:i w:val="0"/>
        </w:rPr>
        <w:t>Genetic parameters of methane trait definitions</w:t>
      </w:r>
    </w:p>
    <w:p>
      <w:pPr>
        <w:jc w:val="both"/>
      </w:pPr>
      <w:r>
        <w:rPr>
          <w:b w:val="0"/>
          <w:i w:val="0"/>
        </w:rPr>
        <w:t>Heritability estimates across the nine methane trait definitions ranged from 0.12 to 0.46, indicating that methane production carries meaningful additive genetic variation whichever way it is expressed. These estimates lie within the range reported for methane traits in sheep {Jonker, 2018 #99; Pinares-Patiño, 2013 #67}, beef {Ryan, 2025 #146; Crowley, 2026 #169} and dairy cattle {Kamalanathan, 2023 #159; van Breukelen, 2023 #171}, and are comparable in magnitude to traits already used in livestock breeding programmes, such as somatic cell count {Shook, 1994 #172}, which has delivered sustained genetic gain in dairy cattle once incorporated into a breeding objective {García-Ruiz, 2016 #173}. Feed intake is the main determinant of an animal's daily methane output {Belanche, 2023 #287; Hristov, 2018 #288}. Where intake is recorded, methane is therefore commonly expressed per unit of intake (methane yield) or residualised on intake {Manzanilla-Pech, 2021 #289; Richardson, 2021 #290}. In grazing sheep, however, feed intake is rarely measured at scale, and scaling or residualising methane against body size, growth or production traits serves as a practical proxy for that missing feed-intake information {Robinson, 2016 #279; Crowley, 2024 #70; Smith, 2021 #79}. The adjustment traits used here (MBW, ADG, muscle mass, rumen volume and CO₂) are also biologically relevant in their own right. Maintenance energy requirements, and hence much of an animal's feed intake, are proportional to metabolic body weight, so MBW captures the size-driven component of intake. Average daily gain describes the rate of growth and muscle mass the product of growth, so methane expressed relative to ADG reflects emissions relative to growth rate, and methane relative to muscle mass approximates emissions per unit of saleable product. Rumen volume reflects fermentative capacity and retention time {Goopy, 2014 #58}. Carbon dioxide output reflects total metabolic activity and is closely related to feed intake in PAC-measured sheep {Robinson, 2016 #279}, therefore CH₄ ratio and RMTMBW+CO₂ approximate methane relative to intake. However, as shown below, scaling or residualising methane on these proxies did not remove its genetic association with body size and growth.</w:t>
      </w:r>
    </w:p>
    <w:p>
      <w:pPr>
        <w:jc w:val="both"/>
      </w:pPr>
      <w:r>
        <w:rPr>
          <w:b w:val="0"/>
          <w:i w:val="0"/>
        </w:rPr>
        <w:t>In sheep, the heritability of daily methane was similar to those previously estimated using PAC in New Zealand lambs and ewes (0.19–0.20) {Jonker, 2018 #99}, but lower than respiration-chamber estimates {Pinares-Patiño, 2013 #67}. In cattle, daily methane heritability measures range from 0.15 to 0.42 in beef {Ryan, 2025 #146; Crowley, 2026 #169} and from 0.16 to 0.33 in dairy {Kamalanathan, 2023 #159; van Breukelen, 2023 #171}, with the highest beef estimates from GreenFeed measurements averaged over a full test period {Ryan, 2025 #146; Crowley, 2026 #169}. This is consistent with a single short PAC measurement capturing less of an animal's average emission than repeated measurements {Robinson, 2015 #278; O'Connor, 2021 #23}. The heritability of CH₄ ratio fell within the range of 0.17–0.25 reported by Jonker et al. {Jonker, 2018 #99}. Methane relative to product (0.21–0.66) and residual methane (0.38–0.46) were generally more heritable in cattle {Kamalanathan, 2023 #159; Crowley, 2026 #169} than the corresponding traits presented here, which adjust for body size, growth and CO₂ as proxies for intake rather than for measured intake or output.</w:t>
      </w:r>
    </w:p>
    <w:p>
      <w:pPr>
        <w:pStyle w:val="Subheadings"/>
        <w:jc w:val="both"/>
      </w:pPr>
      <w:r>
        <w:rPr>
          <w:b w:val="0"/>
          <w:i w:val="0"/>
        </w:rPr>
        <w:t>Genetic relationships with body size, growth and CO₂</w:t>
      </w:r>
    </w:p>
    <w:p>
      <w:pPr>
        <w:jc w:val="both"/>
      </w:pPr>
      <w:r>
        <w:rPr>
          <w:b w:val="0"/>
          <w:i w:val="0"/>
        </w:rPr>
        <w:t xml:space="preserve">Genetically, the alternative methane definitions were strongly correlated with absolute methane in most cases (rg = 0.71–1.00), indicating that they share much of the same underlying additive genetic variation rather than capturing a materially distinct trait. Methane per kg of average daily gain (CH₄/ADG) was the most genetically distinct definition (rg = 0.38 with absolute methane), consistent with the ratio being dominated by its small and highly variable denominator, ADG (rg = −0.81), which is also estimated over a window of up to ±120 days rather than at the time of the methane measurement. Daily methane was also strongly and positively genetically correlated with body size and growth: metabolic body weight (rg = 0.72), live weight (rg = 0.71), and average daily gain (rg = 0.51). Ratio and residual methane traits did not remove these genetic relationships. Methane intensity and the residual methane traits were negatively genetically correlated with their own denominator or adjustment trait, while remaining strongly genetically correlated with absolute methane itself (rg = 0.78–1.00 for the three residual traits). This is consistent with the general statistical behaviour of ratio and residual variables described by Kennedy et al. {Kennedy, 1993 #92} and Kronmal {Kronmal, 1993 #178}. </w:t>
      </w:r>
      <w:r>
        <w:rPr>
          <w:b w:val="0"/>
          <w:i w:val="0"/>
          <w:highlight w:val="yellow"/>
        </w:rPr>
        <w:t>This is expected, as a phenotypic residual is not genetically independent of the traits it is regressed on unless the regression is applied at the genetic level.</w:t>
      </w:r>
    </w:p>
    <w:p>
      <w:pPr>
        <w:jc w:val="both"/>
      </w:pPr>
      <w:r>
        <w:rPr>
          <w:b w:val="0"/>
          <w:i w:val="0"/>
        </w:rPr>
        <w:t>Carbon dioxide production was moderately heritable (h² = 0.25) and strongly genetically correlated with both daily methane (rg = 0.57 ± 0.04) and metabolic body weight (rg = 0.83 ± 0.02). CO₂ output reflects total heat production and hence energy intake, and CO₂ is strongly correlated with feed intake in PAC-measured sheep {Robinson, 2016 #279; Paganoni, 2017 #294} and in cattle {Huhtanen, 2021 #292; Arthur, 2018 #295}. However, more efficient animals produce less CO₂ per unit of intake {Huhtanen, 2020 #296}, which limits its accuracy as a proxy for intake.</w:t>
      </w:r>
    </w:p>
    <w:p>
      <w:pPr>
        <w:pStyle w:val="Subheadings"/>
        <w:jc w:val="both"/>
      </w:pPr>
      <w:r>
        <w:rPr>
          <w:b w:val="0"/>
          <w:i w:val="0"/>
        </w:rPr>
        <w:t>Heterogeneous residual variance</w:t>
      </w:r>
    </w:p>
    <w:p>
      <w:pPr>
        <w:jc w:val="both"/>
      </w:pPr>
      <w:r>
        <w:rPr>
          <w:b w:val="0"/>
          <w:i w:val="0"/>
        </w:rPr>
        <w:t>Genetic evaluations can assume a common residual variance across contemporary groups. This assumption is rarely met, and when it is violated, records from more variable groups receive more weighting and variance components and breeding values are biased {Meuwissen, 1996 #284; Van Vleck, 1987; Cardoso, 2005}. It is particularly relevant to PAC methane: between-day and between-group variation in PAC measurements is large {O'Connor, 2021 #23}, emissions differ with site, pasture and protocol {Goopy, 2016; Robinson, 2015 #278}, and the present data combined animals of very different ages and physiological stages. Accounting for this heterogeneity lowered the heritability of methane, CH₄/MBW, RMTMBW and RMTMBW+CO₂, and of CO₂, relative to a single pooled residual variance (results not shown). However classifying the residual variance as either homogeneous or heterogeneous had little impact on the genetic correlations, for example the genetic correlation between methane and methane intensity was 0.85 in the full data, and also 0.85 in both young and mature animals when analysed separately, and the young-versus-mature genetic correlation for methane was 0.99. Residual heterogeneity therefore mainly affects heritability estimates and should be accounted for whenever genetic parameters are estimated from PAC methane recorded across physiological stages. However, only 25.4% of animals had more than one methane record, which limits the precision of the permanent environmental variance and prevented its estimation for the computed-tomography traits and RMTADG.</w:t>
      </w:r>
    </w:p>
    <w:p>
      <w:pPr>
        <w:pStyle w:val="Subheadings"/>
        <w:jc w:val="both"/>
      </w:pPr>
      <w:r>
        <w:rPr>
          <w:b w:val="0"/>
          <w:i w:val="0"/>
        </w:rPr>
        <w:t>Methane traits in a selection index</w:t>
      </w:r>
    </w:p>
    <w:p>
      <w:pPr>
        <w:jc w:val="both"/>
      </w:pPr>
      <w:r>
        <w:rPr>
          <w:b w:val="0"/>
          <w:i w:val="0"/>
        </w:rPr>
        <w:t xml:space="preserve">Alternative methane traits have been frequently proposed as selection criteria {Manzanilla-Pech, 2021 #289; Richardson, 2021 #290; de Haas, 2017 #299; Fresco, 2023 #300}, but the central result of the index analysis is that the choice of methane trait is of secondary importance. A favourable region, in which methane is reduced without a decline in body size or CO₂, does exist, and every methane trait examined, whether absolute, ratio or residual, reached the same response within it once appropriate weights on MBW and CO₂ were included in the breeding goal; all then led to the same index (Table 6). </w:t>
      </w:r>
      <w:r>
        <w:rPr>
          <w:b w:val="0"/>
          <w:i w:val="0"/>
          <w:highlight w:val="yellow"/>
        </w:rPr>
        <w:t>A ratio or residual trait is, in effect, a fixed weighting of methane against its denominator or adjustment trait {Gunsett, 1984 #285; Kennedy, 1993 #92}. It is therefore the weighting of methane, body size and CO₂ in the breeding goal, not the methane trait definition, that determines whether methane can be reduced without reducing size.</w:t>
      </w:r>
    </w:p>
    <w:p>
      <w:pPr>
        <w:jc w:val="both"/>
      </w:pPr>
      <w:r>
        <w:rPr>
          <w:b w:val="0"/>
          <w:i w:val="0"/>
        </w:rPr>
        <w:t>This agrees with the observation that direct multi-trait selection can match or outperform selection on a ratio {Zetouni, 2017 #180; Sutherland, 1965 #182; Aggrey, 2013 #183}, and with the long-standing debate over ratio, residual and index selection for feed efficiency {Lin, 1980 #163; Koch, 1963 #166}. Within the region, the balance can be shifted towards slightly higher body size or intake, as proxied by CO₂, at the cost of a smaller methane reduction; the reference index, which holds both at zero response, is the neutral choice. The weights reported here depend on the genetic parameters and are specific to this population. They were also treated as constant across generations, although genetic parameters change under selection (Cuyabano et al. {Cuyabano, 2025 #274}). Responses are per generation at a fixed selection intensity, whereas realised selection intensity depends on the breeding programme, the recording of methane on only part of the population, and the use of genomic information, none of which were modelled.</w:t>
      </w:r>
    </w:p>
    <w:p>
      <w:pPr>
        <w:jc w:val="both"/>
      </w:pPr>
      <w:r>
        <w:rPr>
          <w:b w:val="0"/>
          <w:i w:val="0"/>
        </w:rPr>
        <w:t>The weights on MBW and CO₂ in the present index are not economic values but those required to reduce methane without changing MBW or CO₂, similar to a desired-gains approach {Pešek, 1969 #184}. An economic breeding goal would instead weight each trait, including methane, by its economic value {Richardson, 2022 #179; Bognar, 2023 #185; Matthews, 2023 #186}, but the same principles apply. Economic values on an alternative methane trait are therefore subject to the same constraints identified in this analysis: the trait already carries implicit weights on its component traits (here MBW and CO₂), which must be accounted for when those traits are weighted, and the correlated responses of the index should be checked against the attainable responses (Figure 1) to avoid an unintended cost to production.</w:t>
      </w:r>
    </w:p>
    <w:p>
      <w:r>
        <w:rPr>
          <w:b/>
          <w:i w:val="0"/>
          <w:sz w:val="36"/>
        </w:rPr>
        <w:t>Conclusions</w:t>
      </w:r>
    </w:p>
    <w:p>
      <w:pPr>
        <w:jc w:val="both"/>
      </w:pPr>
      <w:r>
        <w:rPr>
          <w:b w:val="0"/>
          <w:i w:val="0"/>
        </w:rPr>
        <w:t>This study estimated genetic parameters for nine alternative methane trait definitions in a large, pasture-based sheep population, and shows that these definitions differ meaningfully in their genetic parameters and in their genetic relationships with body size and growth. All definitions were heritable, with estimates ranging from low to moderate (h² = 0.12–0.46). Ratio and residual methane traits remained strongly genetically correlated with absolute daily methane, showing that they share much of the same underlying genetic variation rather than representing a genetically distinct trait. Daily methane itself was strongly and positively genetically correlated with body size and growth, and scaling or residualising methane redistributed this genetic association rather than removing it. When a methane trait is used on its own, the choice of definition therefore determines the direction and magnitude of the genetic relationship between methane and production.</w:t>
      </w:r>
    </w:p>
    <w:p>
      <w:pPr>
        <w:jc w:val="both"/>
      </w:pPr>
      <w:r>
        <w:rPr>
          <w:b w:val="0"/>
          <w:i w:val="0"/>
        </w:rPr>
        <w:t>The selection index analysis shows, however, that this choice matters far less than how methane is weighted against body size and CO₂. In an index of methane, metabolic body weight and CO₂, once appropriate weights on body size and CO₂ were included, every trait, whether absolute, ratio or residual, reached the same favourable response and the same index. The weighting of methane, body size and CO₂ in the breeding goal, not the methane trait definition, therefore determines whether methane can be reduced without reducing size. In practice these weights would come from economic values, and the same framework identifies the minimum value that must be placed on methane, relative to body size, for an economic index to achieve this.</w:t>
      </w:r>
    </w:p>
    <w:p>
      <w:pPr>
        <w:pStyle w:val="Subheadings"/>
        <w:jc w:val="both"/>
      </w:pPr>
      <w:r>
        <w:rPr>
          <w:b w:val="0"/>
          <w:i w:val="0"/>
        </w:rPr>
        <w:t>Declarations</w:t>
      </w:r>
    </w:p>
    <w:p>
      <w:pPr>
        <w:pStyle w:val="Subheadings"/>
        <w:jc w:val="both"/>
      </w:pPr>
      <w:r>
        <w:rPr>
          <w:b w:val="0"/>
          <w:i w:val="0"/>
        </w:rPr>
        <w:t>Ethics approval and consent to participate</w:t>
      </w:r>
    </w:p>
    <w:p>
      <w:pPr>
        <w:jc w:val="both"/>
      </w:pPr>
      <w:r>
        <w:rPr>
          <w:b w:val="0"/>
          <w:i w:val="0"/>
        </w:rPr>
        <w:t>Data were generated on growing animals and ewes from 132 Irish sheep flocks. Data collection was approved by the Teagasc Animal Ethics Committee (TAEC2020-252; TAEC2020-258; TAEC0323-374) and the Health Protection Regulatory Authority (AE19132/P112; AE19132/P114; AE19132/P181).</w:t>
      </w:r>
    </w:p>
    <w:p>
      <w:pPr>
        <w:pStyle w:val="Subheadings"/>
        <w:jc w:val="both"/>
      </w:pPr>
      <w:r>
        <w:rPr>
          <w:b w:val="0"/>
          <w:i w:val="0"/>
        </w:rPr>
        <w:t>Consent for publication</w:t>
      </w:r>
    </w:p>
    <w:p>
      <w:pPr>
        <w:jc w:val="both"/>
      </w:pPr>
      <w:r>
        <w:rPr>
          <w:b w:val="0"/>
          <w:i w:val="0"/>
        </w:rPr>
        <w:t>Not applicable.</w:t>
      </w:r>
    </w:p>
    <w:p>
      <w:pPr>
        <w:pStyle w:val="Subheadings"/>
        <w:jc w:val="both"/>
      </w:pPr>
      <w:r>
        <w:rPr>
          <w:b w:val="0"/>
          <w:i w:val="0"/>
        </w:rPr>
        <w:t>Availability of data and materials</w:t>
      </w:r>
    </w:p>
    <w:p>
      <w:pPr>
        <w:jc w:val="both"/>
      </w:pPr>
      <w:r>
        <w:rPr>
          <w:b w:val="0"/>
          <w:i w:val="0"/>
        </w:rPr>
        <w:t>The datasets analysed in the current study are not publicly available as they contain commercially sensitive information collected from farmers and private enterprises. Supplementary materials, including full variance components and complete correlation matrices, are available via Zenodo [DOI to be added upon acceptance].</w:t>
      </w:r>
    </w:p>
    <w:p>
      <w:pPr>
        <w:pStyle w:val="Subheadings"/>
        <w:jc w:val="both"/>
      </w:pPr>
      <w:r>
        <w:rPr>
          <w:b w:val="0"/>
          <w:i w:val="0"/>
        </w:rPr>
        <w:t>Competing interests</w:t>
      </w:r>
    </w:p>
    <w:p>
      <w:pPr>
        <w:jc w:val="both"/>
      </w:pPr>
      <w:r>
        <w:rPr>
          <w:b w:val="0"/>
          <w:i w:val="0"/>
        </w:rPr>
        <w:t>The authors declare that they have no competing interests.</w:t>
      </w:r>
    </w:p>
    <w:p>
      <w:pPr>
        <w:pStyle w:val="Subheadings"/>
        <w:jc w:val="both"/>
      </w:pPr>
      <w:r>
        <w:rPr>
          <w:b w:val="0"/>
          <w:i w:val="0"/>
        </w:rPr>
        <w:t>Funding</w:t>
      </w:r>
    </w:p>
    <w:p>
      <w:pPr>
        <w:jc w:val="both"/>
      </w:pPr>
      <w:r>
        <w:rPr>
          <w:b w:val="0"/>
          <w:i w:val="0"/>
        </w:rPr>
        <w:t>Funding from the Irish Department of Agriculture, Food, and Marine MethanePredict (2022IRLNZ121), SustainSheep (2023GEH253), and Science Foundation Ireland under the Grant 21/FFP-A/9148 (OviSeq) projects is gratefully acknowledged.</w:t>
      </w:r>
    </w:p>
    <w:p>
      <w:pPr>
        <w:pStyle w:val="Subheadings"/>
        <w:jc w:val="both"/>
      </w:pPr>
      <w:r>
        <w:rPr>
          <w:b w:val="0"/>
          <w:i w:val="0"/>
        </w:rPr>
        <w:t>Authors' contributions</w:t>
      </w:r>
    </w:p>
    <w:p>
      <w:pPr>
        <w:pStyle w:val="Subheadings"/>
        <w:jc w:val="both"/>
      </w:pPr>
      <w:r>
        <w:rPr>
          <w:b w:val="0"/>
          <w:i w:val="0"/>
        </w:rPr>
        <w:t>Acknowledgements</w:t>
      </w:r>
    </w:p>
    <w:p>
      <w:pPr>
        <w:jc w:val="both"/>
      </w:pPr>
      <w:r>
        <w:rPr>
          <w:b w:val="0"/>
          <w:i w:val="0"/>
        </w:rPr>
        <w:t>The authors gratefully acknowledge the participating farmers and industry partners.</w:t>
      </w:r>
    </w:p>
    <w:p>
      <w:r>
        <w:rPr>
          <w:b/>
          <w:i w:val="0"/>
          <w:sz w:val="36"/>
        </w:rPr>
        <w:t>Supplementary Material</w:t>
      </w:r>
    </w:p>
    <w:p>
      <w:pPr>
        <w:jc w:val="both"/>
      </w:pPr>
      <w:r>
        <w:rPr>
          <w:b/>
          <w:i w:val="0"/>
        </w:rPr>
        <w:t>S1.</w:t>
      </w:r>
      <w:r>
        <w:rPr>
          <w:b w:val="0"/>
          <w:i w:val="0"/>
        </w:rPr>
        <w:t xml:space="preserve"> Fixed-effect significance, pedigree completeness and connectedness.</w:t>
      </w:r>
    </w:p>
    <w:p>
      <w:pPr>
        <w:jc w:val="both"/>
      </w:pPr>
      <w:r>
        <w:rPr>
          <w:b/>
          <w:i w:val="0"/>
        </w:rPr>
        <w:t>Table S1</w:t>
      </w:r>
      <w:r>
        <w:rPr>
          <w:b w:val="0"/>
          <w:i w:val="0"/>
        </w:rPr>
        <w:t>a</w:t>
      </w:r>
      <w:r>
        <w:rPr>
          <w:b/>
          <w:i w:val="0"/>
        </w:rPr>
        <w:t>.</w:t>
      </w:r>
      <w:r>
        <w:rPr>
          <w:b w:val="0"/>
          <w:i w:val="0"/>
        </w:rPr>
        <w:t xml:space="preserve"> Significance of fixed effects (Wald F-tests) in the univariate models of the component traits.</w:t>
      </w:r>
    </w:p>
    <w:tbl>
      <w:tblPr>
        <w:tblStyle w:val="PlainTable2"/>
        <w:tblW w:type="auto" w:w="0"/>
        <w:tblLook w:firstColumn="1" w:firstRow="1" w:lastColumn="0" w:lastRow="0" w:noHBand="0" w:noVBand="1" w:val="04A0"/>
      </w:tblPr>
      <w:tblGrid>
        <w:gridCol w:w="1128"/>
        <w:gridCol w:w="1128"/>
        <w:gridCol w:w="1128"/>
        <w:gridCol w:w="1128"/>
        <w:gridCol w:w="1128"/>
        <w:gridCol w:w="1128"/>
        <w:gridCol w:w="1128"/>
        <w:gridCol w:w="1128"/>
      </w:tblGrid>
      <w:tr>
        <w:tc>
          <w:tcPr>
            <w:tcW w:type="dxa" w:w="1128"/>
          </w:tcPr>
          <w:p>
            <w:pPr>
              <w:jc w:val="both"/>
            </w:pPr>
            <w:r>
              <w:rPr>
                <w:b w:val="0"/>
                <w:i w:val="0"/>
                <w:sz w:val="19"/>
              </w:rPr>
              <w:t>Fixed effect</w:t>
            </w:r>
          </w:p>
        </w:tc>
        <w:tc>
          <w:tcPr>
            <w:tcW w:type="dxa" w:w="1128"/>
          </w:tcPr>
          <w:p>
            <w:pPr>
              <w:jc w:val="both"/>
            </w:pPr>
            <w:r>
              <w:rPr>
                <w:b w:val="0"/>
                <w:i w:val="0"/>
                <w:sz w:val="19"/>
              </w:rPr>
              <w:t>CH₄</w:t>
            </w:r>
          </w:p>
        </w:tc>
        <w:tc>
          <w:tcPr>
            <w:tcW w:type="dxa" w:w="1128"/>
          </w:tcPr>
          <w:p>
            <w:pPr>
              <w:jc w:val="center"/>
            </w:pPr>
            <w:r>
              <w:rPr>
                <w:b w:val="0"/>
                <w:i w:val="0"/>
                <w:sz w:val="19"/>
              </w:rPr>
              <w:t>CO₂</w:t>
            </w:r>
          </w:p>
        </w:tc>
        <w:tc>
          <w:tcPr>
            <w:tcW w:type="dxa" w:w="1128"/>
          </w:tcPr>
          <w:p>
            <w:pPr>
              <w:jc w:val="center"/>
            </w:pPr>
            <w:r>
              <w:rPr>
                <w:b w:val="0"/>
                <w:i w:val="0"/>
                <w:sz w:val="19"/>
              </w:rPr>
              <w:t>MBW</w:t>
            </w:r>
          </w:p>
        </w:tc>
        <w:tc>
          <w:tcPr>
            <w:tcW w:type="dxa" w:w="1128"/>
          </w:tcPr>
          <w:p>
            <w:pPr>
              <w:jc w:val="center"/>
            </w:pPr>
            <w:r>
              <w:rPr>
                <w:b w:val="0"/>
                <w:i w:val="0"/>
                <w:sz w:val="19"/>
              </w:rPr>
              <w:t>ADG</w:t>
            </w:r>
          </w:p>
        </w:tc>
        <w:tc>
          <w:tcPr>
            <w:tcW w:type="dxa" w:w="1128"/>
          </w:tcPr>
          <w:p>
            <w:pPr>
              <w:jc w:val="center"/>
            </w:pPr>
            <w:r>
              <w:rPr>
                <w:b w:val="0"/>
                <w:i w:val="0"/>
                <w:sz w:val="19"/>
              </w:rPr>
              <w:t>Muscle mass</w:t>
            </w:r>
          </w:p>
        </w:tc>
        <w:tc>
          <w:tcPr>
            <w:tcW w:type="dxa" w:w="1128"/>
          </w:tcPr>
          <w:p>
            <w:pPr>
              <w:jc w:val="center"/>
            </w:pPr>
            <w:r>
              <w:rPr>
                <w:b w:val="0"/>
                <w:i w:val="0"/>
                <w:sz w:val="19"/>
              </w:rPr>
              <w:t>Rumen volume</w:t>
            </w:r>
          </w:p>
        </w:tc>
        <w:tc>
          <w:tcPr>
            <w:tcW w:type="dxa" w:w="1128"/>
          </w:tcPr>
          <w:p>
            <w:pPr>
              <w:jc w:val="center"/>
            </w:pPr>
            <w:r>
              <w:rPr>
                <w:b w:val="0"/>
                <w:i w:val="0"/>
                <w:sz w:val="19"/>
              </w:rPr>
              <w:t>Live weight</w:t>
            </w:r>
          </w:p>
        </w:tc>
      </w:tr>
      <w:tr>
        <w:tc>
          <w:tcPr>
            <w:tcW w:type="dxa" w:w="1128"/>
          </w:tcPr>
          <w:p>
            <w:pPr>
              <w:jc w:val="both"/>
            </w:pPr>
            <w:r>
              <w:rPr>
                <w:b w:val="0"/>
                <w:i w:val="0"/>
                <w:sz w:val="19"/>
              </w:rPr>
              <w:t>sex</w:t>
            </w:r>
          </w:p>
        </w:tc>
        <w:tc>
          <w:tcPr>
            <w:tcW w:type="dxa" w:w="1128"/>
          </w:tcPr>
          <w:p>
            <w:pPr>
              <w:jc w:val="both"/>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r>
      <w:tr>
        <w:tc>
          <w:tcPr>
            <w:tcW w:type="dxa" w:w="1128"/>
          </w:tcPr>
          <w:p>
            <w:pPr>
              <w:jc w:val="both"/>
            </w:pPr>
            <w:r>
              <w:rPr>
                <w:b w:val="0"/>
                <w:i w:val="0"/>
                <w:sz w:val="19"/>
              </w:rPr>
              <w:t>BR</w:t>
            </w:r>
          </w:p>
        </w:tc>
        <w:tc>
          <w:tcPr>
            <w:tcW w:type="dxa" w:w="1128"/>
          </w:tcPr>
          <w:p>
            <w:pPr>
              <w:jc w:val="both"/>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ns</w:t>
            </w:r>
          </w:p>
        </w:tc>
      </w:tr>
      <w:tr>
        <w:tc>
          <w:tcPr>
            <w:tcW w:type="dxa" w:w="1128"/>
          </w:tcPr>
          <w:p>
            <w:pPr>
              <w:jc w:val="both"/>
            </w:pPr>
            <w:r>
              <w:rPr>
                <w:b w:val="0"/>
                <w:i w:val="0"/>
                <w:sz w:val="19"/>
              </w:rPr>
              <w:t>CL</w:t>
            </w:r>
          </w:p>
        </w:tc>
        <w:tc>
          <w:tcPr>
            <w:tcW w:type="dxa" w:w="1128"/>
          </w:tcPr>
          <w:p>
            <w:pPr>
              <w:jc w:val="both"/>
            </w:pPr>
            <w:r>
              <w:rPr>
                <w:b w:val="0"/>
                <w:i w:val="0"/>
                <w:sz w:val="19"/>
              </w:rPr>
              <w:t>***</w:t>
            </w:r>
          </w:p>
        </w:tc>
        <w:tc>
          <w:tcPr>
            <w:tcW w:type="dxa" w:w="1128"/>
          </w:tcPr>
          <w:p>
            <w:pPr>
              <w:jc w:val="center"/>
            </w:pPr>
            <w:r>
              <w:rPr>
                <w:b w:val="0"/>
                <w:i w:val="0"/>
                <w:sz w:val="19"/>
              </w:rPr>
              <w:t>ns</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r>
      <w:tr>
        <w:tc>
          <w:tcPr>
            <w:tcW w:type="dxa" w:w="1128"/>
          </w:tcPr>
          <w:p>
            <w:pPr>
              <w:jc w:val="both"/>
            </w:pPr>
            <w:r>
              <w:rPr>
                <w:b w:val="0"/>
                <w:i w:val="0"/>
                <w:sz w:val="19"/>
              </w:rPr>
              <w:t>CV</w:t>
            </w:r>
          </w:p>
        </w:tc>
        <w:tc>
          <w:tcPr>
            <w:tcW w:type="dxa" w:w="1128"/>
          </w:tcPr>
          <w:p>
            <w:pPr>
              <w:jc w:val="both"/>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w:t>
            </w:r>
          </w:p>
        </w:tc>
        <w:tc>
          <w:tcPr>
            <w:tcW w:type="dxa" w:w="1128"/>
          </w:tcPr>
          <w:p>
            <w:pPr>
              <w:jc w:val="center"/>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w:t>
            </w:r>
          </w:p>
        </w:tc>
      </w:tr>
      <w:tr>
        <w:tc>
          <w:tcPr>
            <w:tcW w:type="dxa" w:w="1128"/>
          </w:tcPr>
          <w:p>
            <w:pPr>
              <w:jc w:val="both"/>
            </w:pPr>
            <w:r>
              <w:rPr>
                <w:b w:val="0"/>
                <w:i w:val="0"/>
                <w:sz w:val="19"/>
              </w:rPr>
              <w:t>LY</w:t>
            </w:r>
          </w:p>
        </w:tc>
        <w:tc>
          <w:tcPr>
            <w:tcW w:type="dxa" w:w="1128"/>
          </w:tcPr>
          <w:p>
            <w:pPr>
              <w:jc w:val="both"/>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ns</w:t>
            </w:r>
          </w:p>
        </w:tc>
      </w:tr>
      <w:tr>
        <w:tc>
          <w:tcPr>
            <w:tcW w:type="dxa" w:w="1128"/>
          </w:tcPr>
          <w:p>
            <w:pPr>
              <w:jc w:val="both"/>
            </w:pPr>
            <w:r>
              <w:rPr>
                <w:b w:val="0"/>
                <w:i w:val="0"/>
                <w:sz w:val="19"/>
              </w:rPr>
              <w:t>SU</w:t>
            </w:r>
          </w:p>
        </w:tc>
        <w:tc>
          <w:tcPr>
            <w:tcW w:type="dxa" w:w="1128"/>
          </w:tcPr>
          <w:p>
            <w:pPr>
              <w:jc w:val="both"/>
            </w:pPr>
            <w:r>
              <w:rPr>
                <w:b w:val="0"/>
                <w:i w:val="0"/>
                <w:sz w:val="19"/>
              </w:rPr>
              <w:t>*</w:t>
            </w:r>
          </w:p>
        </w:tc>
        <w:tc>
          <w:tcPr>
            <w:tcW w:type="dxa" w:w="1128"/>
          </w:tcPr>
          <w:p>
            <w:pPr>
              <w:jc w:val="center"/>
            </w:pPr>
            <w:r>
              <w:rPr>
                <w:b w:val="0"/>
                <w:i w:val="0"/>
                <w:sz w:val="19"/>
              </w:rPr>
              <w:t>ns</w:t>
            </w:r>
          </w:p>
        </w:tc>
        <w:tc>
          <w:tcPr>
            <w:tcW w:type="dxa" w:w="1128"/>
          </w:tcPr>
          <w:p>
            <w:pPr>
              <w:jc w:val="center"/>
            </w:pPr>
            <w:r>
              <w:rPr>
                <w:b w:val="0"/>
                <w:i w:val="0"/>
                <w:sz w:val="19"/>
              </w:rPr>
              <w:t>***</w:t>
            </w:r>
          </w:p>
        </w:tc>
        <w:tc>
          <w:tcPr>
            <w:tcW w:type="dxa" w:w="1128"/>
          </w:tcPr>
          <w:p>
            <w:pPr>
              <w:jc w:val="center"/>
            </w:pPr>
            <w:r>
              <w:rPr>
                <w:b w:val="0"/>
                <w:i w:val="0"/>
                <w:sz w:val="19"/>
              </w:rPr>
              <w:t>ns</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r>
      <w:tr>
        <w:tc>
          <w:tcPr>
            <w:tcW w:type="dxa" w:w="1128"/>
          </w:tcPr>
          <w:p>
            <w:pPr>
              <w:jc w:val="both"/>
            </w:pPr>
            <w:r>
              <w:rPr>
                <w:b w:val="0"/>
                <w:i w:val="0"/>
                <w:sz w:val="19"/>
              </w:rPr>
              <w:t>TX</w:t>
            </w:r>
          </w:p>
        </w:tc>
        <w:tc>
          <w:tcPr>
            <w:tcW w:type="dxa" w:w="1128"/>
          </w:tcPr>
          <w:p>
            <w:pPr>
              <w:jc w:val="both"/>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ns</w:t>
            </w:r>
          </w:p>
        </w:tc>
        <w:tc>
          <w:tcPr>
            <w:tcW w:type="dxa" w:w="1128"/>
          </w:tcPr>
          <w:p>
            <w:pPr>
              <w:jc w:val="center"/>
            </w:pPr>
            <w:r>
              <w:rPr>
                <w:b w:val="0"/>
                <w:i w:val="0"/>
                <w:sz w:val="19"/>
              </w:rPr>
              <w:t>***</w:t>
            </w:r>
          </w:p>
        </w:tc>
        <w:tc>
          <w:tcPr>
            <w:tcW w:type="dxa" w:w="1128"/>
          </w:tcPr>
          <w:p>
            <w:pPr>
              <w:jc w:val="center"/>
            </w:pPr>
            <w:r>
              <w:rPr>
                <w:b w:val="0"/>
                <w:i w:val="0"/>
                <w:sz w:val="19"/>
              </w:rPr>
              <w:t>ns</w:t>
            </w:r>
          </w:p>
        </w:tc>
        <w:tc>
          <w:tcPr>
            <w:tcW w:type="dxa" w:w="1128"/>
          </w:tcPr>
          <w:p>
            <w:pPr>
              <w:jc w:val="center"/>
            </w:pPr>
            <w:r>
              <w:rPr>
                <w:b w:val="0"/>
                <w:i w:val="0"/>
                <w:sz w:val="19"/>
              </w:rPr>
              <w:t>***</w:t>
            </w:r>
          </w:p>
        </w:tc>
      </w:tr>
      <w:tr>
        <w:tc>
          <w:tcPr>
            <w:tcW w:type="dxa" w:w="1128"/>
          </w:tcPr>
          <w:p>
            <w:pPr>
              <w:jc w:val="both"/>
            </w:pPr>
            <w:r>
              <w:rPr>
                <w:b w:val="0"/>
                <w:i w:val="0"/>
                <w:sz w:val="19"/>
              </w:rPr>
              <w:t>Other or unknown breeds</w:t>
            </w:r>
          </w:p>
        </w:tc>
        <w:tc>
          <w:tcPr>
            <w:tcW w:type="dxa" w:w="1128"/>
          </w:tcPr>
          <w:p>
            <w:pPr>
              <w:jc w:val="both"/>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r>
      <w:tr>
        <w:tc>
          <w:tcPr>
            <w:tcW w:type="dxa" w:w="1128"/>
          </w:tcPr>
          <w:p>
            <w:pPr>
              <w:jc w:val="both"/>
            </w:pPr>
            <w:r>
              <w:rPr>
                <w:b w:val="0"/>
                <w:i w:val="0"/>
                <w:sz w:val="19"/>
              </w:rPr>
              <w:t>het</w:t>
            </w:r>
          </w:p>
        </w:tc>
        <w:tc>
          <w:tcPr>
            <w:tcW w:type="dxa" w:w="1128"/>
          </w:tcPr>
          <w:p>
            <w:pPr>
              <w:jc w:val="both"/>
            </w:pPr>
            <w:r>
              <w:rPr>
                <w:b w:val="0"/>
                <w:i w:val="0"/>
                <w:sz w:val="19"/>
              </w:rPr>
              <w:t>*</w:t>
            </w:r>
          </w:p>
        </w:tc>
        <w:tc>
          <w:tcPr>
            <w:tcW w:type="dxa" w:w="1128"/>
          </w:tcPr>
          <w:p>
            <w:pPr>
              <w:jc w:val="center"/>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ns</w:t>
            </w:r>
          </w:p>
        </w:tc>
        <w:tc>
          <w:tcPr>
            <w:tcW w:type="dxa" w:w="1128"/>
          </w:tcPr>
          <w:p>
            <w:pPr>
              <w:jc w:val="center"/>
            </w:pPr>
            <w:r>
              <w:rPr>
                <w:b w:val="0"/>
                <w:i w:val="0"/>
                <w:sz w:val="19"/>
              </w:rPr>
              <w:t>ns</w:t>
            </w:r>
          </w:p>
        </w:tc>
      </w:tr>
      <w:tr>
        <w:tc>
          <w:tcPr>
            <w:tcW w:type="dxa" w:w="1128"/>
          </w:tcPr>
          <w:p>
            <w:pPr>
              <w:jc w:val="both"/>
            </w:pPr>
            <w:r>
              <w:rPr>
                <w:b w:val="0"/>
                <w:i w:val="0"/>
                <w:sz w:val="19"/>
              </w:rPr>
              <w:t>rec</w:t>
            </w:r>
          </w:p>
        </w:tc>
        <w:tc>
          <w:tcPr>
            <w:tcW w:type="dxa" w:w="1128"/>
          </w:tcPr>
          <w:p>
            <w:pPr>
              <w:jc w:val="both"/>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ns</w:t>
            </w:r>
          </w:p>
        </w:tc>
        <w:tc>
          <w:tcPr>
            <w:tcW w:type="dxa" w:w="1128"/>
          </w:tcPr>
          <w:p>
            <w:pPr>
              <w:jc w:val="center"/>
            </w:pPr>
            <w:r>
              <w:rPr>
                <w:b w:val="0"/>
                <w:i w:val="0"/>
                <w:sz w:val="19"/>
              </w:rPr>
              <w:t>***</w:t>
            </w:r>
          </w:p>
        </w:tc>
      </w:tr>
      <w:tr>
        <w:tc>
          <w:tcPr>
            <w:tcW w:type="dxa" w:w="1128"/>
          </w:tcPr>
          <w:p>
            <w:pPr>
              <w:jc w:val="both"/>
            </w:pPr>
            <w:r>
              <w:rPr>
                <w:b w:val="0"/>
                <w:i w:val="0"/>
                <w:sz w:val="19"/>
              </w:rPr>
              <w:t>age</w:t>
            </w:r>
          </w:p>
        </w:tc>
        <w:tc>
          <w:tcPr>
            <w:tcW w:type="dxa" w:w="1128"/>
          </w:tcPr>
          <w:p>
            <w:pPr>
              <w:jc w:val="both"/>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r>
      <w:tr>
        <w:tc>
          <w:tcPr>
            <w:tcW w:type="dxa" w:w="1128"/>
          </w:tcPr>
          <w:p>
            <w:pPr>
              <w:jc w:val="both"/>
            </w:pPr>
            <w:r>
              <w:rPr>
                <w:b w:val="0"/>
                <w:i w:val="0"/>
                <w:sz w:val="19"/>
              </w:rPr>
              <w:t>BTg</w:t>
            </w:r>
          </w:p>
        </w:tc>
        <w:tc>
          <w:tcPr>
            <w:tcW w:type="dxa" w:w="1128"/>
          </w:tcPr>
          <w:p>
            <w:pPr>
              <w:jc w:val="both"/>
            </w:pPr>
            <w:r>
              <w:rPr>
                <w:b w:val="0"/>
                <w:i w:val="0"/>
                <w:sz w:val="19"/>
              </w:rPr>
              <w:t>***</w:t>
            </w:r>
          </w:p>
        </w:tc>
        <w:tc>
          <w:tcPr>
            <w:tcW w:type="dxa" w:w="1128"/>
          </w:tcPr>
          <w:p>
            <w:pPr>
              <w:jc w:val="center"/>
            </w:pPr>
            <w:r>
              <w:rPr>
                <w:b w:val="0"/>
                <w:i w:val="0"/>
                <w:sz w:val="19"/>
              </w:rPr>
              <w:t>ns</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w:t>
            </w:r>
          </w:p>
        </w:tc>
      </w:tr>
      <w:tr>
        <w:tc>
          <w:tcPr>
            <w:tcW w:type="dxa" w:w="1128"/>
          </w:tcPr>
          <w:p>
            <w:pPr>
              <w:jc w:val="both"/>
            </w:pPr>
            <w:r>
              <w:rPr>
                <w:b w:val="0"/>
                <w:i w:val="0"/>
                <w:sz w:val="19"/>
              </w:rPr>
              <w:t>RTg</w:t>
            </w:r>
          </w:p>
        </w:tc>
        <w:tc>
          <w:tcPr>
            <w:tcW w:type="dxa" w:w="1128"/>
          </w:tcPr>
          <w:p>
            <w:pPr>
              <w:jc w:val="both"/>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ns</w:t>
            </w:r>
          </w:p>
        </w:tc>
        <w:tc>
          <w:tcPr>
            <w:tcW w:type="dxa" w:w="1128"/>
          </w:tcPr>
          <w:p>
            <w:pPr>
              <w:jc w:val="center"/>
            </w:pPr>
            <w:r>
              <w:rPr>
                <w:b w:val="0"/>
                <w:i w:val="0"/>
                <w:sz w:val="19"/>
              </w:rPr>
              <w:t>***</w:t>
            </w:r>
          </w:p>
        </w:tc>
        <w:tc>
          <w:tcPr>
            <w:tcW w:type="dxa" w:w="1128"/>
          </w:tcPr>
          <w:p>
            <w:pPr>
              <w:jc w:val="center"/>
            </w:pPr>
            <w:r>
              <w:rPr>
                <w:b w:val="0"/>
                <w:i w:val="0"/>
                <w:sz w:val="19"/>
              </w:rPr>
              <w:t>ns</w:t>
            </w:r>
          </w:p>
        </w:tc>
        <w:tc>
          <w:tcPr>
            <w:tcW w:type="dxa" w:w="1128"/>
          </w:tcPr>
          <w:p>
            <w:pPr>
              <w:jc w:val="center"/>
            </w:pPr>
            <w:r>
              <w:rPr>
                <w:b w:val="0"/>
                <w:i w:val="0"/>
                <w:sz w:val="19"/>
              </w:rPr>
              <w:t>***</w:t>
            </w:r>
          </w:p>
        </w:tc>
      </w:tr>
      <w:tr>
        <w:tc>
          <w:tcPr>
            <w:tcW w:type="dxa" w:w="1128"/>
          </w:tcPr>
          <w:p>
            <w:pPr>
              <w:jc w:val="both"/>
            </w:pPr>
            <w:r>
              <w:rPr>
                <w:b w:val="0"/>
                <w:i w:val="0"/>
                <w:sz w:val="19"/>
              </w:rPr>
              <w:t>BTe</w:t>
            </w:r>
          </w:p>
        </w:tc>
        <w:tc>
          <w:tcPr>
            <w:tcW w:type="dxa" w:w="1128"/>
          </w:tcPr>
          <w:p>
            <w:pPr>
              <w:jc w:val="both"/>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r>
      <w:tr>
        <w:tc>
          <w:tcPr>
            <w:tcW w:type="dxa" w:w="1128"/>
          </w:tcPr>
          <w:p>
            <w:pPr>
              <w:jc w:val="both"/>
            </w:pPr>
            <w:r>
              <w:rPr>
                <w:b w:val="0"/>
                <w:i w:val="0"/>
                <w:sz w:val="19"/>
              </w:rPr>
              <w:t>RTe</w:t>
            </w:r>
          </w:p>
        </w:tc>
        <w:tc>
          <w:tcPr>
            <w:tcW w:type="dxa" w:w="1128"/>
          </w:tcPr>
          <w:p>
            <w:pPr>
              <w:jc w:val="both"/>
            </w:pPr>
            <w:r>
              <w:rPr>
                <w:b w:val="0"/>
                <w:i w:val="0"/>
                <w:sz w:val="19"/>
              </w:rPr>
              <w:t>**</w:t>
            </w:r>
          </w:p>
        </w:tc>
        <w:tc>
          <w:tcPr>
            <w:tcW w:type="dxa" w:w="1128"/>
          </w:tcPr>
          <w:p>
            <w:pPr>
              <w:jc w:val="center"/>
            </w:pPr>
            <w:r>
              <w:rPr>
                <w:b w:val="0"/>
                <w:i w:val="0"/>
                <w:sz w:val="19"/>
              </w:rPr>
              <w:t>ns</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r>
      <w:tr>
        <w:tc>
          <w:tcPr>
            <w:tcW w:type="dxa" w:w="1128"/>
          </w:tcPr>
          <w:p>
            <w:pPr>
              <w:jc w:val="both"/>
            </w:pPr>
            <w:r>
              <w:rPr>
                <w:b w:val="0"/>
                <w:i w:val="0"/>
                <w:sz w:val="19"/>
              </w:rPr>
              <w:t>DP</w:t>
            </w:r>
          </w:p>
        </w:tc>
        <w:tc>
          <w:tcPr>
            <w:tcW w:type="dxa" w:w="1128"/>
          </w:tcPr>
          <w:p>
            <w:pPr>
              <w:jc w:val="both"/>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w:t>
            </w:r>
          </w:p>
        </w:tc>
        <w:tc>
          <w:tcPr>
            <w:tcW w:type="dxa" w:w="1128"/>
          </w:tcPr>
          <w:p>
            <w:pPr>
              <w:jc w:val="center"/>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w:t>
            </w:r>
          </w:p>
        </w:tc>
      </w:tr>
    </w:tbl>
    <w:p/>
    <w:p>
      <w:pPr>
        <w:jc w:val="both"/>
      </w:pPr>
      <w:r>
        <w:rPr>
          <w:b w:val="0"/>
          <w:i/>
          <w:sz w:val="20"/>
        </w:rPr>
        <w:t>* P &lt; 0.05; ** P &lt; 0.01; *** P &lt; 0.001; ns, not significant (P ≥ 0.05); –, term not in the model for that trait. Fixed effects as defined in the model equation (Methods); other or unknown breeds is the proportion of breeds other than the six named, fitted as a covariate. Contemporary group (1,435 levels) was fitted in every model but is not shown, as ASReml omits factors with this many levels from the Wald table by default.</w:t>
      </w:r>
    </w:p>
    <w:p>
      <w:pPr>
        <w:jc w:val="both"/>
      </w:pPr>
      <w:r>
        <w:rPr>
          <w:b/>
          <w:i w:val="0"/>
        </w:rPr>
        <w:t>Table S1b.</w:t>
      </w:r>
      <w:r>
        <w:rPr>
          <w:b w:val="0"/>
          <w:i w:val="0"/>
        </w:rPr>
        <w:t xml:space="preserve"> Pedigree completeness and connectedness of the phenotyped animals.</w:t>
      </w:r>
    </w:p>
    <w:tbl>
      <w:tblPr>
        <w:tblStyle w:val="PlainTable2"/>
        <w:tblW w:type="auto" w:w="0"/>
        <w:tblLook w:firstColumn="1" w:firstRow="1" w:lastColumn="0" w:lastRow="0" w:noHBand="0" w:noVBand="1" w:val="04A0"/>
      </w:tblPr>
      <w:tblGrid>
        <w:gridCol w:w="4513"/>
        <w:gridCol w:w="4513"/>
      </w:tblGrid>
      <w:tr>
        <w:tc>
          <w:tcPr>
            <w:tcW w:type="dxa" w:w="4513"/>
          </w:tcPr>
          <w:p>
            <w:pPr>
              <w:jc w:val="both"/>
            </w:pPr>
            <w:r>
              <w:rPr>
                <w:b w:val="0"/>
                <w:i w:val="0"/>
                <w:sz w:val="19"/>
              </w:rPr>
              <w:t>Statistic</w:t>
            </w:r>
          </w:p>
        </w:tc>
        <w:tc>
          <w:tcPr>
            <w:tcW w:type="dxa" w:w="4513"/>
          </w:tcPr>
          <w:p>
            <w:pPr>
              <w:jc w:val="both"/>
            </w:pPr>
            <w:r>
              <w:rPr>
                <w:b w:val="0"/>
                <w:i w:val="0"/>
                <w:sz w:val="19"/>
              </w:rPr>
              <w:t>Value</w:t>
            </w:r>
          </w:p>
        </w:tc>
      </w:tr>
      <w:tr>
        <w:tc>
          <w:tcPr>
            <w:tcW w:type="dxa" w:w="4513"/>
          </w:tcPr>
          <w:p>
            <w:pPr>
              <w:jc w:val="both"/>
            </w:pPr>
            <w:r>
              <w:rPr>
                <w:b w:val="0"/>
                <w:i w:val="0"/>
                <w:sz w:val="19"/>
              </w:rPr>
              <w:t>Phenotyped animals represented in the pedigree</w:t>
            </w:r>
          </w:p>
        </w:tc>
        <w:tc>
          <w:tcPr>
            <w:tcW w:type="dxa" w:w="4513"/>
          </w:tcPr>
          <w:p>
            <w:pPr>
              <w:jc w:val="both"/>
            </w:pPr>
            <w:r>
              <w:rPr>
                <w:b w:val="0"/>
                <w:i w:val="0"/>
                <w:sz w:val="19"/>
              </w:rPr>
              <w:t>8,185 (100%)</w:t>
            </w:r>
          </w:p>
        </w:tc>
      </w:tr>
      <w:tr>
        <w:tc>
          <w:tcPr>
            <w:tcW w:type="dxa" w:w="4513"/>
          </w:tcPr>
          <w:p>
            <w:pPr>
              <w:jc w:val="both"/>
            </w:pPr>
            <w:r>
              <w:rPr>
                <w:b w:val="0"/>
                <w:i w:val="0"/>
                <w:sz w:val="19"/>
              </w:rPr>
              <w:t>Both parents known (%)</w:t>
            </w:r>
          </w:p>
        </w:tc>
        <w:tc>
          <w:tcPr>
            <w:tcW w:type="dxa" w:w="4513"/>
          </w:tcPr>
          <w:p>
            <w:pPr>
              <w:jc w:val="both"/>
            </w:pPr>
            <w:r>
              <w:rPr>
                <w:b w:val="0"/>
                <w:i w:val="0"/>
                <w:sz w:val="19"/>
              </w:rPr>
              <w:t>88.5</w:t>
            </w:r>
          </w:p>
        </w:tc>
      </w:tr>
      <w:tr>
        <w:tc>
          <w:tcPr>
            <w:tcW w:type="dxa" w:w="4513"/>
          </w:tcPr>
          <w:p>
            <w:pPr>
              <w:jc w:val="both"/>
            </w:pPr>
            <w:r>
              <w:rPr>
                <w:b w:val="0"/>
                <w:i w:val="0"/>
                <w:sz w:val="19"/>
              </w:rPr>
              <w:t>Neither parent known (%)</w:t>
            </w:r>
          </w:p>
        </w:tc>
        <w:tc>
          <w:tcPr>
            <w:tcW w:type="dxa" w:w="4513"/>
          </w:tcPr>
          <w:p>
            <w:pPr>
              <w:jc w:val="both"/>
            </w:pPr>
            <w:r>
              <w:rPr>
                <w:b w:val="0"/>
                <w:i w:val="0"/>
                <w:sz w:val="19"/>
              </w:rPr>
              <w:t>5.3</w:t>
            </w:r>
          </w:p>
        </w:tc>
      </w:tr>
      <w:tr>
        <w:tc>
          <w:tcPr>
            <w:tcW w:type="dxa" w:w="4513"/>
          </w:tcPr>
          <w:p>
            <w:pPr>
              <w:jc w:val="both"/>
            </w:pPr>
            <w:r>
              <w:rPr>
                <w:b w:val="0"/>
                <w:i w:val="0"/>
                <w:sz w:val="19"/>
              </w:rPr>
              <w:t>Traced pedigree depth, generations: mean (median, maximum)</w:t>
            </w:r>
          </w:p>
        </w:tc>
        <w:tc>
          <w:tcPr>
            <w:tcW w:type="dxa" w:w="4513"/>
          </w:tcPr>
          <w:p>
            <w:pPr>
              <w:jc w:val="both"/>
            </w:pPr>
            <w:r>
              <w:rPr>
                <w:b w:val="0"/>
                <w:i w:val="0"/>
                <w:sz w:val="19"/>
              </w:rPr>
              <w:t>17.6 (19, 34)</w:t>
            </w:r>
          </w:p>
        </w:tc>
      </w:tr>
      <w:tr>
        <w:tc>
          <w:tcPr>
            <w:tcW w:type="dxa" w:w="4513"/>
          </w:tcPr>
          <w:p>
            <w:pPr>
              <w:jc w:val="both"/>
            </w:pPr>
            <w:r>
              <w:rPr>
                <w:b w:val="0"/>
                <w:i w:val="0"/>
                <w:sz w:val="19"/>
              </w:rPr>
              <w:t>Unique sires</w:t>
            </w:r>
          </w:p>
        </w:tc>
        <w:tc>
          <w:tcPr>
            <w:tcW w:type="dxa" w:w="4513"/>
          </w:tcPr>
          <w:p>
            <w:pPr>
              <w:jc w:val="both"/>
            </w:pPr>
            <w:r>
              <w:rPr>
                <w:b w:val="0"/>
                <w:i w:val="0"/>
                <w:sz w:val="19"/>
              </w:rPr>
              <w:t>1,025</w:t>
            </w:r>
          </w:p>
        </w:tc>
      </w:tr>
      <w:tr>
        <w:tc>
          <w:tcPr>
            <w:tcW w:type="dxa" w:w="4513"/>
          </w:tcPr>
          <w:p>
            <w:pPr>
              <w:jc w:val="both"/>
            </w:pPr>
            <w:r>
              <w:rPr>
                <w:b w:val="0"/>
                <w:i w:val="0"/>
                <w:sz w:val="19"/>
              </w:rPr>
              <w:t>Unique dams</w:t>
            </w:r>
          </w:p>
        </w:tc>
        <w:tc>
          <w:tcPr>
            <w:tcW w:type="dxa" w:w="4513"/>
          </w:tcPr>
          <w:p>
            <w:pPr>
              <w:jc w:val="both"/>
            </w:pPr>
            <w:r>
              <w:rPr>
                <w:b w:val="0"/>
                <w:i w:val="0"/>
                <w:sz w:val="19"/>
              </w:rPr>
              <w:t>5,216</w:t>
            </w:r>
          </w:p>
        </w:tc>
      </w:tr>
      <w:tr>
        <w:tc>
          <w:tcPr>
            <w:tcW w:type="dxa" w:w="4513"/>
          </w:tcPr>
          <w:p>
            <w:pPr>
              <w:jc w:val="both"/>
            </w:pPr>
            <w:r>
              <w:rPr>
                <w:b w:val="0"/>
                <w:i w:val="0"/>
                <w:sz w:val="19"/>
              </w:rPr>
              <w:t>Sires with progeny in ≥ 2 contemporary groups (%)</w:t>
            </w:r>
          </w:p>
        </w:tc>
        <w:tc>
          <w:tcPr>
            <w:tcW w:type="dxa" w:w="4513"/>
          </w:tcPr>
          <w:p>
            <w:pPr>
              <w:jc w:val="both"/>
            </w:pPr>
            <w:r>
              <w:rPr>
                <w:b w:val="0"/>
                <w:i w:val="0"/>
                <w:sz w:val="19"/>
              </w:rPr>
              <w:t>73.1</w:t>
            </w:r>
          </w:p>
        </w:tc>
      </w:tr>
      <w:tr>
        <w:tc>
          <w:tcPr>
            <w:tcW w:type="dxa" w:w="4513"/>
          </w:tcPr>
          <w:p>
            <w:pPr>
              <w:jc w:val="both"/>
            </w:pPr>
            <w:r>
              <w:rPr>
                <w:b w:val="0"/>
                <w:i w:val="0"/>
                <w:sz w:val="19"/>
              </w:rPr>
              <w:t>Sires with progeny in ≥ 5 contemporary groups (%)</w:t>
            </w:r>
          </w:p>
        </w:tc>
        <w:tc>
          <w:tcPr>
            <w:tcW w:type="dxa" w:w="4513"/>
          </w:tcPr>
          <w:p>
            <w:pPr>
              <w:jc w:val="both"/>
            </w:pPr>
            <w:r>
              <w:rPr>
                <w:b w:val="0"/>
                <w:i w:val="0"/>
                <w:sz w:val="19"/>
              </w:rPr>
              <w:t>43.8</w:t>
            </w:r>
          </w:p>
        </w:tc>
      </w:tr>
      <w:tr>
        <w:tc>
          <w:tcPr>
            <w:tcW w:type="dxa" w:w="4513"/>
          </w:tcPr>
          <w:p>
            <w:pPr>
              <w:jc w:val="both"/>
            </w:pPr>
            <w:r>
              <w:rPr>
                <w:b w:val="0"/>
                <w:i w:val="0"/>
                <w:sz w:val="19"/>
              </w:rPr>
              <w:t>Contemporary groups linked by the most widely used sire</w:t>
            </w:r>
          </w:p>
        </w:tc>
        <w:tc>
          <w:tcPr>
            <w:tcW w:type="dxa" w:w="4513"/>
          </w:tcPr>
          <w:p>
            <w:pPr>
              <w:jc w:val="both"/>
            </w:pPr>
            <w:r>
              <w:rPr>
                <w:b w:val="0"/>
                <w:i w:val="0"/>
                <w:sz w:val="19"/>
              </w:rPr>
              <w:t>205</w:t>
            </w:r>
          </w:p>
        </w:tc>
      </w:tr>
    </w:tbl>
    <w:p/>
    <w:p>
      <w:pPr>
        <w:jc w:val="both"/>
      </w:pPr>
      <w:r>
        <w:rPr>
          <w:b/>
          <w:i w:val="0"/>
        </w:rPr>
        <w:t>S2.</w:t>
      </w:r>
      <w:r>
        <w:rPr>
          <w:b w:val="0"/>
          <w:i w:val="0"/>
        </w:rPr>
        <w:t xml:space="preserve"> Predicted responses at selection intensity 1.7, per generation and per year (generation interval 2.8 years). Responses of the reference favourable index (Table 6) multiplied by 1.7 and by 1.7/2.8 = 0.607, respectively.</w:t>
      </w:r>
    </w:p>
    <w:tbl>
      <w:tblPr>
        <w:tblStyle w:val="PlainTable2"/>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tcPr>
          <w:p>
            <w:pPr>
              <w:jc w:val="both"/>
            </w:pPr>
            <w:r>
              <w:rPr>
                <w:b w:val="0"/>
                <w:i w:val="0"/>
                <w:sz w:val="19"/>
              </w:rPr>
              <w:t>Index</w:t>
            </w:r>
          </w:p>
        </w:tc>
        <w:tc>
          <w:tcPr>
            <w:tcW w:type="dxa" w:w="1289"/>
          </w:tcPr>
          <w:p>
            <w:pPr>
              <w:jc w:val="both"/>
            </w:pPr>
            <w:r>
              <w:rPr>
                <w:b w:val="0"/>
                <w:i w:val="0"/>
                <w:sz w:val="19"/>
              </w:rPr>
              <w:t>ΔCH₄ (g day⁻¹) per generation</w:t>
            </w:r>
          </w:p>
        </w:tc>
        <w:tc>
          <w:tcPr>
            <w:tcW w:type="dxa" w:w="1289"/>
          </w:tcPr>
          <w:p>
            <w:pPr>
              <w:jc w:val="center"/>
            </w:pPr>
            <w:r>
              <w:rPr>
                <w:b w:val="0"/>
                <w:i w:val="0"/>
                <w:sz w:val="19"/>
              </w:rPr>
              <w:t>ΔMBW per generation</w:t>
            </w:r>
          </w:p>
        </w:tc>
        <w:tc>
          <w:tcPr>
            <w:tcW w:type="dxa" w:w="1289"/>
          </w:tcPr>
          <w:p>
            <w:pPr>
              <w:jc w:val="center"/>
            </w:pPr>
            <w:r>
              <w:rPr>
                <w:b w:val="0"/>
                <w:i w:val="0"/>
                <w:sz w:val="19"/>
              </w:rPr>
              <w:t>ΔCO₂ (g day⁻¹) per generation</w:t>
            </w:r>
          </w:p>
        </w:tc>
        <w:tc>
          <w:tcPr>
            <w:tcW w:type="dxa" w:w="1289"/>
          </w:tcPr>
          <w:p>
            <w:pPr>
              <w:jc w:val="center"/>
            </w:pPr>
            <w:r>
              <w:rPr>
                <w:b w:val="0"/>
                <w:i w:val="0"/>
                <w:sz w:val="19"/>
              </w:rPr>
              <w:t>ΔCH₄ per year</w:t>
            </w:r>
          </w:p>
        </w:tc>
        <w:tc>
          <w:tcPr>
            <w:tcW w:type="dxa" w:w="1289"/>
          </w:tcPr>
          <w:p>
            <w:pPr>
              <w:jc w:val="center"/>
            </w:pPr>
            <w:r>
              <w:rPr>
                <w:b w:val="0"/>
                <w:i w:val="0"/>
                <w:sz w:val="19"/>
              </w:rPr>
              <w:t>ΔMBW per year</w:t>
            </w:r>
          </w:p>
        </w:tc>
        <w:tc>
          <w:tcPr>
            <w:tcW w:type="dxa" w:w="1289"/>
          </w:tcPr>
          <w:p>
            <w:pPr>
              <w:jc w:val="center"/>
            </w:pPr>
            <w:r>
              <w:rPr>
                <w:b w:val="0"/>
                <w:i w:val="0"/>
                <w:sz w:val="19"/>
              </w:rPr>
              <w:t>ΔCO₂ per year</w:t>
            </w:r>
          </w:p>
        </w:tc>
      </w:tr>
      <w:tr>
        <w:tc>
          <w:tcPr>
            <w:tcW w:type="dxa" w:w="1289"/>
          </w:tcPr>
          <w:p>
            <w:pPr>
              <w:jc w:val="both"/>
            </w:pPr>
            <w:r>
              <w:rPr>
                <w:b w:val="0"/>
                <w:i w:val="0"/>
                <w:sz w:val="19"/>
              </w:rPr>
              <w:t>Reference: CH₄ reduced, MBW and CO₂ held at zero</w:t>
            </w:r>
          </w:p>
        </w:tc>
        <w:tc>
          <w:tcPr>
            <w:tcW w:type="dxa" w:w="1289"/>
          </w:tcPr>
          <w:p>
            <w:pPr>
              <w:jc w:val="both"/>
            </w:pPr>
            <w:r>
              <w:rPr>
                <w:b w:val="0"/>
                <w:i w:val="0"/>
                <w:sz w:val="19"/>
              </w:rPr>
              <w:t>−1.04</w:t>
            </w:r>
          </w:p>
        </w:tc>
        <w:tc>
          <w:tcPr>
            <w:tcW w:type="dxa" w:w="1289"/>
          </w:tcPr>
          <w:p>
            <w:pPr>
              <w:jc w:val="center"/>
            </w:pPr>
            <w:r>
              <w:rPr>
                <w:b w:val="0"/>
                <w:i w:val="0"/>
                <w:sz w:val="19"/>
              </w:rPr>
              <w:t>0.00</w:t>
            </w:r>
          </w:p>
        </w:tc>
        <w:tc>
          <w:tcPr>
            <w:tcW w:type="dxa" w:w="1289"/>
          </w:tcPr>
          <w:p>
            <w:pPr>
              <w:jc w:val="center"/>
            </w:pPr>
            <w:r>
              <w:rPr>
                <w:b w:val="0"/>
                <w:i w:val="0"/>
                <w:sz w:val="19"/>
              </w:rPr>
              <w:t>0.0</w:t>
            </w:r>
          </w:p>
        </w:tc>
        <w:tc>
          <w:tcPr>
            <w:tcW w:type="dxa" w:w="1289"/>
          </w:tcPr>
          <w:p>
            <w:pPr>
              <w:jc w:val="center"/>
            </w:pPr>
            <w:r>
              <w:rPr>
                <w:b w:val="0"/>
                <w:i w:val="0"/>
                <w:sz w:val="19"/>
              </w:rPr>
              <w:t>−0.37</w:t>
            </w:r>
          </w:p>
        </w:tc>
        <w:tc>
          <w:tcPr>
            <w:tcW w:type="dxa" w:w="1289"/>
          </w:tcPr>
          <w:p>
            <w:pPr>
              <w:jc w:val="center"/>
            </w:pPr>
            <w:r>
              <w:rPr>
                <w:b w:val="0"/>
                <w:i w:val="0"/>
                <w:sz w:val="19"/>
              </w:rPr>
              <w:t>0.00</w:t>
            </w:r>
          </w:p>
        </w:tc>
        <w:tc>
          <w:tcPr>
            <w:tcW w:type="dxa" w:w="1289"/>
          </w:tcPr>
          <w:p>
            <w:pPr>
              <w:jc w:val="center"/>
            </w:pPr>
            <w:r>
              <w:rPr>
                <w:b w:val="0"/>
                <w:i w:val="0"/>
                <w:sz w:val="19"/>
              </w:rPr>
              <w:t>0.0</w:t>
            </w:r>
          </w:p>
        </w:tc>
      </w:tr>
    </w:tbl>
    <w:p/>
    <w:p>
      <w:pPr>
        <w:jc w:val="both"/>
      </w:pPr>
      <w:r>
        <w:rPr>
          <w:b/>
          <w:i w:val="0"/>
        </w:rPr>
        <w:t>S3.</w:t>
      </w:r>
      <w:r>
        <w:rPr>
          <w:b w:val="0"/>
          <w:i w:val="0"/>
        </w:rPr>
        <w:t xml:space="preserve"> Genetic parameters from the trivariate analysis of CH₄, MBW and CO₂ used in the selection index analysis.</w:t>
      </w:r>
    </w:p>
    <w:tbl>
      <w:tblPr>
        <w:tblStyle w:val="PlainTable2"/>
        <w:tblW w:type="auto" w:w="0"/>
        <w:tblLook w:firstColumn="1" w:firstRow="1" w:lastColumn="0" w:lastRow="0" w:noHBand="0" w:noVBand="1" w:val="04A0"/>
      </w:tblPr>
      <w:tblGrid>
        <w:gridCol w:w="1128"/>
        <w:gridCol w:w="1128"/>
        <w:gridCol w:w="1128"/>
        <w:gridCol w:w="1128"/>
        <w:gridCol w:w="1128"/>
        <w:gridCol w:w="1128"/>
        <w:gridCol w:w="1128"/>
        <w:gridCol w:w="1128"/>
      </w:tblGrid>
      <w:tr>
        <w:tc>
          <w:tcPr>
            <w:tcW w:type="dxa" w:w="1128"/>
          </w:tcPr>
          <w:p>
            <w:pPr>
              <w:jc w:val="both"/>
            </w:pPr>
            <w:r>
              <w:rPr>
                <w:b w:val="0"/>
                <w:i w:val="0"/>
                <w:sz w:val="19"/>
              </w:rPr>
              <w:t>Trait</w:t>
            </w:r>
          </w:p>
        </w:tc>
        <w:tc>
          <w:tcPr>
            <w:tcW w:type="dxa" w:w="1128"/>
          </w:tcPr>
          <w:p>
            <w:pPr>
              <w:jc w:val="both"/>
            </w:pPr>
            <w:r>
              <w:rPr>
                <w:b w:val="0"/>
                <w:i w:val="0"/>
                <w:sz w:val="19"/>
              </w:rPr>
              <w:t>Mean</w:t>
            </w:r>
          </w:p>
        </w:tc>
        <w:tc>
          <w:tcPr>
            <w:tcW w:type="dxa" w:w="1128"/>
          </w:tcPr>
          <w:p>
            <w:pPr>
              <w:jc w:val="center"/>
            </w:pPr>
            <w:r>
              <w:rPr>
                <w:b w:val="0"/>
                <w:i w:val="0"/>
                <w:sz w:val="19"/>
              </w:rPr>
              <w:t>σa</w:t>
            </w:r>
          </w:p>
        </w:tc>
        <w:tc>
          <w:tcPr>
            <w:tcW w:type="dxa" w:w="1128"/>
          </w:tcPr>
          <w:p>
            <w:pPr>
              <w:jc w:val="center"/>
            </w:pPr>
            <w:r>
              <w:rPr>
                <w:b w:val="0"/>
                <w:i w:val="0"/>
                <w:sz w:val="19"/>
              </w:rPr>
              <w:t>σp</w:t>
            </w:r>
          </w:p>
        </w:tc>
        <w:tc>
          <w:tcPr>
            <w:tcW w:type="dxa" w:w="1128"/>
          </w:tcPr>
          <w:p>
            <w:pPr>
              <w:jc w:val="center"/>
            </w:pPr>
            <w:r>
              <w:rPr>
                <w:b w:val="0"/>
                <w:i w:val="0"/>
                <w:sz w:val="19"/>
              </w:rPr>
              <w:t>h² (SE)</w:t>
            </w:r>
          </w:p>
        </w:tc>
        <w:tc>
          <w:tcPr>
            <w:tcW w:type="dxa" w:w="1128"/>
          </w:tcPr>
          <w:p>
            <w:pPr>
              <w:jc w:val="center"/>
            </w:pPr>
            <w:r>
              <w:rPr>
                <w:b w:val="0"/>
                <w:i w:val="0"/>
                <w:sz w:val="19"/>
              </w:rPr>
              <w:t>rg with CH₄ (SE)</w:t>
            </w:r>
          </w:p>
        </w:tc>
        <w:tc>
          <w:tcPr>
            <w:tcW w:type="dxa" w:w="1128"/>
          </w:tcPr>
          <w:p>
            <w:pPr>
              <w:jc w:val="center"/>
            </w:pPr>
            <w:r>
              <w:rPr>
                <w:b w:val="0"/>
                <w:i w:val="0"/>
                <w:sz w:val="19"/>
              </w:rPr>
              <w:t>rg with MBW (SE)</w:t>
            </w:r>
          </w:p>
        </w:tc>
        <w:tc>
          <w:tcPr>
            <w:tcW w:type="dxa" w:w="1128"/>
          </w:tcPr>
          <w:p>
            <w:pPr>
              <w:jc w:val="center"/>
            </w:pPr>
            <w:r>
              <w:rPr>
                <w:b w:val="0"/>
                <w:i w:val="0"/>
                <w:sz w:val="19"/>
              </w:rPr>
              <w:t>rg with CO₂ (SE)</w:t>
            </w:r>
          </w:p>
        </w:tc>
      </w:tr>
      <w:tr>
        <w:tc>
          <w:tcPr>
            <w:tcW w:type="dxa" w:w="1128"/>
          </w:tcPr>
          <w:p>
            <w:pPr>
              <w:jc w:val="both"/>
            </w:pPr>
            <w:r>
              <w:rPr>
                <w:b w:val="0"/>
                <w:i w:val="0"/>
                <w:sz w:val="19"/>
              </w:rPr>
              <w:t>CH₄ (g day⁻¹)</w:t>
            </w:r>
          </w:p>
        </w:tc>
        <w:tc>
          <w:tcPr>
            <w:tcW w:type="dxa" w:w="1128"/>
          </w:tcPr>
          <w:p>
            <w:pPr>
              <w:jc w:val="both"/>
            </w:pPr>
            <w:r>
              <w:rPr>
                <w:b w:val="0"/>
                <w:i w:val="0"/>
                <w:sz w:val="19"/>
              </w:rPr>
              <w:t>17.90</w:t>
            </w:r>
          </w:p>
        </w:tc>
        <w:tc>
          <w:tcPr>
            <w:tcW w:type="dxa" w:w="1128"/>
          </w:tcPr>
          <w:p>
            <w:pPr>
              <w:jc w:val="center"/>
            </w:pPr>
            <w:r>
              <w:rPr>
                <w:b w:val="0"/>
                <w:i w:val="0"/>
                <w:sz w:val="19"/>
              </w:rPr>
              <w:t>2.10</w:t>
            </w:r>
          </w:p>
        </w:tc>
        <w:tc>
          <w:tcPr>
            <w:tcW w:type="dxa" w:w="1128"/>
          </w:tcPr>
          <w:p>
            <w:pPr>
              <w:jc w:val="center"/>
            </w:pPr>
            <w:r>
              <w:rPr>
                <w:b w:val="0"/>
                <w:i w:val="0"/>
                <w:sz w:val="19"/>
              </w:rPr>
              <w:t>4.02</w:t>
            </w:r>
          </w:p>
        </w:tc>
        <w:tc>
          <w:tcPr>
            <w:tcW w:type="dxa" w:w="1128"/>
          </w:tcPr>
          <w:p>
            <w:pPr>
              <w:jc w:val="center"/>
            </w:pPr>
            <w:r>
              <w:rPr>
                <w:b w:val="0"/>
                <w:i w:val="0"/>
                <w:sz w:val="19"/>
              </w:rPr>
              <w:t>0.273 (0.017)</w:t>
            </w:r>
          </w:p>
        </w:tc>
        <w:tc>
          <w:tcPr>
            <w:tcW w:type="dxa" w:w="1128"/>
          </w:tcPr>
          <w:p>
            <w:pPr>
              <w:jc w:val="center"/>
            </w:pPr>
            <w:r>
              <w:rPr>
                <w:b w:val="0"/>
                <w:i w:val="0"/>
                <w:sz w:val="19"/>
              </w:rPr>
              <w:t>–</w:t>
            </w:r>
          </w:p>
        </w:tc>
        <w:tc>
          <w:tcPr>
            <w:tcW w:type="dxa" w:w="1128"/>
          </w:tcPr>
          <w:p>
            <w:pPr>
              <w:jc w:val="center"/>
            </w:pPr>
            <w:r>
              <w:rPr>
                <w:b w:val="0"/>
                <w:i w:val="0"/>
                <w:sz w:val="19"/>
              </w:rPr>
              <w:t>0.69 (0.03)</w:t>
            </w:r>
          </w:p>
        </w:tc>
        <w:tc>
          <w:tcPr>
            <w:tcW w:type="dxa" w:w="1128"/>
          </w:tcPr>
          <w:p>
            <w:pPr>
              <w:jc w:val="center"/>
            </w:pPr>
            <w:r>
              <w:rPr>
                <w:b w:val="0"/>
                <w:i w:val="0"/>
                <w:sz w:val="19"/>
              </w:rPr>
              <w:t>0.57 (0.03)</w:t>
            </w:r>
          </w:p>
        </w:tc>
      </w:tr>
      <w:tr>
        <w:tc>
          <w:tcPr>
            <w:tcW w:type="dxa" w:w="1128"/>
          </w:tcPr>
          <w:p>
            <w:pPr>
              <w:jc w:val="both"/>
            </w:pPr>
            <w:r>
              <w:rPr>
                <w:b w:val="0"/>
                <w:i w:val="0"/>
                <w:sz w:val="19"/>
              </w:rPr>
              <w:t>MBW (kg⁰·⁷⁵)</w:t>
            </w:r>
          </w:p>
        </w:tc>
        <w:tc>
          <w:tcPr>
            <w:tcW w:type="dxa" w:w="1128"/>
          </w:tcPr>
          <w:p>
            <w:pPr>
              <w:jc w:val="both"/>
            </w:pPr>
            <w:r>
              <w:rPr>
                <w:b w:val="0"/>
                <w:i w:val="0"/>
                <w:sz w:val="19"/>
              </w:rPr>
              <w:t>22.10</w:t>
            </w:r>
          </w:p>
        </w:tc>
        <w:tc>
          <w:tcPr>
            <w:tcW w:type="dxa" w:w="1128"/>
          </w:tcPr>
          <w:p>
            <w:pPr>
              <w:jc w:val="center"/>
            </w:pPr>
            <w:r>
              <w:rPr>
                <w:b w:val="0"/>
                <w:i w:val="0"/>
                <w:sz w:val="19"/>
              </w:rPr>
              <w:t>1.75</w:t>
            </w:r>
          </w:p>
        </w:tc>
        <w:tc>
          <w:tcPr>
            <w:tcW w:type="dxa" w:w="1128"/>
          </w:tcPr>
          <w:p>
            <w:pPr>
              <w:jc w:val="center"/>
            </w:pPr>
            <w:r>
              <w:rPr>
                <w:b w:val="0"/>
                <w:i w:val="0"/>
                <w:sz w:val="19"/>
              </w:rPr>
              <w:t>2.30</w:t>
            </w:r>
          </w:p>
        </w:tc>
        <w:tc>
          <w:tcPr>
            <w:tcW w:type="dxa" w:w="1128"/>
          </w:tcPr>
          <w:p>
            <w:pPr>
              <w:jc w:val="center"/>
            </w:pPr>
            <w:r>
              <w:rPr>
                <w:b w:val="0"/>
                <w:i w:val="0"/>
                <w:sz w:val="19"/>
              </w:rPr>
              <w:t>0.582 (0.019)</w:t>
            </w:r>
          </w:p>
        </w:tc>
        <w:tc>
          <w:tcPr>
            <w:tcW w:type="dxa" w:w="1128"/>
          </w:tcPr>
          <w:p>
            <w:pPr>
              <w:jc w:val="center"/>
            </w:pPr>
            <w:r>
              <w:rPr>
                <w:b w:val="0"/>
                <w:i w:val="0"/>
                <w:sz w:val="19"/>
              </w:rPr>
              <w:t>0.69 (0.03)</w:t>
            </w:r>
          </w:p>
        </w:tc>
        <w:tc>
          <w:tcPr>
            <w:tcW w:type="dxa" w:w="1128"/>
          </w:tcPr>
          <w:p>
            <w:pPr>
              <w:jc w:val="center"/>
            </w:pPr>
            <w:r>
              <w:rPr>
                <w:b w:val="0"/>
                <w:i w:val="0"/>
                <w:sz w:val="19"/>
              </w:rPr>
              <w:t>–</w:t>
            </w:r>
          </w:p>
        </w:tc>
        <w:tc>
          <w:tcPr>
            <w:tcW w:type="dxa" w:w="1128"/>
          </w:tcPr>
          <w:p>
            <w:pPr>
              <w:jc w:val="center"/>
            </w:pPr>
            <w:r>
              <w:rPr>
                <w:b w:val="0"/>
                <w:i w:val="0"/>
                <w:sz w:val="19"/>
              </w:rPr>
              <w:t>0.83 (0.02)</w:t>
            </w:r>
          </w:p>
        </w:tc>
      </w:tr>
      <w:tr>
        <w:tc>
          <w:tcPr>
            <w:tcW w:type="dxa" w:w="1128"/>
          </w:tcPr>
          <w:p>
            <w:pPr>
              <w:jc w:val="both"/>
            </w:pPr>
            <w:r>
              <w:rPr>
                <w:b w:val="0"/>
                <w:i w:val="0"/>
                <w:sz w:val="19"/>
              </w:rPr>
              <w:t>CO₂ (g day⁻¹)</w:t>
            </w:r>
          </w:p>
        </w:tc>
        <w:tc>
          <w:tcPr>
            <w:tcW w:type="dxa" w:w="1128"/>
          </w:tcPr>
          <w:p>
            <w:pPr>
              <w:jc w:val="both"/>
            </w:pPr>
            <w:r>
              <w:rPr>
                <w:b w:val="0"/>
                <w:i w:val="0"/>
                <w:sz w:val="19"/>
              </w:rPr>
              <w:t>1189.64</w:t>
            </w:r>
          </w:p>
        </w:tc>
        <w:tc>
          <w:tcPr>
            <w:tcW w:type="dxa" w:w="1128"/>
          </w:tcPr>
          <w:p>
            <w:pPr>
              <w:jc w:val="center"/>
            </w:pPr>
            <w:r>
              <w:rPr>
                <w:b w:val="0"/>
                <w:i w:val="0"/>
                <w:sz w:val="19"/>
              </w:rPr>
              <w:t>169.8</w:t>
            </w:r>
          </w:p>
        </w:tc>
        <w:tc>
          <w:tcPr>
            <w:tcW w:type="dxa" w:w="1128"/>
          </w:tcPr>
          <w:p>
            <w:pPr>
              <w:jc w:val="center"/>
            </w:pPr>
            <w:r>
              <w:rPr>
                <w:b w:val="0"/>
                <w:i w:val="0"/>
                <w:sz w:val="19"/>
              </w:rPr>
              <w:t>265.6</w:t>
            </w:r>
          </w:p>
        </w:tc>
        <w:tc>
          <w:tcPr>
            <w:tcW w:type="dxa" w:w="1128"/>
          </w:tcPr>
          <w:p>
            <w:pPr>
              <w:jc w:val="center"/>
            </w:pPr>
            <w:r>
              <w:rPr>
                <w:b w:val="0"/>
                <w:i w:val="0"/>
                <w:sz w:val="19"/>
              </w:rPr>
              <w:t>0.409 (0.017)</w:t>
            </w:r>
          </w:p>
        </w:tc>
        <w:tc>
          <w:tcPr>
            <w:tcW w:type="dxa" w:w="1128"/>
          </w:tcPr>
          <w:p>
            <w:pPr>
              <w:jc w:val="center"/>
            </w:pPr>
            <w:r>
              <w:rPr>
                <w:b w:val="0"/>
                <w:i w:val="0"/>
                <w:sz w:val="19"/>
              </w:rPr>
              <w:t>0.57 (0.03)</w:t>
            </w:r>
          </w:p>
        </w:tc>
        <w:tc>
          <w:tcPr>
            <w:tcW w:type="dxa" w:w="1128"/>
          </w:tcPr>
          <w:p>
            <w:pPr>
              <w:jc w:val="center"/>
            </w:pPr>
            <w:r>
              <w:rPr>
                <w:b w:val="0"/>
                <w:i w:val="0"/>
                <w:sz w:val="19"/>
              </w:rPr>
              <w:t>0.83 (0.02)</w:t>
            </w:r>
          </w:p>
        </w:tc>
        <w:tc>
          <w:tcPr>
            <w:tcW w:type="dxa" w:w="1128"/>
          </w:tcPr>
          <w:p>
            <w:pPr>
              <w:jc w:val="center"/>
            </w:pPr>
            <w:r>
              <w:rPr>
                <w:b w:val="0"/>
                <w:i w:val="0"/>
                <w:sz w:val="19"/>
              </w:rPr>
              <w:t>–</w:t>
            </w:r>
          </w:p>
        </w:tc>
      </w:tr>
    </w:tbl>
    <w:p/>
    <w:p>
      <w:pPr>
        <w:jc w:val="both"/>
      </w:pPr>
      <w:r>
        <w:rPr>
          <w:b w:val="0"/>
          <w:i/>
          <w:sz w:val="20"/>
        </w:rPr>
        <w:t>σa and σp are genetic and phenotypic standard deviations from the fitted variance components; σp is conditional on the fixed effects. Phenotypic correlations: CH₄–MBW 0.36, CH₄–CO₂ 0.37, MBW–CO₂ 0.50 (SE ≤ 0.01). h² = heritability.</w:t>
      </w:r>
    </w:p>
    <w:p>
      <w:pPr>
        <w:jc w:val="both"/>
      </w:pPr>
      <w:r>
        <w:rPr>
          <w:b/>
          <w:i w:val="0"/>
        </w:rPr>
        <w:t>S4.</w:t>
      </w:r>
      <w:r>
        <w:rPr>
          <w:b w:val="0"/>
          <w:i w:val="0"/>
        </w:rPr>
        <w:t xml:space="preserve"> Selection index weights (b, applied to phenotypes; relative weights, not economic values) giving the reference favourable response (CH₄ reduced, MBW and CO₂ held at zero response), written for each methane trait.</w:t>
      </w:r>
    </w:p>
    <w:tbl>
      <w:tblPr>
        <w:tblStyle w:val="PlainTable2"/>
        <w:tblW w:type="auto" w:w="0"/>
        <w:tblLook w:firstColumn="1" w:firstRow="1" w:lastColumn="0" w:lastRow="0" w:noHBand="0" w:noVBand="1" w:val="04A0"/>
      </w:tblPr>
      <w:tblGrid>
        <w:gridCol w:w="2256"/>
        <w:gridCol w:w="2256"/>
        <w:gridCol w:w="2256"/>
        <w:gridCol w:w="2256"/>
      </w:tblGrid>
      <w:tr>
        <w:tc>
          <w:tcPr>
            <w:tcW w:type="dxa" w:w="2256"/>
          </w:tcPr>
          <w:p>
            <w:pPr>
              <w:jc w:val="both"/>
            </w:pPr>
            <w:r>
              <w:rPr>
                <w:b w:val="0"/>
                <w:i w:val="0"/>
                <w:sz w:val="19"/>
              </w:rPr>
              <w:t>Goal coordinates</w:t>
            </w:r>
          </w:p>
        </w:tc>
        <w:tc>
          <w:tcPr>
            <w:tcW w:type="dxa" w:w="2256"/>
          </w:tcPr>
          <w:p>
            <w:pPr>
              <w:jc w:val="both"/>
            </w:pPr>
            <w:r>
              <w:rPr>
                <w:b w:val="0"/>
                <w:i w:val="0"/>
                <w:sz w:val="19"/>
              </w:rPr>
              <w:t>Weight on methane term (per g day⁻¹)</w:t>
            </w:r>
          </w:p>
        </w:tc>
        <w:tc>
          <w:tcPr>
            <w:tcW w:type="dxa" w:w="2256"/>
          </w:tcPr>
          <w:p>
            <w:pPr>
              <w:jc w:val="center"/>
            </w:pPr>
            <w:r>
              <w:rPr>
                <w:b w:val="0"/>
                <w:i w:val="0"/>
                <w:sz w:val="19"/>
              </w:rPr>
              <w:t>Weight on MBW (per kg⁰·⁷⁵)</w:t>
            </w:r>
          </w:p>
        </w:tc>
        <w:tc>
          <w:tcPr>
            <w:tcW w:type="dxa" w:w="2256"/>
          </w:tcPr>
          <w:p>
            <w:pPr>
              <w:jc w:val="center"/>
            </w:pPr>
            <w:r>
              <w:rPr>
                <w:b w:val="0"/>
                <w:i w:val="0"/>
                <w:sz w:val="19"/>
              </w:rPr>
              <w:t>Weight on CO₂ (per g day⁻¹)</w:t>
            </w:r>
          </w:p>
        </w:tc>
      </w:tr>
      <w:tr>
        <w:tc>
          <w:tcPr>
            <w:tcW w:type="dxa" w:w="2256"/>
          </w:tcPr>
          <w:p>
            <w:pPr>
              <w:jc w:val="both"/>
            </w:pPr>
            <w:r>
              <w:rPr>
                <w:b w:val="0"/>
                <w:i w:val="0"/>
                <w:sz w:val="19"/>
              </w:rPr>
              <w:t>Absolute CH₄ goal (CH₄, MBW, CO₂ as themselves)</w:t>
            </w:r>
          </w:p>
        </w:tc>
        <w:tc>
          <w:tcPr>
            <w:tcW w:type="dxa" w:w="2256"/>
          </w:tcPr>
          <w:p>
            <w:pPr>
              <w:jc w:val="both"/>
            </w:pPr>
            <w:r>
              <w:rPr>
                <w:b w:val="0"/>
                <w:i w:val="0"/>
                <w:sz w:val="19"/>
              </w:rPr>
              <w:t>−0.1618</w:t>
            </w:r>
          </w:p>
        </w:tc>
        <w:tc>
          <w:tcPr>
            <w:tcW w:type="dxa" w:w="2256"/>
          </w:tcPr>
          <w:p>
            <w:pPr>
              <w:jc w:val="center"/>
            </w:pPr>
            <w:r>
              <w:rPr>
                <w:b w:val="0"/>
                <w:i w:val="0"/>
                <w:sz w:val="19"/>
              </w:rPr>
              <w:t>0.1348</w:t>
            </w:r>
          </w:p>
        </w:tc>
        <w:tc>
          <w:tcPr>
            <w:tcW w:type="dxa" w:w="2256"/>
          </w:tcPr>
          <w:p>
            <w:pPr>
              <w:jc w:val="center"/>
            </w:pPr>
            <w:r>
              <w:rPr>
                <w:b w:val="0"/>
                <w:i w:val="0"/>
                <w:sz w:val="19"/>
              </w:rPr>
              <w:t>−9.856×10⁻⁶</w:t>
            </w:r>
          </w:p>
        </w:tc>
      </w:tr>
      <w:tr>
        <w:tc>
          <w:tcPr>
            <w:tcW w:type="dxa" w:w="2256"/>
          </w:tcPr>
          <w:p>
            <w:pPr>
              <w:jc w:val="both"/>
            </w:pPr>
            <w:r>
              <w:rPr>
                <w:b w:val="0"/>
                <w:i w:val="0"/>
                <w:sz w:val="19"/>
              </w:rPr>
              <w:t>Genetic-residual goal (weights on residual, MBW, CO₂)</w:t>
            </w:r>
          </w:p>
        </w:tc>
        <w:tc>
          <w:tcPr>
            <w:tcW w:type="dxa" w:w="2256"/>
          </w:tcPr>
          <w:p>
            <w:pPr>
              <w:jc w:val="both"/>
            </w:pPr>
            <w:r>
              <w:rPr>
                <w:b w:val="0"/>
                <w:i w:val="0"/>
                <w:sz w:val="19"/>
              </w:rPr>
              <w:t>−0.1618</w:t>
            </w:r>
          </w:p>
        </w:tc>
        <w:tc>
          <w:tcPr>
            <w:tcW w:type="dxa" w:w="2256"/>
          </w:tcPr>
          <w:p>
            <w:pPr>
              <w:jc w:val="center"/>
            </w:pPr>
            <w:r>
              <w:rPr>
                <w:b w:val="0"/>
                <w:i w:val="0"/>
                <w:sz w:val="19"/>
              </w:rPr>
              <w:t>0</w:t>
            </w:r>
          </w:p>
        </w:tc>
        <w:tc>
          <w:tcPr>
            <w:tcW w:type="dxa" w:w="2256"/>
          </w:tcPr>
          <w:p>
            <w:pPr>
              <w:jc w:val="center"/>
            </w:pPr>
            <w:r>
              <w:rPr>
                <w:b w:val="0"/>
                <w:i w:val="0"/>
                <w:sz w:val="19"/>
              </w:rPr>
              <w:t>0</w:t>
            </w:r>
          </w:p>
        </w:tc>
      </w:tr>
      <w:tr>
        <w:tc>
          <w:tcPr>
            <w:tcW w:type="dxa" w:w="2256"/>
          </w:tcPr>
          <w:p>
            <w:pPr>
              <w:jc w:val="both"/>
            </w:pPr>
            <w:r>
              <w:rPr>
                <w:b w:val="0"/>
                <w:i w:val="0"/>
                <w:sz w:val="19"/>
              </w:rPr>
              <w:t>Phenotypic-residual goal (weights on residual, MBW, CO₂)</w:t>
            </w:r>
          </w:p>
        </w:tc>
        <w:tc>
          <w:tcPr>
            <w:tcW w:type="dxa" w:w="2256"/>
          </w:tcPr>
          <w:p>
            <w:pPr>
              <w:jc w:val="both"/>
            </w:pPr>
            <w:r>
              <w:rPr>
                <w:b w:val="0"/>
                <w:i w:val="0"/>
                <w:sz w:val="19"/>
              </w:rPr>
              <w:t>−0.1618</w:t>
            </w:r>
          </w:p>
        </w:tc>
        <w:tc>
          <w:tcPr>
            <w:tcW w:type="dxa" w:w="2256"/>
          </w:tcPr>
          <w:p>
            <w:pPr>
              <w:jc w:val="center"/>
            </w:pPr>
            <w:r>
              <w:rPr>
                <w:b w:val="0"/>
                <w:i w:val="0"/>
                <w:sz w:val="19"/>
              </w:rPr>
              <w:t>0.0664</w:t>
            </w:r>
          </w:p>
        </w:tc>
        <w:tc>
          <w:tcPr>
            <w:tcW w:type="dxa" w:w="2256"/>
          </w:tcPr>
          <w:p>
            <w:pPr>
              <w:jc w:val="center"/>
            </w:pPr>
            <w:r>
              <w:rPr>
                <w:b w:val="0"/>
                <w:i w:val="0"/>
                <w:sz w:val="19"/>
              </w:rPr>
              <w:t>−6.095×10⁻⁴</w:t>
            </w:r>
          </w:p>
        </w:tc>
      </w:tr>
    </w:tbl>
    <w:p/>
    <w:p>
      <w:pPr>
        <w:jc w:val="both"/>
      </w:pPr>
      <w:r>
        <w:rPr>
          <w:b w:val="0"/>
          <w:i/>
          <w:sz w:val="20"/>
        </w:rPr>
        <w:t>The methane term is CH₄, the genetic residual or the phenotypic residual, respectively; all three rows are the same index and give the same responses (Table 6). Weights are selection index weights (b) on the phenotypes, not economic values; multiplying all three by a constant gives the same index and responses. Expressed as relative emphasis (index weight × phenotypic standard deviation from the trivariate model, as a percentage of the summed absolute values), the index places −68% on CH₄, +32% on MBW and −0.3% on CO₂, identically for all three rows. In each row, the MBW and CO₂ weights are those added on top of any already built into the methane term, which is why they are zero for the genetic residual. Weights are on unscaled phenotypes; the CO₂ weight is numerically small because CO₂ is measured in g day⁻¹.</w:t>
      </w:r>
    </w:p>
    <w:p>
      <w:pPr>
        <w:pStyle w:val="Subheadings"/>
        <w:jc w:val="both"/>
      </w:pPr>
      <w:r>
        <w:rPr>
          <w:b w:val="0"/>
          <w:i w:val="0"/>
        </w:rPr>
        <w:t>References</w:t>
      </w:r>
    </w:p>
    <w:sectPr w:rsidR="009B7621" w:rsidSect="009B7621">
      <w:pgSz w:w="11906" w:h="16838"/>
      <w:pgMar w:top="1440" w:right="1440" w:bottom="1440" w:left="1440" w:header="709" w:footer="709"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501B0" w14:textId="77777777" w:rsidR="00155B42" w:rsidRDefault="00155B42" w:rsidP="002D7648">
      <w:pPr>
        <w:spacing w:line="240" w:lineRule="auto"/>
      </w:pPr>
      <w:r>
        <w:separator/>
      </w:r>
    </w:p>
  </w:endnote>
  <w:endnote w:type="continuationSeparator" w:id="0">
    <w:p w14:paraId="4259B73B" w14:textId="77777777" w:rsidR="00155B42" w:rsidRDefault="00155B42" w:rsidP="002D76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4EB0A" w14:textId="77777777" w:rsidR="00155B42" w:rsidRDefault="00155B42" w:rsidP="002D7648">
      <w:pPr>
        <w:spacing w:line="240" w:lineRule="auto"/>
      </w:pPr>
      <w:r>
        <w:separator/>
      </w:r>
    </w:p>
  </w:footnote>
  <w:footnote w:type="continuationSeparator" w:id="0">
    <w:p w14:paraId="6EFA894C" w14:textId="77777777" w:rsidR="00155B42" w:rsidRDefault="00155B42" w:rsidP="002D764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2AFE"/>
    <w:multiLevelType w:val="multilevel"/>
    <w:tmpl w:val="FE82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60138"/>
    <w:multiLevelType w:val="multilevel"/>
    <w:tmpl w:val="CF0E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37871"/>
    <w:multiLevelType w:val="hybridMultilevel"/>
    <w:tmpl w:val="2A36D71C"/>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BE21E8B"/>
    <w:multiLevelType w:val="multilevel"/>
    <w:tmpl w:val="DE6E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50D6D"/>
    <w:multiLevelType w:val="multilevel"/>
    <w:tmpl w:val="8444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A15F8"/>
    <w:multiLevelType w:val="multilevel"/>
    <w:tmpl w:val="F08E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8196C"/>
    <w:multiLevelType w:val="multilevel"/>
    <w:tmpl w:val="DA7A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D4903"/>
    <w:multiLevelType w:val="multilevel"/>
    <w:tmpl w:val="940AB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5E11D6"/>
    <w:multiLevelType w:val="multilevel"/>
    <w:tmpl w:val="E7FC5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B11912"/>
    <w:multiLevelType w:val="multilevel"/>
    <w:tmpl w:val="065E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AE3704"/>
    <w:multiLevelType w:val="hybridMultilevel"/>
    <w:tmpl w:val="AD565DF4"/>
    <w:lvl w:ilvl="0" w:tplc="8A4ACFF0">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2222195B"/>
    <w:multiLevelType w:val="multilevel"/>
    <w:tmpl w:val="C7709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8C19A9"/>
    <w:multiLevelType w:val="multilevel"/>
    <w:tmpl w:val="5D76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B178B7"/>
    <w:multiLevelType w:val="multilevel"/>
    <w:tmpl w:val="8960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623DBD"/>
    <w:multiLevelType w:val="hybridMultilevel"/>
    <w:tmpl w:val="8520AED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2B6A4C66"/>
    <w:multiLevelType w:val="multilevel"/>
    <w:tmpl w:val="55B4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D00A5E"/>
    <w:multiLevelType w:val="multilevel"/>
    <w:tmpl w:val="E47C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457DE7"/>
    <w:multiLevelType w:val="multilevel"/>
    <w:tmpl w:val="B5FA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3F7B9B"/>
    <w:multiLevelType w:val="multilevel"/>
    <w:tmpl w:val="950A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DF6E90"/>
    <w:multiLevelType w:val="hybridMultilevel"/>
    <w:tmpl w:val="C1AC747E"/>
    <w:lvl w:ilvl="0" w:tplc="8B9C803A">
      <w:start w:val="1"/>
      <w:numFmt w:val="bullet"/>
      <w:lvlText w:val=""/>
      <w:lvlJc w:val="left"/>
      <w:pPr>
        <w:ind w:left="720" w:hanging="360"/>
      </w:pPr>
      <w:rPr>
        <w:rFonts w:ascii="Symbol" w:hAnsi="Symbol"/>
      </w:rPr>
    </w:lvl>
    <w:lvl w:ilvl="1" w:tplc="940AD51E">
      <w:start w:val="1"/>
      <w:numFmt w:val="bullet"/>
      <w:lvlText w:val=""/>
      <w:lvlJc w:val="left"/>
      <w:pPr>
        <w:ind w:left="720" w:hanging="360"/>
      </w:pPr>
      <w:rPr>
        <w:rFonts w:ascii="Symbol" w:hAnsi="Symbol"/>
      </w:rPr>
    </w:lvl>
    <w:lvl w:ilvl="2" w:tplc="9F64598A">
      <w:start w:val="1"/>
      <w:numFmt w:val="bullet"/>
      <w:lvlText w:val=""/>
      <w:lvlJc w:val="left"/>
      <w:pPr>
        <w:ind w:left="720" w:hanging="360"/>
      </w:pPr>
      <w:rPr>
        <w:rFonts w:ascii="Symbol" w:hAnsi="Symbol"/>
      </w:rPr>
    </w:lvl>
    <w:lvl w:ilvl="3" w:tplc="568EE5D2">
      <w:start w:val="1"/>
      <w:numFmt w:val="bullet"/>
      <w:lvlText w:val=""/>
      <w:lvlJc w:val="left"/>
      <w:pPr>
        <w:ind w:left="720" w:hanging="360"/>
      </w:pPr>
      <w:rPr>
        <w:rFonts w:ascii="Symbol" w:hAnsi="Symbol"/>
      </w:rPr>
    </w:lvl>
    <w:lvl w:ilvl="4" w:tplc="360CD012">
      <w:start w:val="1"/>
      <w:numFmt w:val="bullet"/>
      <w:lvlText w:val=""/>
      <w:lvlJc w:val="left"/>
      <w:pPr>
        <w:ind w:left="720" w:hanging="360"/>
      </w:pPr>
      <w:rPr>
        <w:rFonts w:ascii="Symbol" w:hAnsi="Symbol"/>
      </w:rPr>
    </w:lvl>
    <w:lvl w:ilvl="5" w:tplc="F9444F2C">
      <w:start w:val="1"/>
      <w:numFmt w:val="bullet"/>
      <w:lvlText w:val=""/>
      <w:lvlJc w:val="left"/>
      <w:pPr>
        <w:ind w:left="720" w:hanging="360"/>
      </w:pPr>
      <w:rPr>
        <w:rFonts w:ascii="Symbol" w:hAnsi="Symbol"/>
      </w:rPr>
    </w:lvl>
    <w:lvl w:ilvl="6" w:tplc="C2BAE51A">
      <w:start w:val="1"/>
      <w:numFmt w:val="bullet"/>
      <w:lvlText w:val=""/>
      <w:lvlJc w:val="left"/>
      <w:pPr>
        <w:ind w:left="720" w:hanging="360"/>
      </w:pPr>
      <w:rPr>
        <w:rFonts w:ascii="Symbol" w:hAnsi="Symbol"/>
      </w:rPr>
    </w:lvl>
    <w:lvl w:ilvl="7" w:tplc="A31CDB3E">
      <w:start w:val="1"/>
      <w:numFmt w:val="bullet"/>
      <w:lvlText w:val=""/>
      <w:lvlJc w:val="left"/>
      <w:pPr>
        <w:ind w:left="720" w:hanging="360"/>
      </w:pPr>
      <w:rPr>
        <w:rFonts w:ascii="Symbol" w:hAnsi="Symbol"/>
      </w:rPr>
    </w:lvl>
    <w:lvl w:ilvl="8" w:tplc="6E7053E8">
      <w:start w:val="1"/>
      <w:numFmt w:val="bullet"/>
      <w:lvlText w:val=""/>
      <w:lvlJc w:val="left"/>
      <w:pPr>
        <w:ind w:left="720" w:hanging="360"/>
      </w:pPr>
      <w:rPr>
        <w:rFonts w:ascii="Symbol" w:hAnsi="Symbol"/>
      </w:rPr>
    </w:lvl>
  </w:abstractNum>
  <w:abstractNum w:abstractNumId="20" w15:restartNumberingAfterBreak="0">
    <w:nsid w:val="456275AA"/>
    <w:multiLevelType w:val="multilevel"/>
    <w:tmpl w:val="74928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544219"/>
    <w:multiLevelType w:val="hybridMultilevel"/>
    <w:tmpl w:val="833C073A"/>
    <w:lvl w:ilvl="0" w:tplc="1809000F">
      <w:start w:val="6"/>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2" w15:restartNumberingAfterBreak="0">
    <w:nsid w:val="480D5353"/>
    <w:multiLevelType w:val="multilevel"/>
    <w:tmpl w:val="CDAC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39224C"/>
    <w:multiLevelType w:val="multilevel"/>
    <w:tmpl w:val="C9CE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E60632"/>
    <w:multiLevelType w:val="multilevel"/>
    <w:tmpl w:val="C304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EF6EF8"/>
    <w:multiLevelType w:val="hybridMultilevel"/>
    <w:tmpl w:val="EEC23BA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6" w15:restartNumberingAfterBreak="0">
    <w:nsid w:val="55973DAE"/>
    <w:multiLevelType w:val="hybridMultilevel"/>
    <w:tmpl w:val="DC02BAB0"/>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7" w15:restartNumberingAfterBreak="0">
    <w:nsid w:val="58364BD0"/>
    <w:multiLevelType w:val="multilevel"/>
    <w:tmpl w:val="6726B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AB5C59"/>
    <w:multiLevelType w:val="hybridMultilevel"/>
    <w:tmpl w:val="024C735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9" w15:restartNumberingAfterBreak="0">
    <w:nsid w:val="5F591FAC"/>
    <w:multiLevelType w:val="hybridMultilevel"/>
    <w:tmpl w:val="E3E08D46"/>
    <w:lvl w:ilvl="0" w:tplc="3EA8FFD2">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0" w15:restartNumberingAfterBreak="0">
    <w:nsid w:val="61CF154E"/>
    <w:multiLevelType w:val="hybridMultilevel"/>
    <w:tmpl w:val="9D5C58DC"/>
    <w:lvl w:ilvl="0" w:tplc="54DC0ECA">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1" w15:restartNumberingAfterBreak="0">
    <w:nsid w:val="6D407B04"/>
    <w:multiLevelType w:val="multilevel"/>
    <w:tmpl w:val="2CCA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94685F"/>
    <w:multiLevelType w:val="multilevel"/>
    <w:tmpl w:val="882C9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601AC2"/>
    <w:multiLevelType w:val="multilevel"/>
    <w:tmpl w:val="58E23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2308E3"/>
    <w:multiLevelType w:val="multilevel"/>
    <w:tmpl w:val="2F7C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E63D35"/>
    <w:multiLevelType w:val="hybridMultilevel"/>
    <w:tmpl w:val="D63C58D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6" w15:restartNumberingAfterBreak="0">
    <w:nsid w:val="7DCD6852"/>
    <w:multiLevelType w:val="multilevel"/>
    <w:tmpl w:val="BCB2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0984412">
    <w:abstractNumId w:val="29"/>
  </w:num>
  <w:num w:numId="2" w16cid:durableId="1711762447">
    <w:abstractNumId w:val="10"/>
  </w:num>
  <w:num w:numId="3" w16cid:durableId="1117409860">
    <w:abstractNumId w:val="30"/>
  </w:num>
  <w:num w:numId="4" w16cid:durableId="940576682">
    <w:abstractNumId w:val="25"/>
  </w:num>
  <w:num w:numId="5" w16cid:durableId="681510423">
    <w:abstractNumId w:val="2"/>
  </w:num>
  <w:num w:numId="6" w16cid:durableId="1279683964">
    <w:abstractNumId w:val="21"/>
  </w:num>
  <w:num w:numId="7" w16cid:durableId="253559771">
    <w:abstractNumId w:val="28"/>
  </w:num>
  <w:num w:numId="8" w16cid:durableId="659620196">
    <w:abstractNumId w:val="35"/>
  </w:num>
  <w:num w:numId="9" w16cid:durableId="23023808">
    <w:abstractNumId w:val="26"/>
  </w:num>
  <w:num w:numId="10" w16cid:durableId="617878713">
    <w:abstractNumId w:val="24"/>
  </w:num>
  <w:num w:numId="11" w16cid:durableId="748314147">
    <w:abstractNumId w:val="18"/>
  </w:num>
  <w:num w:numId="12" w16cid:durableId="557862796">
    <w:abstractNumId w:val="1"/>
  </w:num>
  <w:num w:numId="13" w16cid:durableId="897127996">
    <w:abstractNumId w:val="36"/>
  </w:num>
  <w:num w:numId="14" w16cid:durableId="906038632">
    <w:abstractNumId w:val="12"/>
  </w:num>
  <w:num w:numId="15" w16cid:durableId="795486914">
    <w:abstractNumId w:val="33"/>
  </w:num>
  <w:num w:numId="16" w16cid:durableId="1827089507">
    <w:abstractNumId w:val="11"/>
  </w:num>
  <w:num w:numId="17" w16cid:durableId="2133477213">
    <w:abstractNumId w:val="20"/>
  </w:num>
  <w:num w:numId="18" w16cid:durableId="497617683">
    <w:abstractNumId w:val="27"/>
  </w:num>
  <w:num w:numId="19" w16cid:durableId="1077438214">
    <w:abstractNumId w:val="15"/>
  </w:num>
  <w:num w:numId="20" w16cid:durableId="1759323249">
    <w:abstractNumId w:val="32"/>
  </w:num>
  <w:num w:numId="21" w16cid:durableId="759569920">
    <w:abstractNumId w:val="0"/>
  </w:num>
  <w:num w:numId="22" w16cid:durableId="591822671">
    <w:abstractNumId w:val="7"/>
  </w:num>
  <w:num w:numId="23" w16cid:durableId="2007708055">
    <w:abstractNumId w:val="13"/>
  </w:num>
  <w:num w:numId="24" w16cid:durableId="1757626215">
    <w:abstractNumId w:val="23"/>
  </w:num>
  <w:num w:numId="25" w16cid:durableId="523708538">
    <w:abstractNumId w:val="9"/>
  </w:num>
  <w:num w:numId="26" w16cid:durableId="940604630">
    <w:abstractNumId w:val="17"/>
  </w:num>
  <w:num w:numId="27" w16cid:durableId="871695305">
    <w:abstractNumId w:val="3"/>
  </w:num>
  <w:num w:numId="28" w16cid:durableId="1888762013">
    <w:abstractNumId w:val="34"/>
  </w:num>
  <w:num w:numId="29" w16cid:durableId="1023214743">
    <w:abstractNumId w:val="5"/>
  </w:num>
  <w:num w:numId="30" w16cid:durableId="1216553140">
    <w:abstractNumId w:val="6"/>
  </w:num>
  <w:num w:numId="31" w16cid:durableId="1160542042">
    <w:abstractNumId w:val="31"/>
  </w:num>
  <w:num w:numId="32" w16cid:durableId="137966794">
    <w:abstractNumId w:val="4"/>
  </w:num>
  <w:num w:numId="33" w16cid:durableId="994802880">
    <w:abstractNumId w:val="14"/>
  </w:num>
  <w:num w:numId="34" w16cid:durableId="593561529">
    <w:abstractNumId w:val="8"/>
  </w:num>
  <w:num w:numId="35" w16cid:durableId="782765998">
    <w:abstractNumId w:val="22"/>
  </w:num>
  <w:num w:numId="36" w16cid:durableId="770590484">
    <w:abstractNumId w:val="16"/>
  </w:num>
  <w:num w:numId="37" w16cid:durableId="87176986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Genetics Selection Evolution&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axwzprpds5f9des5zdxa55jzsppx55fpw20&quot;&gt;My EndNote Library&lt;record-ids&gt;&lt;item&gt;23&lt;/item&gt;&lt;item&gt;65&lt;/item&gt;&lt;item&gt;67&lt;/item&gt;&lt;item&gt;70&lt;/item&gt;&lt;item&gt;75&lt;/item&gt;&lt;item&gt;79&lt;/item&gt;&lt;item&gt;92&lt;/item&gt;&lt;item&gt;99&lt;/item&gt;&lt;item&gt;113&lt;/item&gt;&lt;item&gt;122&lt;/item&gt;&lt;item&gt;124&lt;/item&gt;&lt;item&gt;140&lt;/item&gt;&lt;item&gt;141&lt;/item&gt;&lt;item&gt;142&lt;/item&gt;&lt;item&gt;143&lt;/item&gt;&lt;item&gt;146&lt;/item&gt;&lt;item&gt;147&lt;/item&gt;&lt;item&gt;148&lt;/item&gt;&lt;item&gt;155&lt;/item&gt;&lt;item&gt;161&lt;/item&gt;&lt;item&gt;162&lt;/item&gt;&lt;item&gt;163&lt;/item&gt;&lt;item&gt;166&lt;/item&gt;&lt;item&gt;167&lt;/item&gt;&lt;item&gt;169&lt;/item&gt;&lt;item&gt;171&lt;/item&gt;&lt;item&gt;172&lt;/item&gt;&lt;item&gt;173&lt;/item&gt;&lt;item&gt;174&lt;/item&gt;&lt;item&gt;175&lt;/item&gt;&lt;item&gt;176&lt;/item&gt;&lt;item&gt;177&lt;/item&gt;&lt;item&gt;178&lt;/item&gt;&lt;item&gt;179&lt;/item&gt;&lt;item&gt;180&lt;/item&gt;&lt;item&gt;182&lt;/item&gt;&lt;item&gt;183&lt;/item&gt;&lt;item&gt;184&lt;/item&gt;&lt;item&gt;185&lt;/item&gt;&lt;item&gt;186&lt;/item&gt;&lt;item&gt;187&lt;/item&gt;&lt;/record-ids&gt;&lt;/item&gt;&lt;/Libraries&gt;"/>
  </w:docVars>
  <w:rsids>
    <w:rsidRoot w:val="00C37027"/>
    <w:rsid w:val="0000002D"/>
    <w:rsid w:val="000001AA"/>
    <w:rsid w:val="00000DC0"/>
    <w:rsid w:val="00000DD8"/>
    <w:rsid w:val="000013A0"/>
    <w:rsid w:val="00002836"/>
    <w:rsid w:val="000036C8"/>
    <w:rsid w:val="00003743"/>
    <w:rsid w:val="000038AD"/>
    <w:rsid w:val="000046DE"/>
    <w:rsid w:val="0000496A"/>
    <w:rsid w:val="00006668"/>
    <w:rsid w:val="00006D61"/>
    <w:rsid w:val="0001100C"/>
    <w:rsid w:val="00012023"/>
    <w:rsid w:val="00012528"/>
    <w:rsid w:val="0001272C"/>
    <w:rsid w:val="0001375D"/>
    <w:rsid w:val="00015122"/>
    <w:rsid w:val="00015632"/>
    <w:rsid w:val="00016E7D"/>
    <w:rsid w:val="00020650"/>
    <w:rsid w:val="00020AE8"/>
    <w:rsid w:val="00020F91"/>
    <w:rsid w:val="00021137"/>
    <w:rsid w:val="000221CC"/>
    <w:rsid w:val="00022491"/>
    <w:rsid w:val="0002286C"/>
    <w:rsid w:val="00023323"/>
    <w:rsid w:val="000245F8"/>
    <w:rsid w:val="00024F12"/>
    <w:rsid w:val="00025C00"/>
    <w:rsid w:val="00025C44"/>
    <w:rsid w:val="0002683B"/>
    <w:rsid w:val="000270C6"/>
    <w:rsid w:val="0002711F"/>
    <w:rsid w:val="00027C67"/>
    <w:rsid w:val="0003051F"/>
    <w:rsid w:val="00032F3B"/>
    <w:rsid w:val="000347B3"/>
    <w:rsid w:val="00034DC2"/>
    <w:rsid w:val="00036993"/>
    <w:rsid w:val="00037604"/>
    <w:rsid w:val="000400DF"/>
    <w:rsid w:val="000411D9"/>
    <w:rsid w:val="00041B38"/>
    <w:rsid w:val="00042A1B"/>
    <w:rsid w:val="00042AA6"/>
    <w:rsid w:val="000438CE"/>
    <w:rsid w:val="00044581"/>
    <w:rsid w:val="00044708"/>
    <w:rsid w:val="00045CED"/>
    <w:rsid w:val="0004713B"/>
    <w:rsid w:val="00047E91"/>
    <w:rsid w:val="00047F55"/>
    <w:rsid w:val="00050B52"/>
    <w:rsid w:val="00052778"/>
    <w:rsid w:val="0005364E"/>
    <w:rsid w:val="00053A4F"/>
    <w:rsid w:val="00054236"/>
    <w:rsid w:val="0005442F"/>
    <w:rsid w:val="00054FCC"/>
    <w:rsid w:val="00055DA1"/>
    <w:rsid w:val="0005644B"/>
    <w:rsid w:val="000600EE"/>
    <w:rsid w:val="00062A94"/>
    <w:rsid w:val="00062CA9"/>
    <w:rsid w:val="000635DE"/>
    <w:rsid w:val="00063620"/>
    <w:rsid w:val="00063699"/>
    <w:rsid w:val="000652D3"/>
    <w:rsid w:val="000658BE"/>
    <w:rsid w:val="00066A5B"/>
    <w:rsid w:val="000672CE"/>
    <w:rsid w:val="000673CE"/>
    <w:rsid w:val="000704B4"/>
    <w:rsid w:val="00071164"/>
    <w:rsid w:val="00073249"/>
    <w:rsid w:val="000738D3"/>
    <w:rsid w:val="0007459E"/>
    <w:rsid w:val="0007476F"/>
    <w:rsid w:val="00075078"/>
    <w:rsid w:val="00075AC5"/>
    <w:rsid w:val="00075C6F"/>
    <w:rsid w:val="00080B81"/>
    <w:rsid w:val="00081156"/>
    <w:rsid w:val="00082A1F"/>
    <w:rsid w:val="00084082"/>
    <w:rsid w:val="00084597"/>
    <w:rsid w:val="00084BA7"/>
    <w:rsid w:val="00084D49"/>
    <w:rsid w:val="00085D13"/>
    <w:rsid w:val="00085E6E"/>
    <w:rsid w:val="00086193"/>
    <w:rsid w:val="00086B5B"/>
    <w:rsid w:val="00087281"/>
    <w:rsid w:val="000876EC"/>
    <w:rsid w:val="00087BA5"/>
    <w:rsid w:val="000902E8"/>
    <w:rsid w:val="000911F6"/>
    <w:rsid w:val="00091F8B"/>
    <w:rsid w:val="00092332"/>
    <w:rsid w:val="00092CE5"/>
    <w:rsid w:val="00095EF8"/>
    <w:rsid w:val="00096173"/>
    <w:rsid w:val="00096518"/>
    <w:rsid w:val="00097FAE"/>
    <w:rsid w:val="000A038D"/>
    <w:rsid w:val="000A22A8"/>
    <w:rsid w:val="000A2FCC"/>
    <w:rsid w:val="000A4713"/>
    <w:rsid w:val="000A4DF0"/>
    <w:rsid w:val="000A5895"/>
    <w:rsid w:val="000A5E8D"/>
    <w:rsid w:val="000A6CDF"/>
    <w:rsid w:val="000B0339"/>
    <w:rsid w:val="000B0355"/>
    <w:rsid w:val="000B2385"/>
    <w:rsid w:val="000B2C9C"/>
    <w:rsid w:val="000B3034"/>
    <w:rsid w:val="000B3E6E"/>
    <w:rsid w:val="000B43A1"/>
    <w:rsid w:val="000B4A5F"/>
    <w:rsid w:val="000B580C"/>
    <w:rsid w:val="000B6C48"/>
    <w:rsid w:val="000B7B96"/>
    <w:rsid w:val="000B7D48"/>
    <w:rsid w:val="000C0968"/>
    <w:rsid w:val="000C0C0D"/>
    <w:rsid w:val="000C1E7A"/>
    <w:rsid w:val="000C2693"/>
    <w:rsid w:val="000C36C0"/>
    <w:rsid w:val="000C40FE"/>
    <w:rsid w:val="000C59FE"/>
    <w:rsid w:val="000C613A"/>
    <w:rsid w:val="000D1FE3"/>
    <w:rsid w:val="000D35BC"/>
    <w:rsid w:val="000D3652"/>
    <w:rsid w:val="000D3ED1"/>
    <w:rsid w:val="000D40C7"/>
    <w:rsid w:val="000D52AD"/>
    <w:rsid w:val="000D626A"/>
    <w:rsid w:val="000D6292"/>
    <w:rsid w:val="000D6BB9"/>
    <w:rsid w:val="000E1381"/>
    <w:rsid w:val="000E14EF"/>
    <w:rsid w:val="000E1B1E"/>
    <w:rsid w:val="000E3F98"/>
    <w:rsid w:val="000E4CF4"/>
    <w:rsid w:val="000E52DE"/>
    <w:rsid w:val="000E54E4"/>
    <w:rsid w:val="000E5DB0"/>
    <w:rsid w:val="000E6F25"/>
    <w:rsid w:val="000F0723"/>
    <w:rsid w:val="000F13EC"/>
    <w:rsid w:val="000F37A9"/>
    <w:rsid w:val="000F462C"/>
    <w:rsid w:val="000F5090"/>
    <w:rsid w:val="000F6A6B"/>
    <w:rsid w:val="000F6CF4"/>
    <w:rsid w:val="000F72D3"/>
    <w:rsid w:val="000F76D8"/>
    <w:rsid w:val="0010072B"/>
    <w:rsid w:val="0010128B"/>
    <w:rsid w:val="001013D8"/>
    <w:rsid w:val="0010201D"/>
    <w:rsid w:val="00102136"/>
    <w:rsid w:val="001032FC"/>
    <w:rsid w:val="0010369C"/>
    <w:rsid w:val="0010498C"/>
    <w:rsid w:val="00105099"/>
    <w:rsid w:val="0010515D"/>
    <w:rsid w:val="001054D7"/>
    <w:rsid w:val="00106468"/>
    <w:rsid w:val="00112B77"/>
    <w:rsid w:val="00112C45"/>
    <w:rsid w:val="00112DFC"/>
    <w:rsid w:val="0011314A"/>
    <w:rsid w:val="001132D6"/>
    <w:rsid w:val="00113D82"/>
    <w:rsid w:val="00115B50"/>
    <w:rsid w:val="0011629D"/>
    <w:rsid w:val="00116777"/>
    <w:rsid w:val="00116A3D"/>
    <w:rsid w:val="00121D14"/>
    <w:rsid w:val="0012365E"/>
    <w:rsid w:val="0012668A"/>
    <w:rsid w:val="00126B0F"/>
    <w:rsid w:val="0013041A"/>
    <w:rsid w:val="00130A23"/>
    <w:rsid w:val="00131EB5"/>
    <w:rsid w:val="00133549"/>
    <w:rsid w:val="00133CD0"/>
    <w:rsid w:val="00135946"/>
    <w:rsid w:val="00137823"/>
    <w:rsid w:val="00137E69"/>
    <w:rsid w:val="00140A0D"/>
    <w:rsid w:val="00141C10"/>
    <w:rsid w:val="001424BB"/>
    <w:rsid w:val="0014303D"/>
    <w:rsid w:val="00143195"/>
    <w:rsid w:val="0014404D"/>
    <w:rsid w:val="0014470C"/>
    <w:rsid w:val="00144B74"/>
    <w:rsid w:val="00145790"/>
    <w:rsid w:val="0014731F"/>
    <w:rsid w:val="00147A92"/>
    <w:rsid w:val="00150B84"/>
    <w:rsid w:val="0015173B"/>
    <w:rsid w:val="00151D20"/>
    <w:rsid w:val="00152735"/>
    <w:rsid w:val="00152E11"/>
    <w:rsid w:val="001534EF"/>
    <w:rsid w:val="00154E26"/>
    <w:rsid w:val="00155988"/>
    <w:rsid w:val="00155B27"/>
    <w:rsid w:val="00155B42"/>
    <w:rsid w:val="00155EB2"/>
    <w:rsid w:val="00156387"/>
    <w:rsid w:val="001573B0"/>
    <w:rsid w:val="00157666"/>
    <w:rsid w:val="00157DB4"/>
    <w:rsid w:val="001612B4"/>
    <w:rsid w:val="0016355F"/>
    <w:rsid w:val="001636A5"/>
    <w:rsid w:val="00163787"/>
    <w:rsid w:val="001654DE"/>
    <w:rsid w:val="00165ADD"/>
    <w:rsid w:val="00165D9D"/>
    <w:rsid w:val="001660E1"/>
    <w:rsid w:val="00166749"/>
    <w:rsid w:val="00166791"/>
    <w:rsid w:val="001669C9"/>
    <w:rsid w:val="00166B78"/>
    <w:rsid w:val="00167594"/>
    <w:rsid w:val="00167AA6"/>
    <w:rsid w:val="0017134F"/>
    <w:rsid w:val="001714E3"/>
    <w:rsid w:val="00171F0D"/>
    <w:rsid w:val="00172039"/>
    <w:rsid w:val="00174413"/>
    <w:rsid w:val="00174571"/>
    <w:rsid w:val="00175150"/>
    <w:rsid w:val="001751FC"/>
    <w:rsid w:val="00176206"/>
    <w:rsid w:val="00176735"/>
    <w:rsid w:val="001803C6"/>
    <w:rsid w:val="0018127C"/>
    <w:rsid w:val="001827D1"/>
    <w:rsid w:val="00183628"/>
    <w:rsid w:val="00183EC9"/>
    <w:rsid w:val="001840BC"/>
    <w:rsid w:val="00185278"/>
    <w:rsid w:val="00185D76"/>
    <w:rsid w:val="00185D8D"/>
    <w:rsid w:val="00186639"/>
    <w:rsid w:val="00187179"/>
    <w:rsid w:val="0019230F"/>
    <w:rsid w:val="001937D4"/>
    <w:rsid w:val="001938BA"/>
    <w:rsid w:val="00195A82"/>
    <w:rsid w:val="00195D9F"/>
    <w:rsid w:val="001969F0"/>
    <w:rsid w:val="00196DD5"/>
    <w:rsid w:val="00197029"/>
    <w:rsid w:val="001972AC"/>
    <w:rsid w:val="001A0124"/>
    <w:rsid w:val="001A0B11"/>
    <w:rsid w:val="001A21CA"/>
    <w:rsid w:val="001A275D"/>
    <w:rsid w:val="001A30F6"/>
    <w:rsid w:val="001A346D"/>
    <w:rsid w:val="001A4672"/>
    <w:rsid w:val="001A4C72"/>
    <w:rsid w:val="001A6782"/>
    <w:rsid w:val="001A69E9"/>
    <w:rsid w:val="001A6ABD"/>
    <w:rsid w:val="001A7348"/>
    <w:rsid w:val="001A7EE1"/>
    <w:rsid w:val="001B0C75"/>
    <w:rsid w:val="001B0E00"/>
    <w:rsid w:val="001B267A"/>
    <w:rsid w:val="001B29DA"/>
    <w:rsid w:val="001B3EE2"/>
    <w:rsid w:val="001B40CF"/>
    <w:rsid w:val="001B5527"/>
    <w:rsid w:val="001B5643"/>
    <w:rsid w:val="001B631E"/>
    <w:rsid w:val="001B6ADF"/>
    <w:rsid w:val="001C0437"/>
    <w:rsid w:val="001C0AF9"/>
    <w:rsid w:val="001C0C3C"/>
    <w:rsid w:val="001C0DA0"/>
    <w:rsid w:val="001C0F14"/>
    <w:rsid w:val="001C1042"/>
    <w:rsid w:val="001C2182"/>
    <w:rsid w:val="001C3148"/>
    <w:rsid w:val="001C4F13"/>
    <w:rsid w:val="001C54C5"/>
    <w:rsid w:val="001C5C0C"/>
    <w:rsid w:val="001C64A9"/>
    <w:rsid w:val="001C6613"/>
    <w:rsid w:val="001C6870"/>
    <w:rsid w:val="001C6ABC"/>
    <w:rsid w:val="001D25A8"/>
    <w:rsid w:val="001D2AFA"/>
    <w:rsid w:val="001D354A"/>
    <w:rsid w:val="001D5659"/>
    <w:rsid w:val="001D57C8"/>
    <w:rsid w:val="001D5865"/>
    <w:rsid w:val="001D5A02"/>
    <w:rsid w:val="001D68AA"/>
    <w:rsid w:val="001D6F24"/>
    <w:rsid w:val="001D7440"/>
    <w:rsid w:val="001E1627"/>
    <w:rsid w:val="001E3192"/>
    <w:rsid w:val="001E3FF9"/>
    <w:rsid w:val="001E57E3"/>
    <w:rsid w:val="001E5DCF"/>
    <w:rsid w:val="001E6E47"/>
    <w:rsid w:val="001E785D"/>
    <w:rsid w:val="001E7F30"/>
    <w:rsid w:val="001F1372"/>
    <w:rsid w:val="001F144F"/>
    <w:rsid w:val="001F2169"/>
    <w:rsid w:val="001F26C3"/>
    <w:rsid w:val="001F3E90"/>
    <w:rsid w:val="001F4D15"/>
    <w:rsid w:val="001F4D4F"/>
    <w:rsid w:val="001F4F95"/>
    <w:rsid w:val="001F5BB0"/>
    <w:rsid w:val="00200F5E"/>
    <w:rsid w:val="00200FDA"/>
    <w:rsid w:val="00203F17"/>
    <w:rsid w:val="00203F4C"/>
    <w:rsid w:val="0020483D"/>
    <w:rsid w:val="00204C30"/>
    <w:rsid w:val="00205A20"/>
    <w:rsid w:val="00206623"/>
    <w:rsid w:val="00206A73"/>
    <w:rsid w:val="00207D79"/>
    <w:rsid w:val="00211A91"/>
    <w:rsid w:val="0021222E"/>
    <w:rsid w:val="00212889"/>
    <w:rsid w:val="00212DFD"/>
    <w:rsid w:val="002130B9"/>
    <w:rsid w:val="002137C3"/>
    <w:rsid w:val="002146D1"/>
    <w:rsid w:val="00214B6C"/>
    <w:rsid w:val="002156B9"/>
    <w:rsid w:val="00215970"/>
    <w:rsid w:val="00215FE0"/>
    <w:rsid w:val="002169CE"/>
    <w:rsid w:val="00216A9F"/>
    <w:rsid w:val="00216D24"/>
    <w:rsid w:val="00216FDD"/>
    <w:rsid w:val="00217BD7"/>
    <w:rsid w:val="00217D59"/>
    <w:rsid w:val="00217F6E"/>
    <w:rsid w:val="002210DD"/>
    <w:rsid w:val="002214D6"/>
    <w:rsid w:val="00223035"/>
    <w:rsid w:val="00223041"/>
    <w:rsid w:val="00223A4D"/>
    <w:rsid w:val="002256BF"/>
    <w:rsid w:val="0022724C"/>
    <w:rsid w:val="00231169"/>
    <w:rsid w:val="00231906"/>
    <w:rsid w:val="00231D38"/>
    <w:rsid w:val="00232815"/>
    <w:rsid w:val="00232B14"/>
    <w:rsid w:val="00232B60"/>
    <w:rsid w:val="00233400"/>
    <w:rsid w:val="00234538"/>
    <w:rsid w:val="00235672"/>
    <w:rsid w:val="002369A6"/>
    <w:rsid w:val="00236C7F"/>
    <w:rsid w:val="00236D7A"/>
    <w:rsid w:val="002378E9"/>
    <w:rsid w:val="0024064D"/>
    <w:rsid w:val="00240AAA"/>
    <w:rsid w:val="00240C9C"/>
    <w:rsid w:val="00241A87"/>
    <w:rsid w:val="002426E9"/>
    <w:rsid w:val="00242EFD"/>
    <w:rsid w:val="00243A72"/>
    <w:rsid w:val="002448F0"/>
    <w:rsid w:val="00244EEC"/>
    <w:rsid w:val="002458DA"/>
    <w:rsid w:val="002459C7"/>
    <w:rsid w:val="00247911"/>
    <w:rsid w:val="00247CCD"/>
    <w:rsid w:val="00250D31"/>
    <w:rsid w:val="00250EAF"/>
    <w:rsid w:val="00251CFA"/>
    <w:rsid w:val="002520A9"/>
    <w:rsid w:val="0025426D"/>
    <w:rsid w:val="00257AF3"/>
    <w:rsid w:val="002605D0"/>
    <w:rsid w:val="00261260"/>
    <w:rsid w:val="002631A8"/>
    <w:rsid w:val="00264791"/>
    <w:rsid w:val="00264F1E"/>
    <w:rsid w:val="0026565C"/>
    <w:rsid w:val="00266287"/>
    <w:rsid w:val="002677AF"/>
    <w:rsid w:val="00270906"/>
    <w:rsid w:val="00270A68"/>
    <w:rsid w:val="00271E45"/>
    <w:rsid w:val="002726F2"/>
    <w:rsid w:val="002739E4"/>
    <w:rsid w:val="0027462D"/>
    <w:rsid w:val="00275B00"/>
    <w:rsid w:val="00275BE4"/>
    <w:rsid w:val="00275D48"/>
    <w:rsid w:val="002763BF"/>
    <w:rsid w:val="00276924"/>
    <w:rsid w:val="00277061"/>
    <w:rsid w:val="00280AC4"/>
    <w:rsid w:val="00280CEE"/>
    <w:rsid w:val="002811D4"/>
    <w:rsid w:val="002813E1"/>
    <w:rsid w:val="00281599"/>
    <w:rsid w:val="0028179E"/>
    <w:rsid w:val="00283407"/>
    <w:rsid w:val="00284D26"/>
    <w:rsid w:val="00285836"/>
    <w:rsid w:val="002861CA"/>
    <w:rsid w:val="00286F3C"/>
    <w:rsid w:val="00291A95"/>
    <w:rsid w:val="00292057"/>
    <w:rsid w:val="0029264C"/>
    <w:rsid w:val="00292792"/>
    <w:rsid w:val="00292BE1"/>
    <w:rsid w:val="00293171"/>
    <w:rsid w:val="00293E4D"/>
    <w:rsid w:val="002959F3"/>
    <w:rsid w:val="00297B83"/>
    <w:rsid w:val="00297F4C"/>
    <w:rsid w:val="002A08F4"/>
    <w:rsid w:val="002A20AA"/>
    <w:rsid w:val="002A2427"/>
    <w:rsid w:val="002A4F56"/>
    <w:rsid w:val="002A7238"/>
    <w:rsid w:val="002A7357"/>
    <w:rsid w:val="002A7B3E"/>
    <w:rsid w:val="002A7F35"/>
    <w:rsid w:val="002A7FE9"/>
    <w:rsid w:val="002B0754"/>
    <w:rsid w:val="002B19DE"/>
    <w:rsid w:val="002B1C83"/>
    <w:rsid w:val="002B214B"/>
    <w:rsid w:val="002B23B8"/>
    <w:rsid w:val="002B2C9C"/>
    <w:rsid w:val="002B355D"/>
    <w:rsid w:val="002B3621"/>
    <w:rsid w:val="002B5E42"/>
    <w:rsid w:val="002B5EA7"/>
    <w:rsid w:val="002B6A45"/>
    <w:rsid w:val="002B7E41"/>
    <w:rsid w:val="002C3583"/>
    <w:rsid w:val="002C4C1C"/>
    <w:rsid w:val="002C500C"/>
    <w:rsid w:val="002C5CBF"/>
    <w:rsid w:val="002C6B50"/>
    <w:rsid w:val="002C7376"/>
    <w:rsid w:val="002C7784"/>
    <w:rsid w:val="002D070D"/>
    <w:rsid w:val="002D0C34"/>
    <w:rsid w:val="002D0C69"/>
    <w:rsid w:val="002D1B8F"/>
    <w:rsid w:val="002D2C23"/>
    <w:rsid w:val="002D44DB"/>
    <w:rsid w:val="002D4829"/>
    <w:rsid w:val="002D4D48"/>
    <w:rsid w:val="002D5119"/>
    <w:rsid w:val="002D6464"/>
    <w:rsid w:val="002D6D31"/>
    <w:rsid w:val="002D6E5C"/>
    <w:rsid w:val="002D7648"/>
    <w:rsid w:val="002E0DC4"/>
    <w:rsid w:val="002E1AA4"/>
    <w:rsid w:val="002E47C5"/>
    <w:rsid w:val="002E4E07"/>
    <w:rsid w:val="002E6986"/>
    <w:rsid w:val="002E7D48"/>
    <w:rsid w:val="002E7EB2"/>
    <w:rsid w:val="002E7FEC"/>
    <w:rsid w:val="002F03EF"/>
    <w:rsid w:val="002F1E21"/>
    <w:rsid w:val="002F2025"/>
    <w:rsid w:val="002F27BA"/>
    <w:rsid w:val="002F322D"/>
    <w:rsid w:val="002F4595"/>
    <w:rsid w:val="002F59F9"/>
    <w:rsid w:val="002F7281"/>
    <w:rsid w:val="002F739C"/>
    <w:rsid w:val="002F7E4D"/>
    <w:rsid w:val="00301B76"/>
    <w:rsid w:val="00302532"/>
    <w:rsid w:val="00303007"/>
    <w:rsid w:val="00304357"/>
    <w:rsid w:val="0030439F"/>
    <w:rsid w:val="00304D03"/>
    <w:rsid w:val="003052BA"/>
    <w:rsid w:val="003056ED"/>
    <w:rsid w:val="00306777"/>
    <w:rsid w:val="00307D17"/>
    <w:rsid w:val="00311D68"/>
    <w:rsid w:val="0031202B"/>
    <w:rsid w:val="003130E3"/>
    <w:rsid w:val="0031350F"/>
    <w:rsid w:val="003136DD"/>
    <w:rsid w:val="003143DA"/>
    <w:rsid w:val="00314762"/>
    <w:rsid w:val="0031537F"/>
    <w:rsid w:val="00315549"/>
    <w:rsid w:val="00315CA3"/>
    <w:rsid w:val="003164B6"/>
    <w:rsid w:val="00317ACB"/>
    <w:rsid w:val="003204AC"/>
    <w:rsid w:val="0032143F"/>
    <w:rsid w:val="00321946"/>
    <w:rsid w:val="00321CDC"/>
    <w:rsid w:val="00321DCA"/>
    <w:rsid w:val="00321E37"/>
    <w:rsid w:val="0032200C"/>
    <w:rsid w:val="00322550"/>
    <w:rsid w:val="00322A2B"/>
    <w:rsid w:val="0032321F"/>
    <w:rsid w:val="0032551D"/>
    <w:rsid w:val="003262DD"/>
    <w:rsid w:val="0032743B"/>
    <w:rsid w:val="003307B3"/>
    <w:rsid w:val="00330C8D"/>
    <w:rsid w:val="0033126F"/>
    <w:rsid w:val="00332641"/>
    <w:rsid w:val="003336CA"/>
    <w:rsid w:val="003337F4"/>
    <w:rsid w:val="0033404E"/>
    <w:rsid w:val="003348F6"/>
    <w:rsid w:val="00335838"/>
    <w:rsid w:val="00336F85"/>
    <w:rsid w:val="00337E07"/>
    <w:rsid w:val="00337F75"/>
    <w:rsid w:val="00340B59"/>
    <w:rsid w:val="00341DFF"/>
    <w:rsid w:val="0034254B"/>
    <w:rsid w:val="00342993"/>
    <w:rsid w:val="00342F2A"/>
    <w:rsid w:val="00343596"/>
    <w:rsid w:val="00344087"/>
    <w:rsid w:val="00345322"/>
    <w:rsid w:val="00345411"/>
    <w:rsid w:val="00345873"/>
    <w:rsid w:val="0034647C"/>
    <w:rsid w:val="0034670C"/>
    <w:rsid w:val="00346F6F"/>
    <w:rsid w:val="00347745"/>
    <w:rsid w:val="00347BD3"/>
    <w:rsid w:val="00350158"/>
    <w:rsid w:val="00350477"/>
    <w:rsid w:val="003508A5"/>
    <w:rsid w:val="00350E8A"/>
    <w:rsid w:val="00351E4A"/>
    <w:rsid w:val="00352842"/>
    <w:rsid w:val="003534B1"/>
    <w:rsid w:val="003534C8"/>
    <w:rsid w:val="003539C8"/>
    <w:rsid w:val="003540EF"/>
    <w:rsid w:val="00354985"/>
    <w:rsid w:val="00354D0B"/>
    <w:rsid w:val="003552DF"/>
    <w:rsid w:val="003556FF"/>
    <w:rsid w:val="003558FF"/>
    <w:rsid w:val="003567DA"/>
    <w:rsid w:val="0035707C"/>
    <w:rsid w:val="0035743A"/>
    <w:rsid w:val="003600FC"/>
    <w:rsid w:val="0036031F"/>
    <w:rsid w:val="003606D7"/>
    <w:rsid w:val="00360C33"/>
    <w:rsid w:val="00361753"/>
    <w:rsid w:val="003620A7"/>
    <w:rsid w:val="003624D6"/>
    <w:rsid w:val="0036270C"/>
    <w:rsid w:val="00362A0A"/>
    <w:rsid w:val="00362AA1"/>
    <w:rsid w:val="003633EE"/>
    <w:rsid w:val="003635FD"/>
    <w:rsid w:val="00366AFC"/>
    <w:rsid w:val="00366D90"/>
    <w:rsid w:val="00366DC2"/>
    <w:rsid w:val="00367288"/>
    <w:rsid w:val="00367498"/>
    <w:rsid w:val="00370CDE"/>
    <w:rsid w:val="00371BBB"/>
    <w:rsid w:val="00372533"/>
    <w:rsid w:val="003729A1"/>
    <w:rsid w:val="00373986"/>
    <w:rsid w:val="0037502F"/>
    <w:rsid w:val="00375FE2"/>
    <w:rsid w:val="003760F1"/>
    <w:rsid w:val="00376D8E"/>
    <w:rsid w:val="003778CD"/>
    <w:rsid w:val="00377930"/>
    <w:rsid w:val="00381583"/>
    <w:rsid w:val="003817E7"/>
    <w:rsid w:val="00381CEE"/>
    <w:rsid w:val="00382692"/>
    <w:rsid w:val="00382869"/>
    <w:rsid w:val="00382B86"/>
    <w:rsid w:val="00383EE6"/>
    <w:rsid w:val="003844A6"/>
    <w:rsid w:val="003858C6"/>
    <w:rsid w:val="00386FB5"/>
    <w:rsid w:val="0039012B"/>
    <w:rsid w:val="00390716"/>
    <w:rsid w:val="003911C0"/>
    <w:rsid w:val="00391371"/>
    <w:rsid w:val="003915C1"/>
    <w:rsid w:val="00392707"/>
    <w:rsid w:val="00392813"/>
    <w:rsid w:val="00393028"/>
    <w:rsid w:val="003931B5"/>
    <w:rsid w:val="003931F8"/>
    <w:rsid w:val="00393BAC"/>
    <w:rsid w:val="00393CEC"/>
    <w:rsid w:val="00393D53"/>
    <w:rsid w:val="00393ED0"/>
    <w:rsid w:val="00394B7C"/>
    <w:rsid w:val="00395217"/>
    <w:rsid w:val="00395BAB"/>
    <w:rsid w:val="00396487"/>
    <w:rsid w:val="00397082"/>
    <w:rsid w:val="00397629"/>
    <w:rsid w:val="003A0183"/>
    <w:rsid w:val="003A053D"/>
    <w:rsid w:val="003A1D55"/>
    <w:rsid w:val="003A23CD"/>
    <w:rsid w:val="003A2E40"/>
    <w:rsid w:val="003A40FD"/>
    <w:rsid w:val="003A41C2"/>
    <w:rsid w:val="003A4835"/>
    <w:rsid w:val="003A4FBB"/>
    <w:rsid w:val="003A52C6"/>
    <w:rsid w:val="003A5924"/>
    <w:rsid w:val="003A5AC7"/>
    <w:rsid w:val="003A6092"/>
    <w:rsid w:val="003A679C"/>
    <w:rsid w:val="003A73DB"/>
    <w:rsid w:val="003B0739"/>
    <w:rsid w:val="003B0C80"/>
    <w:rsid w:val="003B1052"/>
    <w:rsid w:val="003B1213"/>
    <w:rsid w:val="003B2151"/>
    <w:rsid w:val="003B4A39"/>
    <w:rsid w:val="003B612A"/>
    <w:rsid w:val="003B6256"/>
    <w:rsid w:val="003B6461"/>
    <w:rsid w:val="003B7210"/>
    <w:rsid w:val="003B75C9"/>
    <w:rsid w:val="003C165C"/>
    <w:rsid w:val="003C1795"/>
    <w:rsid w:val="003C3C18"/>
    <w:rsid w:val="003C4D92"/>
    <w:rsid w:val="003C505A"/>
    <w:rsid w:val="003C519E"/>
    <w:rsid w:val="003C6BCD"/>
    <w:rsid w:val="003C7F78"/>
    <w:rsid w:val="003D00EA"/>
    <w:rsid w:val="003D26B4"/>
    <w:rsid w:val="003D3409"/>
    <w:rsid w:val="003D58C0"/>
    <w:rsid w:val="003D597E"/>
    <w:rsid w:val="003D5DE1"/>
    <w:rsid w:val="003D5FE1"/>
    <w:rsid w:val="003D614C"/>
    <w:rsid w:val="003D6658"/>
    <w:rsid w:val="003E0DFE"/>
    <w:rsid w:val="003E1C5E"/>
    <w:rsid w:val="003E3381"/>
    <w:rsid w:val="003E3590"/>
    <w:rsid w:val="003E3B59"/>
    <w:rsid w:val="003E3C56"/>
    <w:rsid w:val="003E5657"/>
    <w:rsid w:val="003E68C9"/>
    <w:rsid w:val="003E6C6C"/>
    <w:rsid w:val="003E7E57"/>
    <w:rsid w:val="003F0AA8"/>
    <w:rsid w:val="003F2384"/>
    <w:rsid w:val="003F3F72"/>
    <w:rsid w:val="003F66B0"/>
    <w:rsid w:val="003F6BD8"/>
    <w:rsid w:val="003F706A"/>
    <w:rsid w:val="003F70C8"/>
    <w:rsid w:val="003F74F1"/>
    <w:rsid w:val="00400851"/>
    <w:rsid w:val="00401D86"/>
    <w:rsid w:val="00402A7B"/>
    <w:rsid w:val="00402D2A"/>
    <w:rsid w:val="00403338"/>
    <w:rsid w:val="00404808"/>
    <w:rsid w:val="00404C91"/>
    <w:rsid w:val="004063A8"/>
    <w:rsid w:val="0041074B"/>
    <w:rsid w:val="00410A83"/>
    <w:rsid w:val="0041148B"/>
    <w:rsid w:val="00411537"/>
    <w:rsid w:val="004117AD"/>
    <w:rsid w:val="004134E6"/>
    <w:rsid w:val="00414795"/>
    <w:rsid w:val="00414B74"/>
    <w:rsid w:val="00416074"/>
    <w:rsid w:val="00416D6A"/>
    <w:rsid w:val="004208D6"/>
    <w:rsid w:val="00421544"/>
    <w:rsid w:val="004219DF"/>
    <w:rsid w:val="004244A5"/>
    <w:rsid w:val="004246D2"/>
    <w:rsid w:val="004247CE"/>
    <w:rsid w:val="004261CD"/>
    <w:rsid w:val="00426DA9"/>
    <w:rsid w:val="00427327"/>
    <w:rsid w:val="0042792E"/>
    <w:rsid w:val="0043051F"/>
    <w:rsid w:val="004311C7"/>
    <w:rsid w:val="00431948"/>
    <w:rsid w:val="00431E69"/>
    <w:rsid w:val="00431F15"/>
    <w:rsid w:val="004322B2"/>
    <w:rsid w:val="004327CA"/>
    <w:rsid w:val="00432A10"/>
    <w:rsid w:val="004330AC"/>
    <w:rsid w:val="00433ED2"/>
    <w:rsid w:val="0043421C"/>
    <w:rsid w:val="00434823"/>
    <w:rsid w:val="00435FB9"/>
    <w:rsid w:val="004366DD"/>
    <w:rsid w:val="00436B8C"/>
    <w:rsid w:val="00437F29"/>
    <w:rsid w:val="00442293"/>
    <w:rsid w:val="00442AD2"/>
    <w:rsid w:val="00443015"/>
    <w:rsid w:val="0044324D"/>
    <w:rsid w:val="00443429"/>
    <w:rsid w:val="0044421B"/>
    <w:rsid w:val="00444BE0"/>
    <w:rsid w:val="00446780"/>
    <w:rsid w:val="00447198"/>
    <w:rsid w:val="004471E6"/>
    <w:rsid w:val="004513A5"/>
    <w:rsid w:val="00452388"/>
    <w:rsid w:val="0045271E"/>
    <w:rsid w:val="00453032"/>
    <w:rsid w:val="00453267"/>
    <w:rsid w:val="00454006"/>
    <w:rsid w:val="00454036"/>
    <w:rsid w:val="004548FD"/>
    <w:rsid w:val="00455382"/>
    <w:rsid w:val="00455F9D"/>
    <w:rsid w:val="00456A29"/>
    <w:rsid w:val="004573E4"/>
    <w:rsid w:val="004611E9"/>
    <w:rsid w:val="004614C7"/>
    <w:rsid w:val="00461959"/>
    <w:rsid w:val="00464018"/>
    <w:rsid w:val="004640B4"/>
    <w:rsid w:val="00464A0A"/>
    <w:rsid w:val="00464B60"/>
    <w:rsid w:val="00464D38"/>
    <w:rsid w:val="0046568A"/>
    <w:rsid w:val="004658A3"/>
    <w:rsid w:val="00466112"/>
    <w:rsid w:val="0046792E"/>
    <w:rsid w:val="0047100F"/>
    <w:rsid w:val="004714D7"/>
    <w:rsid w:val="00471CBD"/>
    <w:rsid w:val="00473511"/>
    <w:rsid w:val="00474158"/>
    <w:rsid w:val="00474C74"/>
    <w:rsid w:val="004753FE"/>
    <w:rsid w:val="004774D5"/>
    <w:rsid w:val="0048024D"/>
    <w:rsid w:val="00481A9A"/>
    <w:rsid w:val="00482691"/>
    <w:rsid w:val="00484152"/>
    <w:rsid w:val="00484FA6"/>
    <w:rsid w:val="00484FA7"/>
    <w:rsid w:val="00485D6C"/>
    <w:rsid w:val="00486BAB"/>
    <w:rsid w:val="00487161"/>
    <w:rsid w:val="00490C8A"/>
    <w:rsid w:val="00490F4B"/>
    <w:rsid w:val="00492FC6"/>
    <w:rsid w:val="00493BF9"/>
    <w:rsid w:val="00493E6A"/>
    <w:rsid w:val="00493EBC"/>
    <w:rsid w:val="0049673E"/>
    <w:rsid w:val="004A1858"/>
    <w:rsid w:val="004A360F"/>
    <w:rsid w:val="004A4467"/>
    <w:rsid w:val="004A4DF6"/>
    <w:rsid w:val="004A6859"/>
    <w:rsid w:val="004B1B24"/>
    <w:rsid w:val="004B315B"/>
    <w:rsid w:val="004B3246"/>
    <w:rsid w:val="004B36B6"/>
    <w:rsid w:val="004B5FF7"/>
    <w:rsid w:val="004B62D4"/>
    <w:rsid w:val="004B6415"/>
    <w:rsid w:val="004C1912"/>
    <w:rsid w:val="004C1A2E"/>
    <w:rsid w:val="004C48A6"/>
    <w:rsid w:val="004C4D15"/>
    <w:rsid w:val="004C50EC"/>
    <w:rsid w:val="004C5680"/>
    <w:rsid w:val="004C56D5"/>
    <w:rsid w:val="004C5E14"/>
    <w:rsid w:val="004D0043"/>
    <w:rsid w:val="004D01B4"/>
    <w:rsid w:val="004D071D"/>
    <w:rsid w:val="004D0A54"/>
    <w:rsid w:val="004D0E18"/>
    <w:rsid w:val="004D0FD3"/>
    <w:rsid w:val="004D138F"/>
    <w:rsid w:val="004D2049"/>
    <w:rsid w:val="004D2557"/>
    <w:rsid w:val="004D35F2"/>
    <w:rsid w:val="004D3EB9"/>
    <w:rsid w:val="004D4950"/>
    <w:rsid w:val="004D58DA"/>
    <w:rsid w:val="004D6D2C"/>
    <w:rsid w:val="004E208D"/>
    <w:rsid w:val="004E25B5"/>
    <w:rsid w:val="004E349E"/>
    <w:rsid w:val="004E36EC"/>
    <w:rsid w:val="004E49A8"/>
    <w:rsid w:val="004E524C"/>
    <w:rsid w:val="004E53A8"/>
    <w:rsid w:val="004E5514"/>
    <w:rsid w:val="004E557D"/>
    <w:rsid w:val="004E7389"/>
    <w:rsid w:val="004E7976"/>
    <w:rsid w:val="004F03A6"/>
    <w:rsid w:val="004F079E"/>
    <w:rsid w:val="004F2409"/>
    <w:rsid w:val="004F4543"/>
    <w:rsid w:val="004F493A"/>
    <w:rsid w:val="004F5584"/>
    <w:rsid w:val="004F6B6F"/>
    <w:rsid w:val="004F79D0"/>
    <w:rsid w:val="005005DD"/>
    <w:rsid w:val="00500A7B"/>
    <w:rsid w:val="00501BF7"/>
    <w:rsid w:val="00502CF0"/>
    <w:rsid w:val="00503786"/>
    <w:rsid w:val="00503C9C"/>
    <w:rsid w:val="00503F34"/>
    <w:rsid w:val="00505074"/>
    <w:rsid w:val="0050589C"/>
    <w:rsid w:val="00505A0F"/>
    <w:rsid w:val="005060E4"/>
    <w:rsid w:val="00506B98"/>
    <w:rsid w:val="00507648"/>
    <w:rsid w:val="00507748"/>
    <w:rsid w:val="00507D27"/>
    <w:rsid w:val="005100BF"/>
    <w:rsid w:val="00510BF9"/>
    <w:rsid w:val="00510ED6"/>
    <w:rsid w:val="005120A5"/>
    <w:rsid w:val="00512ADD"/>
    <w:rsid w:val="00513F1B"/>
    <w:rsid w:val="00515353"/>
    <w:rsid w:val="005157FB"/>
    <w:rsid w:val="005166A5"/>
    <w:rsid w:val="005173CC"/>
    <w:rsid w:val="00517A9D"/>
    <w:rsid w:val="00517E4D"/>
    <w:rsid w:val="00517EC4"/>
    <w:rsid w:val="0052043D"/>
    <w:rsid w:val="00520534"/>
    <w:rsid w:val="005208CD"/>
    <w:rsid w:val="00522E7E"/>
    <w:rsid w:val="005235EE"/>
    <w:rsid w:val="00523642"/>
    <w:rsid w:val="005236E2"/>
    <w:rsid w:val="005260DE"/>
    <w:rsid w:val="005262CD"/>
    <w:rsid w:val="00526876"/>
    <w:rsid w:val="00526AAA"/>
    <w:rsid w:val="00526DA8"/>
    <w:rsid w:val="005275D8"/>
    <w:rsid w:val="005303BE"/>
    <w:rsid w:val="0053152B"/>
    <w:rsid w:val="00531BD6"/>
    <w:rsid w:val="005321F7"/>
    <w:rsid w:val="005333F7"/>
    <w:rsid w:val="005337C7"/>
    <w:rsid w:val="00535313"/>
    <w:rsid w:val="00535658"/>
    <w:rsid w:val="00536CF8"/>
    <w:rsid w:val="0054050C"/>
    <w:rsid w:val="00540955"/>
    <w:rsid w:val="0054111A"/>
    <w:rsid w:val="00541A7A"/>
    <w:rsid w:val="00541EF3"/>
    <w:rsid w:val="00542300"/>
    <w:rsid w:val="00543063"/>
    <w:rsid w:val="00544278"/>
    <w:rsid w:val="0054435A"/>
    <w:rsid w:val="00544DE4"/>
    <w:rsid w:val="00547719"/>
    <w:rsid w:val="00547F8C"/>
    <w:rsid w:val="00550825"/>
    <w:rsid w:val="00550B98"/>
    <w:rsid w:val="005516C0"/>
    <w:rsid w:val="00552554"/>
    <w:rsid w:val="00552623"/>
    <w:rsid w:val="00552AF4"/>
    <w:rsid w:val="00554474"/>
    <w:rsid w:val="005546FB"/>
    <w:rsid w:val="00555920"/>
    <w:rsid w:val="00555D6D"/>
    <w:rsid w:val="00556531"/>
    <w:rsid w:val="0056020A"/>
    <w:rsid w:val="005609F6"/>
    <w:rsid w:val="00560B29"/>
    <w:rsid w:val="00560E5B"/>
    <w:rsid w:val="00561304"/>
    <w:rsid w:val="00561D4D"/>
    <w:rsid w:val="00564150"/>
    <w:rsid w:val="005643D2"/>
    <w:rsid w:val="005645A1"/>
    <w:rsid w:val="00567483"/>
    <w:rsid w:val="00571655"/>
    <w:rsid w:val="0057362D"/>
    <w:rsid w:val="00573C5A"/>
    <w:rsid w:val="00573E36"/>
    <w:rsid w:val="00573EA7"/>
    <w:rsid w:val="00574101"/>
    <w:rsid w:val="0057492E"/>
    <w:rsid w:val="005758DB"/>
    <w:rsid w:val="00575DDB"/>
    <w:rsid w:val="00575E80"/>
    <w:rsid w:val="00576426"/>
    <w:rsid w:val="005765BC"/>
    <w:rsid w:val="00577BE0"/>
    <w:rsid w:val="00577BF1"/>
    <w:rsid w:val="005802E8"/>
    <w:rsid w:val="0058037D"/>
    <w:rsid w:val="005815AC"/>
    <w:rsid w:val="00581A52"/>
    <w:rsid w:val="00581B83"/>
    <w:rsid w:val="00581F90"/>
    <w:rsid w:val="005821CF"/>
    <w:rsid w:val="00582A9B"/>
    <w:rsid w:val="0058327B"/>
    <w:rsid w:val="00584F64"/>
    <w:rsid w:val="00585430"/>
    <w:rsid w:val="00585609"/>
    <w:rsid w:val="00586A0F"/>
    <w:rsid w:val="00586DE4"/>
    <w:rsid w:val="00590BB9"/>
    <w:rsid w:val="00591723"/>
    <w:rsid w:val="00591747"/>
    <w:rsid w:val="005927C8"/>
    <w:rsid w:val="00595F0F"/>
    <w:rsid w:val="00597520"/>
    <w:rsid w:val="00597846"/>
    <w:rsid w:val="00597F39"/>
    <w:rsid w:val="00597FAA"/>
    <w:rsid w:val="005A07D0"/>
    <w:rsid w:val="005A11B4"/>
    <w:rsid w:val="005A3F21"/>
    <w:rsid w:val="005A4366"/>
    <w:rsid w:val="005A4531"/>
    <w:rsid w:val="005A4FA4"/>
    <w:rsid w:val="005A5480"/>
    <w:rsid w:val="005A61A2"/>
    <w:rsid w:val="005A6332"/>
    <w:rsid w:val="005B0096"/>
    <w:rsid w:val="005B2BCD"/>
    <w:rsid w:val="005B3EC7"/>
    <w:rsid w:val="005B5AA4"/>
    <w:rsid w:val="005B7C63"/>
    <w:rsid w:val="005B7E1F"/>
    <w:rsid w:val="005C08F5"/>
    <w:rsid w:val="005C11EF"/>
    <w:rsid w:val="005C2838"/>
    <w:rsid w:val="005C2B93"/>
    <w:rsid w:val="005C5155"/>
    <w:rsid w:val="005C5885"/>
    <w:rsid w:val="005C58B0"/>
    <w:rsid w:val="005C5B8D"/>
    <w:rsid w:val="005C5FEC"/>
    <w:rsid w:val="005C5FF6"/>
    <w:rsid w:val="005C7564"/>
    <w:rsid w:val="005C7AB0"/>
    <w:rsid w:val="005D18EF"/>
    <w:rsid w:val="005D3EA3"/>
    <w:rsid w:val="005D62F4"/>
    <w:rsid w:val="005D727F"/>
    <w:rsid w:val="005E26E9"/>
    <w:rsid w:val="005E2CBC"/>
    <w:rsid w:val="005E434C"/>
    <w:rsid w:val="005E50BE"/>
    <w:rsid w:val="005E594E"/>
    <w:rsid w:val="005E6FD8"/>
    <w:rsid w:val="005E742D"/>
    <w:rsid w:val="005E7F8C"/>
    <w:rsid w:val="005F03DB"/>
    <w:rsid w:val="005F2E0D"/>
    <w:rsid w:val="005F4A34"/>
    <w:rsid w:val="005F5088"/>
    <w:rsid w:val="005F5D12"/>
    <w:rsid w:val="005F734E"/>
    <w:rsid w:val="005F7A83"/>
    <w:rsid w:val="00600D72"/>
    <w:rsid w:val="006012B1"/>
    <w:rsid w:val="0060170C"/>
    <w:rsid w:val="00601FC2"/>
    <w:rsid w:val="00603124"/>
    <w:rsid w:val="006035E2"/>
    <w:rsid w:val="00603862"/>
    <w:rsid w:val="00604003"/>
    <w:rsid w:val="00605513"/>
    <w:rsid w:val="00605E53"/>
    <w:rsid w:val="00606114"/>
    <w:rsid w:val="006072B2"/>
    <w:rsid w:val="0060751B"/>
    <w:rsid w:val="006101CA"/>
    <w:rsid w:val="00610559"/>
    <w:rsid w:val="00612119"/>
    <w:rsid w:val="00612535"/>
    <w:rsid w:val="0061318F"/>
    <w:rsid w:val="00613E60"/>
    <w:rsid w:val="006142A8"/>
    <w:rsid w:val="00614B52"/>
    <w:rsid w:val="00614B81"/>
    <w:rsid w:val="00615455"/>
    <w:rsid w:val="006164D5"/>
    <w:rsid w:val="00617A38"/>
    <w:rsid w:val="00620CC8"/>
    <w:rsid w:val="00621CE9"/>
    <w:rsid w:val="006230BC"/>
    <w:rsid w:val="006246CA"/>
    <w:rsid w:val="00624888"/>
    <w:rsid w:val="00624A06"/>
    <w:rsid w:val="0062569C"/>
    <w:rsid w:val="00626EE3"/>
    <w:rsid w:val="0062752D"/>
    <w:rsid w:val="006306C5"/>
    <w:rsid w:val="00630C68"/>
    <w:rsid w:val="00630F56"/>
    <w:rsid w:val="00631896"/>
    <w:rsid w:val="006319CF"/>
    <w:rsid w:val="00632043"/>
    <w:rsid w:val="006328B4"/>
    <w:rsid w:val="00633A96"/>
    <w:rsid w:val="0063463B"/>
    <w:rsid w:val="006348D4"/>
    <w:rsid w:val="00634EC9"/>
    <w:rsid w:val="0063590F"/>
    <w:rsid w:val="006359F0"/>
    <w:rsid w:val="00636071"/>
    <w:rsid w:val="006361E4"/>
    <w:rsid w:val="006361F3"/>
    <w:rsid w:val="00636D3D"/>
    <w:rsid w:val="00637D67"/>
    <w:rsid w:val="00637FF3"/>
    <w:rsid w:val="006403E1"/>
    <w:rsid w:val="00640A99"/>
    <w:rsid w:val="00640CE1"/>
    <w:rsid w:val="00641357"/>
    <w:rsid w:val="00642195"/>
    <w:rsid w:val="006429CF"/>
    <w:rsid w:val="00643B0E"/>
    <w:rsid w:val="006443E0"/>
    <w:rsid w:val="0064582C"/>
    <w:rsid w:val="006458B4"/>
    <w:rsid w:val="00646360"/>
    <w:rsid w:val="0064690A"/>
    <w:rsid w:val="00646EF7"/>
    <w:rsid w:val="006500FF"/>
    <w:rsid w:val="00652498"/>
    <w:rsid w:val="00653005"/>
    <w:rsid w:val="0065316E"/>
    <w:rsid w:val="006537D0"/>
    <w:rsid w:val="00653AA1"/>
    <w:rsid w:val="006546F0"/>
    <w:rsid w:val="0065532A"/>
    <w:rsid w:val="00655D1C"/>
    <w:rsid w:val="00655F4C"/>
    <w:rsid w:val="006574AC"/>
    <w:rsid w:val="00657631"/>
    <w:rsid w:val="00660423"/>
    <w:rsid w:val="00661017"/>
    <w:rsid w:val="00661D84"/>
    <w:rsid w:val="00662479"/>
    <w:rsid w:val="00662E4D"/>
    <w:rsid w:val="00662F53"/>
    <w:rsid w:val="00663922"/>
    <w:rsid w:val="00663AFF"/>
    <w:rsid w:val="00666216"/>
    <w:rsid w:val="00666281"/>
    <w:rsid w:val="00670F2B"/>
    <w:rsid w:val="006710D3"/>
    <w:rsid w:val="00672009"/>
    <w:rsid w:val="00672197"/>
    <w:rsid w:val="00672AF2"/>
    <w:rsid w:val="00672B5D"/>
    <w:rsid w:val="006730BA"/>
    <w:rsid w:val="00673BAF"/>
    <w:rsid w:val="00674351"/>
    <w:rsid w:val="0067560C"/>
    <w:rsid w:val="006764C2"/>
    <w:rsid w:val="00676CA8"/>
    <w:rsid w:val="0068105C"/>
    <w:rsid w:val="00681A72"/>
    <w:rsid w:val="0068223B"/>
    <w:rsid w:val="00682283"/>
    <w:rsid w:val="00682D3A"/>
    <w:rsid w:val="00683397"/>
    <w:rsid w:val="006837FE"/>
    <w:rsid w:val="00683BF2"/>
    <w:rsid w:val="00685762"/>
    <w:rsid w:val="006858D7"/>
    <w:rsid w:val="0068651E"/>
    <w:rsid w:val="0068652B"/>
    <w:rsid w:val="006871A4"/>
    <w:rsid w:val="0068757C"/>
    <w:rsid w:val="00687BCE"/>
    <w:rsid w:val="00690483"/>
    <w:rsid w:val="006909F4"/>
    <w:rsid w:val="0069132B"/>
    <w:rsid w:val="00691588"/>
    <w:rsid w:val="00692E4C"/>
    <w:rsid w:val="00693E30"/>
    <w:rsid w:val="00694279"/>
    <w:rsid w:val="00695B80"/>
    <w:rsid w:val="00695F7D"/>
    <w:rsid w:val="00696D60"/>
    <w:rsid w:val="006A02A3"/>
    <w:rsid w:val="006A059E"/>
    <w:rsid w:val="006A3A96"/>
    <w:rsid w:val="006A78C4"/>
    <w:rsid w:val="006B0FF9"/>
    <w:rsid w:val="006B2FFE"/>
    <w:rsid w:val="006B3425"/>
    <w:rsid w:val="006B3731"/>
    <w:rsid w:val="006B40F4"/>
    <w:rsid w:val="006B4D41"/>
    <w:rsid w:val="006B4EA3"/>
    <w:rsid w:val="006B6884"/>
    <w:rsid w:val="006B7245"/>
    <w:rsid w:val="006B763E"/>
    <w:rsid w:val="006C05E6"/>
    <w:rsid w:val="006C1194"/>
    <w:rsid w:val="006C19CA"/>
    <w:rsid w:val="006C1A12"/>
    <w:rsid w:val="006C24C7"/>
    <w:rsid w:val="006C2ABE"/>
    <w:rsid w:val="006C31E7"/>
    <w:rsid w:val="006C458F"/>
    <w:rsid w:val="006C4E5F"/>
    <w:rsid w:val="006C51A5"/>
    <w:rsid w:val="006C5716"/>
    <w:rsid w:val="006C5D0A"/>
    <w:rsid w:val="006C72FC"/>
    <w:rsid w:val="006C7499"/>
    <w:rsid w:val="006C7A73"/>
    <w:rsid w:val="006D2622"/>
    <w:rsid w:val="006D3134"/>
    <w:rsid w:val="006D37CF"/>
    <w:rsid w:val="006D60B0"/>
    <w:rsid w:val="006D7693"/>
    <w:rsid w:val="006E1137"/>
    <w:rsid w:val="006E17DA"/>
    <w:rsid w:val="006E19DD"/>
    <w:rsid w:val="006E321D"/>
    <w:rsid w:val="006E322A"/>
    <w:rsid w:val="006E3716"/>
    <w:rsid w:val="006E39CC"/>
    <w:rsid w:val="006E4D4A"/>
    <w:rsid w:val="006E6A91"/>
    <w:rsid w:val="006E731F"/>
    <w:rsid w:val="006F058B"/>
    <w:rsid w:val="006F0ADE"/>
    <w:rsid w:val="006F0E05"/>
    <w:rsid w:val="006F211F"/>
    <w:rsid w:val="006F27A6"/>
    <w:rsid w:val="006F2F91"/>
    <w:rsid w:val="006F6091"/>
    <w:rsid w:val="006F69EC"/>
    <w:rsid w:val="006F7032"/>
    <w:rsid w:val="006F79E0"/>
    <w:rsid w:val="007013EF"/>
    <w:rsid w:val="00701761"/>
    <w:rsid w:val="00702A0E"/>
    <w:rsid w:val="00703897"/>
    <w:rsid w:val="00704644"/>
    <w:rsid w:val="00704A96"/>
    <w:rsid w:val="00704FB2"/>
    <w:rsid w:val="00705035"/>
    <w:rsid w:val="00705AA9"/>
    <w:rsid w:val="00706B1B"/>
    <w:rsid w:val="00707E39"/>
    <w:rsid w:val="00710017"/>
    <w:rsid w:val="00710433"/>
    <w:rsid w:val="00710A6D"/>
    <w:rsid w:val="00711BF5"/>
    <w:rsid w:val="00711FDB"/>
    <w:rsid w:val="0071223A"/>
    <w:rsid w:val="00712379"/>
    <w:rsid w:val="00712963"/>
    <w:rsid w:val="00713142"/>
    <w:rsid w:val="00713533"/>
    <w:rsid w:val="00713E03"/>
    <w:rsid w:val="00714DE1"/>
    <w:rsid w:val="00714E50"/>
    <w:rsid w:val="00714F5B"/>
    <w:rsid w:val="00715411"/>
    <w:rsid w:val="007157A5"/>
    <w:rsid w:val="0071600A"/>
    <w:rsid w:val="00716688"/>
    <w:rsid w:val="007167F8"/>
    <w:rsid w:val="00716CD3"/>
    <w:rsid w:val="00717477"/>
    <w:rsid w:val="00717C85"/>
    <w:rsid w:val="00717F53"/>
    <w:rsid w:val="007211DB"/>
    <w:rsid w:val="007218C2"/>
    <w:rsid w:val="00722440"/>
    <w:rsid w:val="00722839"/>
    <w:rsid w:val="00722A21"/>
    <w:rsid w:val="00722C10"/>
    <w:rsid w:val="0072305F"/>
    <w:rsid w:val="0072327D"/>
    <w:rsid w:val="00723F93"/>
    <w:rsid w:val="00724281"/>
    <w:rsid w:val="00726B25"/>
    <w:rsid w:val="00727D7F"/>
    <w:rsid w:val="0073063F"/>
    <w:rsid w:val="007309B9"/>
    <w:rsid w:val="00730D23"/>
    <w:rsid w:val="00731DA5"/>
    <w:rsid w:val="0073245D"/>
    <w:rsid w:val="00732CBB"/>
    <w:rsid w:val="00732FC2"/>
    <w:rsid w:val="00733B30"/>
    <w:rsid w:val="007348D7"/>
    <w:rsid w:val="00735672"/>
    <w:rsid w:val="00735E8F"/>
    <w:rsid w:val="0073681C"/>
    <w:rsid w:val="00736946"/>
    <w:rsid w:val="00740340"/>
    <w:rsid w:val="00740FEE"/>
    <w:rsid w:val="00741901"/>
    <w:rsid w:val="00741BA4"/>
    <w:rsid w:val="00741C54"/>
    <w:rsid w:val="00743F77"/>
    <w:rsid w:val="00744236"/>
    <w:rsid w:val="0074580A"/>
    <w:rsid w:val="007469BE"/>
    <w:rsid w:val="00746DE0"/>
    <w:rsid w:val="0075005B"/>
    <w:rsid w:val="007500D4"/>
    <w:rsid w:val="007507C0"/>
    <w:rsid w:val="007516D5"/>
    <w:rsid w:val="007517D6"/>
    <w:rsid w:val="00753836"/>
    <w:rsid w:val="00755A1C"/>
    <w:rsid w:val="00755E9B"/>
    <w:rsid w:val="00756C54"/>
    <w:rsid w:val="00756C6D"/>
    <w:rsid w:val="00757468"/>
    <w:rsid w:val="00757A2E"/>
    <w:rsid w:val="007625F7"/>
    <w:rsid w:val="00764B5D"/>
    <w:rsid w:val="00766321"/>
    <w:rsid w:val="007665FC"/>
    <w:rsid w:val="00770127"/>
    <w:rsid w:val="007702D1"/>
    <w:rsid w:val="00771E97"/>
    <w:rsid w:val="00772607"/>
    <w:rsid w:val="00772722"/>
    <w:rsid w:val="007732F3"/>
    <w:rsid w:val="0077345B"/>
    <w:rsid w:val="00773DB0"/>
    <w:rsid w:val="007740D5"/>
    <w:rsid w:val="00774110"/>
    <w:rsid w:val="00774160"/>
    <w:rsid w:val="00774A38"/>
    <w:rsid w:val="007752AE"/>
    <w:rsid w:val="0077610D"/>
    <w:rsid w:val="007768AA"/>
    <w:rsid w:val="007800ED"/>
    <w:rsid w:val="0078563E"/>
    <w:rsid w:val="0079001C"/>
    <w:rsid w:val="0079082F"/>
    <w:rsid w:val="00790E1A"/>
    <w:rsid w:val="007926AC"/>
    <w:rsid w:val="00792D00"/>
    <w:rsid w:val="0079393D"/>
    <w:rsid w:val="00793A69"/>
    <w:rsid w:val="0079591E"/>
    <w:rsid w:val="0079598C"/>
    <w:rsid w:val="00795E84"/>
    <w:rsid w:val="007A0868"/>
    <w:rsid w:val="007A1E03"/>
    <w:rsid w:val="007A2BFA"/>
    <w:rsid w:val="007A346D"/>
    <w:rsid w:val="007A39DA"/>
    <w:rsid w:val="007A4076"/>
    <w:rsid w:val="007A42F7"/>
    <w:rsid w:val="007A4B2D"/>
    <w:rsid w:val="007A4B7B"/>
    <w:rsid w:val="007A4E31"/>
    <w:rsid w:val="007A52C0"/>
    <w:rsid w:val="007A542A"/>
    <w:rsid w:val="007A5B27"/>
    <w:rsid w:val="007A6D1E"/>
    <w:rsid w:val="007A76A2"/>
    <w:rsid w:val="007B09FD"/>
    <w:rsid w:val="007B0A3A"/>
    <w:rsid w:val="007B0FFB"/>
    <w:rsid w:val="007B1052"/>
    <w:rsid w:val="007B1BD9"/>
    <w:rsid w:val="007B2816"/>
    <w:rsid w:val="007B399B"/>
    <w:rsid w:val="007B3BC2"/>
    <w:rsid w:val="007B3DCB"/>
    <w:rsid w:val="007B528E"/>
    <w:rsid w:val="007B54CD"/>
    <w:rsid w:val="007B5755"/>
    <w:rsid w:val="007B6662"/>
    <w:rsid w:val="007B75B2"/>
    <w:rsid w:val="007B77B8"/>
    <w:rsid w:val="007B7B00"/>
    <w:rsid w:val="007C5912"/>
    <w:rsid w:val="007C659D"/>
    <w:rsid w:val="007D23C9"/>
    <w:rsid w:val="007D250B"/>
    <w:rsid w:val="007D2770"/>
    <w:rsid w:val="007D4088"/>
    <w:rsid w:val="007D44AC"/>
    <w:rsid w:val="007D52EA"/>
    <w:rsid w:val="007D5492"/>
    <w:rsid w:val="007D5701"/>
    <w:rsid w:val="007D5A65"/>
    <w:rsid w:val="007D5E8B"/>
    <w:rsid w:val="007D78EB"/>
    <w:rsid w:val="007E0261"/>
    <w:rsid w:val="007E0BC3"/>
    <w:rsid w:val="007E1899"/>
    <w:rsid w:val="007E20FE"/>
    <w:rsid w:val="007E21E7"/>
    <w:rsid w:val="007E2EFA"/>
    <w:rsid w:val="007E442F"/>
    <w:rsid w:val="007E55C8"/>
    <w:rsid w:val="007E5BE4"/>
    <w:rsid w:val="007E5F35"/>
    <w:rsid w:val="007E65B2"/>
    <w:rsid w:val="007E6AE6"/>
    <w:rsid w:val="007E77EC"/>
    <w:rsid w:val="007F0549"/>
    <w:rsid w:val="007F0C42"/>
    <w:rsid w:val="007F1E32"/>
    <w:rsid w:val="007F1E8D"/>
    <w:rsid w:val="007F2B37"/>
    <w:rsid w:val="007F5B89"/>
    <w:rsid w:val="007F5BC5"/>
    <w:rsid w:val="007F6088"/>
    <w:rsid w:val="007F6A64"/>
    <w:rsid w:val="007F7070"/>
    <w:rsid w:val="007F7CB1"/>
    <w:rsid w:val="008012B6"/>
    <w:rsid w:val="00801D56"/>
    <w:rsid w:val="0080224E"/>
    <w:rsid w:val="0080238C"/>
    <w:rsid w:val="00803695"/>
    <w:rsid w:val="00803830"/>
    <w:rsid w:val="00803A8B"/>
    <w:rsid w:val="00803E76"/>
    <w:rsid w:val="00804973"/>
    <w:rsid w:val="008070DF"/>
    <w:rsid w:val="00807C95"/>
    <w:rsid w:val="00807EE2"/>
    <w:rsid w:val="00810096"/>
    <w:rsid w:val="00811698"/>
    <w:rsid w:val="00812061"/>
    <w:rsid w:val="008134D0"/>
    <w:rsid w:val="00813D32"/>
    <w:rsid w:val="00814699"/>
    <w:rsid w:val="00814CCF"/>
    <w:rsid w:val="008153DF"/>
    <w:rsid w:val="00817668"/>
    <w:rsid w:val="00817D85"/>
    <w:rsid w:val="008203AF"/>
    <w:rsid w:val="0082046F"/>
    <w:rsid w:val="0082149E"/>
    <w:rsid w:val="008220C0"/>
    <w:rsid w:val="008223D0"/>
    <w:rsid w:val="00822506"/>
    <w:rsid w:val="0082268B"/>
    <w:rsid w:val="00824C61"/>
    <w:rsid w:val="0082598B"/>
    <w:rsid w:val="008261C9"/>
    <w:rsid w:val="00827009"/>
    <w:rsid w:val="008275BE"/>
    <w:rsid w:val="00827673"/>
    <w:rsid w:val="00827B99"/>
    <w:rsid w:val="00827FBE"/>
    <w:rsid w:val="00830924"/>
    <w:rsid w:val="00831BC6"/>
    <w:rsid w:val="00831D5C"/>
    <w:rsid w:val="008320A5"/>
    <w:rsid w:val="00832773"/>
    <w:rsid w:val="00832A8A"/>
    <w:rsid w:val="00832D43"/>
    <w:rsid w:val="008342B1"/>
    <w:rsid w:val="00834A28"/>
    <w:rsid w:val="00836291"/>
    <w:rsid w:val="00836A1F"/>
    <w:rsid w:val="00837A7A"/>
    <w:rsid w:val="00837CA6"/>
    <w:rsid w:val="00837DE3"/>
    <w:rsid w:val="00840408"/>
    <w:rsid w:val="00840688"/>
    <w:rsid w:val="00840AA8"/>
    <w:rsid w:val="0084116D"/>
    <w:rsid w:val="00841573"/>
    <w:rsid w:val="00841FF1"/>
    <w:rsid w:val="0084339C"/>
    <w:rsid w:val="0084375D"/>
    <w:rsid w:val="008438F9"/>
    <w:rsid w:val="0084436F"/>
    <w:rsid w:val="00846806"/>
    <w:rsid w:val="00846C67"/>
    <w:rsid w:val="00847914"/>
    <w:rsid w:val="0084796F"/>
    <w:rsid w:val="00853186"/>
    <w:rsid w:val="00854AFE"/>
    <w:rsid w:val="00854B0A"/>
    <w:rsid w:val="008552A8"/>
    <w:rsid w:val="008554B2"/>
    <w:rsid w:val="00855737"/>
    <w:rsid w:val="008558AC"/>
    <w:rsid w:val="00855BF5"/>
    <w:rsid w:val="008560BA"/>
    <w:rsid w:val="00856912"/>
    <w:rsid w:val="00857C23"/>
    <w:rsid w:val="00860998"/>
    <w:rsid w:val="00860E59"/>
    <w:rsid w:val="00863329"/>
    <w:rsid w:val="00863775"/>
    <w:rsid w:val="0086510F"/>
    <w:rsid w:val="00865E42"/>
    <w:rsid w:val="008663CD"/>
    <w:rsid w:val="00866683"/>
    <w:rsid w:val="00866F03"/>
    <w:rsid w:val="00867BF4"/>
    <w:rsid w:val="00870D78"/>
    <w:rsid w:val="008721E6"/>
    <w:rsid w:val="0087223D"/>
    <w:rsid w:val="00872B12"/>
    <w:rsid w:val="0087360C"/>
    <w:rsid w:val="008752E7"/>
    <w:rsid w:val="00875338"/>
    <w:rsid w:val="00875CFC"/>
    <w:rsid w:val="00876DC3"/>
    <w:rsid w:val="00876F65"/>
    <w:rsid w:val="00877AD8"/>
    <w:rsid w:val="00877D86"/>
    <w:rsid w:val="00877DB9"/>
    <w:rsid w:val="008806AD"/>
    <w:rsid w:val="008809D0"/>
    <w:rsid w:val="00880D97"/>
    <w:rsid w:val="00880F54"/>
    <w:rsid w:val="00881857"/>
    <w:rsid w:val="00881CF4"/>
    <w:rsid w:val="0088386A"/>
    <w:rsid w:val="00884A22"/>
    <w:rsid w:val="00884F84"/>
    <w:rsid w:val="00885488"/>
    <w:rsid w:val="008877FE"/>
    <w:rsid w:val="00887861"/>
    <w:rsid w:val="00890B9A"/>
    <w:rsid w:val="00890D47"/>
    <w:rsid w:val="00891259"/>
    <w:rsid w:val="0089174E"/>
    <w:rsid w:val="00891CF5"/>
    <w:rsid w:val="0089246D"/>
    <w:rsid w:val="0089489A"/>
    <w:rsid w:val="00895176"/>
    <w:rsid w:val="008952F3"/>
    <w:rsid w:val="008957B4"/>
    <w:rsid w:val="0089674C"/>
    <w:rsid w:val="00896C73"/>
    <w:rsid w:val="00896EDE"/>
    <w:rsid w:val="00897062"/>
    <w:rsid w:val="008975C0"/>
    <w:rsid w:val="008A0643"/>
    <w:rsid w:val="008A084F"/>
    <w:rsid w:val="008A100C"/>
    <w:rsid w:val="008A2485"/>
    <w:rsid w:val="008A24B7"/>
    <w:rsid w:val="008A3E39"/>
    <w:rsid w:val="008A52BA"/>
    <w:rsid w:val="008A6747"/>
    <w:rsid w:val="008B0AF4"/>
    <w:rsid w:val="008B121C"/>
    <w:rsid w:val="008B12C9"/>
    <w:rsid w:val="008B142C"/>
    <w:rsid w:val="008B1ADE"/>
    <w:rsid w:val="008B2E89"/>
    <w:rsid w:val="008B3B2E"/>
    <w:rsid w:val="008B3EEF"/>
    <w:rsid w:val="008B3FE0"/>
    <w:rsid w:val="008B4747"/>
    <w:rsid w:val="008B619C"/>
    <w:rsid w:val="008B66E6"/>
    <w:rsid w:val="008B7864"/>
    <w:rsid w:val="008B7C7E"/>
    <w:rsid w:val="008C0271"/>
    <w:rsid w:val="008C1011"/>
    <w:rsid w:val="008C17AD"/>
    <w:rsid w:val="008C24C7"/>
    <w:rsid w:val="008C3440"/>
    <w:rsid w:val="008C3CD3"/>
    <w:rsid w:val="008C6CD5"/>
    <w:rsid w:val="008C7BF8"/>
    <w:rsid w:val="008D1044"/>
    <w:rsid w:val="008D1D6E"/>
    <w:rsid w:val="008D27BB"/>
    <w:rsid w:val="008D2ADB"/>
    <w:rsid w:val="008D41E4"/>
    <w:rsid w:val="008D5545"/>
    <w:rsid w:val="008E0422"/>
    <w:rsid w:val="008E0819"/>
    <w:rsid w:val="008E08A3"/>
    <w:rsid w:val="008E2835"/>
    <w:rsid w:val="008E47F2"/>
    <w:rsid w:val="008E5758"/>
    <w:rsid w:val="008E7321"/>
    <w:rsid w:val="008E7930"/>
    <w:rsid w:val="008F1993"/>
    <w:rsid w:val="008F2175"/>
    <w:rsid w:val="008F2235"/>
    <w:rsid w:val="008F2F87"/>
    <w:rsid w:val="008F410C"/>
    <w:rsid w:val="008F6322"/>
    <w:rsid w:val="008F632B"/>
    <w:rsid w:val="008F6847"/>
    <w:rsid w:val="008F738B"/>
    <w:rsid w:val="00901AA4"/>
    <w:rsid w:val="00901CA8"/>
    <w:rsid w:val="0090416B"/>
    <w:rsid w:val="00904236"/>
    <w:rsid w:val="0090438E"/>
    <w:rsid w:val="0090460D"/>
    <w:rsid w:val="0090503C"/>
    <w:rsid w:val="00905049"/>
    <w:rsid w:val="00905F75"/>
    <w:rsid w:val="0090614E"/>
    <w:rsid w:val="00906613"/>
    <w:rsid w:val="00906806"/>
    <w:rsid w:val="009069FC"/>
    <w:rsid w:val="00907D80"/>
    <w:rsid w:val="00910837"/>
    <w:rsid w:val="00910981"/>
    <w:rsid w:val="00910BD7"/>
    <w:rsid w:val="00912D73"/>
    <w:rsid w:val="0091460C"/>
    <w:rsid w:val="0091463E"/>
    <w:rsid w:val="00915328"/>
    <w:rsid w:val="00915E54"/>
    <w:rsid w:val="00916F7E"/>
    <w:rsid w:val="00917272"/>
    <w:rsid w:val="0092059D"/>
    <w:rsid w:val="009212BA"/>
    <w:rsid w:val="00921D04"/>
    <w:rsid w:val="009220C6"/>
    <w:rsid w:val="0092299D"/>
    <w:rsid w:val="00922B53"/>
    <w:rsid w:val="00922EE0"/>
    <w:rsid w:val="0092390B"/>
    <w:rsid w:val="00924FBF"/>
    <w:rsid w:val="00926EA5"/>
    <w:rsid w:val="00926FE6"/>
    <w:rsid w:val="0092744F"/>
    <w:rsid w:val="009278A1"/>
    <w:rsid w:val="00927A4B"/>
    <w:rsid w:val="00930AFD"/>
    <w:rsid w:val="0093233F"/>
    <w:rsid w:val="00932880"/>
    <w:rsid w:val="00932C44"/>
    <w:rsid w:val="00933E27"/>
    <w:rsid w:val="00934F77"/>
    <w:rsid w:val="009401A6"/>
    <w:rsid w:val="009411EC"/>
    <w:rsid w:val="009413DC"/>
    <w:rsid w:val="00941541"/>
    <w:rsid w:val="00941D0D"/>
    <w:rsid w:val="00942A89"/>
    <w:rsid w:val="00942E81"/>
    <w:rsid w:val="0094384F"/>
    <w:rsid w:val="00944EDD"/>
    <w:rsid w:val="00945373"/>
    <w:rsid w:val="0094660F"/>
    <w:rsid w:val="0094672F"/>
    <w:rsid w:val="00950659"/>
    <w:rsid w:val="009508F4"/>
    <w:rsid w:val="009519E3"/>
    <w:rsid w:val="009524F5"/>
    <w:rsid w:val="009529C8"/>
    <w:rsid w:val="00954F15"/>
    <w:rsid w:val="00955332"/>
    <w:rsid w:val="00955CB6"/>
    <w:rsid w:val="00956675"/>
    <w:rsid w:val="0095729C"/>
    <w:rsid w:val="0095733A"/>
    <w:rsid w:val="00961568"/>
    <w:rsid w:val="00961AC2"/>
    <w:rsid w:val="009637DB"/>
    <w:rsid w:val="00963980"/>
    <w:rsid w:val="00965155"/>
    <w:rsid w:val="00965782"/>
    <w:rsid w:val="0096580C"/>
    <w:rsid w:val="00966841"/>
    <w:rsid w:val="00966D8C"/>
    <w:rsid w:val="009676D7"/>
    <w:rsid w:val="00967E16"/>
    <w:rsid w:val="00970054"/>
    <w:rsid w:val="00970F54"/>
    <w:rsid w:val="00971181"/>
    <w:rsid w:val="00971C85"/>
    <w:rsid w:val="00971D70"/>
    <w:rsid w:val="00972FBF"/>
    <w:rsid w:val="00973100"/>
    <w:rsid w:val="00974431"/>
    <w:rsid w:val="00974D75"/>
    <w:rsid w:val="009755A5"/>
    <w:rsid w:val="00975DDF"/>
    <w:rsid w:val="009762D2"/>
    <w:rsid w:val="00977029"/>
    <w:rsid w:val="00977BEC"/>
    <w:rsid w:val="00977E31"/>
    <w:rsid w:val="0098046F"/>
    <w:rsid w:val="009808B7"/>
    <w:rsid w:val="00980B64"/>
    <w:rsid w:val="009811DF"/>
    <w:rsid w:val="00981C5D"/>
    <w:rsid w:val="00982324"/>
    <w:rsid w:val="00982DC2"/>
    <w:rsid w:val="009830FA"/>
    <w:rsid w:val="0098446A"/>
    <w:rsid w:val="00984AEF"/>
    <w:rsid w:val="00985C91"/>
    <w:rsid w:val="00986388"/>
    <w:rsid w:val="00986889"/>
    <w:rsid w:val="00987185"/>
    <w:rsid w:val="009873B8"/>
    <w:rsid w:val="0099044E"/>
    <w:rsid w:val="00990A3C"/>
    <w:rsid w:val="00991307"/>
    <w:rsid w:val="00991425"/>
    <w:rsid w:val="00991562"/>
    <w:rsid w:val="009917E5"/>
    <w:rsid w:val="00991E56"/>
    <w:rsid w:val="00992BBE"/>
    <w:rsid w:val="00992EA6"/>
    <w:rsid w:val="00993665"/>
    <w:rsid w:val="00993781"/>
    <w:rsid w:val="00994762"/>
    <w:rsid w:val="00994803"/>
    <w:rsid w:val="00994EE6"/>
    <w:rsid w:val="00995FAA"/>
    <w:rsid w:val="00996088"/>
    <w:rsid w:val="0099629E"/>
    <w:rsid w:val="009978A0"/>
    <w:rsid w:val="009A1989"/>
    <w:rsid w:val="009A26A1"/>
    <w:rsid w:val="009A2EB6"/>
    <w:rsid w:val="009A36D2"/>
    <w:rsid w:val="009A46EC"/>
    <w:rsid w:val="009A54C7"/>
    <w:rsid w:val="009A59A5"/>
    <w:rsid w:val="009B0A32"/>
    <w:rsid w:val="009B0C65"/>
    <w:rsid w:val="009B1EE0"/>
    <w:rsid w:val="009B236B"/>
    <w:rsid w:val="009B2E3F"/>
    <w:rsid w:val="009B3E0D"/>
    <w:rsid w:val="009B4C49"/>
    <w:rsid w:val="009B5197"/>
    <w:rsid w:val="009B5FF7"/>
    <w:rsid w:val="009B67D3"/>
    <w:rsid w:val="009B7415"/>
    <w:rsid w:val="009B7621"/>
    <w:rsid w:val="009B7C7E"/>
    <w:rsid w:val="009B7ECE"/>
    <w:rsid w:val="009B7F8F"/>
    <w:rsid w:val="009C0C3D"/>
    <w:rsid w:val="009C1224"/>
    <w:rsid w:val="009C3E39"/>
    <w:rsid w:val="009C458C"/>
    <w:rsid w:val="009C4932"/>
    <w:rsid w:val="009C4FD7"/>
    <w:rsid w:val="009C5281"/>
    <w:rsid w:val="009C5D59"/>
    <w:rsid w:val="009C68F2"/>
    <w:rsid w:val="009C6989"/>
    <w:rsid w:val="009C78EE"/>
    <w:rsid w:val="009C7EF5"/>
    <w:rsid w:val="009D0525"/>
    <w:rsid w:val="009D0E01"/>
    <w:rsid w:val="009D2459"/>
    <w:rsid w:val="009D2F5C"/>
    <w:rsid w:val="009D41CB"/>
    <w:rsid w:val="009D4AFB"/>
    <w:rsid w:val="009D51E1"/>
    <w:rsid w:val="009D5442"/>
    <w:rsid w:val="009D6729"/>
    <w:rsid w:val="009E03D7"/>
    <w:rsid w:val="009E0617"/>
    <w:rsid w:val="009E122F"/>
    <w:rsid w:val="009E14E8"/>
    <w:rsid w:val="009E1680"/>
    <w:rsid w:val="009E195B"/>
    <w:rsid w:val="009E24B6"/>
    <w:rsid w:val="009E37AA"/>
    <w:rsid w:val="009E4866"/>
    <w:rsid w:val="009E4883"/>
    <w:rsid w:val="009E4A32"/>
    <w:rsid w:val="009E4AD2"/>
    <w:rsid w:val="009E4CA4"/>
    <w:rsid w:val="009E6106"/>
    <w:rsid w:val="009E6E52"/>
    <w:rsid w:val="009E757A"/>
    <w:rsid w:val="009F0BA1"/>
    <w:rsid w:val="009F37C6"/>
    <w:rsid w:val="009F5760"/>
    <w:rsid w:val="009F6A9A"/>
    <w:rsid w:val="009F6D88"/>
    <w:rsid w:val="009F7D37"/>
    <w:rsid w:val="00A01132"/>
    <w:rsid w:val="00A0114D"/>
    <w:rsid w:val="00A01339"/>
    <w:rsid w:val="00A023BB"/>
    <w:rsid w:val="00A03181"/>
    <w:rsid w:val="00A04E07"/>
    <w:rsid w:val="00A054EE"/>
    <w:rsid w:val="00A064EE"/>
    <w:rsid w:val="00A06753"/>
    <w:rsid w:val="00A072CA"/>
    <w:rsid w:val="00A11393"/>
    <w:rsid w:val="00A115AA"/>
    <w:rsid w:val="00A117C4"/>
    <w:rsid w:val="00A12F7C"/>
    <w:rsid w:val="00A1463E"/>
    <w:rsid w:val="00A148B3"/>
    <w:rsid w:val="00A1566C"/>
    <w:rsid w:val="00A15A0F"/>
    <w:rsid w:val="00A15AC2"/>
    <w:rsid w:val="00A17C67"/>
    <w:rsid w:val="00A2004D"/>
    <w:rsid w:val="00A200D0"/>
    <w:rsid w:val="00A2054C"/>
    <w:rsid w:val="00A213B7"/>
    <w:rsid w:val="00A2158A"/>
    <w:rsid w:val="00A2170A"/>
    <w:rsid w:val="00A21EAF"/>
    <w:rsid w:val="00A248BA"/>
    <w:rsid w:val="00A2519D"/>
    <w:rsid w:val="00A25776"/>
    <w:rsid w:val="00A266B5"/>
    <w:rsid w:val="00A267C2"/>
    <w:rsid w:val="00A26999"/>
    <w:rsid w:val="00A26FFF"/>
    <w:rsid w:val="00A27393"/>
    <w:rsid w:val="00A30974"/>
    <w:rsid w:val="00A3188F"/>
    <w:rsid w:val="00A31B5F"/>
    <w:rsid w:val="00A326A6"/>
    <w:rsid w:val="00A33878"/>
    <w:rsid w:val="00A34229"/>
    <w:rsid w:val="00A3522D"/>
    <w:rsid w:val="00A357A7"/>
    <w:rsid w:val="00A35900"/>
    <w:rsid w:val="00A35EC5"/>
    <w:rsid w:val="00A36B55"/>
    <w:rsid w:val="00A378C6"/>
    <w:rsid w:val="00A378CA"/>
    <w:rsid w:val="00A37BC6"/>
    <w:rsid w:val="00A417ED"/>
    <w:rsid w:val="00A418F8"/>
    <w:rsid w:val="00A42260"/>
    <w:rsid w:val="00A42C24"/>
    <w:rsid w:val="00A4306B"/>
    <w:rsid w:val="00A43ED7"/>
    <w:rsid w:val="00A44EF9"/>
    <w:rsid w:val="00A458FC"/>
    <w:rsid w:val="00A46A14"/>
    <w:rsid w:val="00A476AF"/>
    <w:rsid w:val="00A50250"/>
    <w:rsid w:val="00A5286E"/>
    <w:rsid w:val="00A53FA8"/>
    <w:rsid w:val="00A5434F"/>
    <w:rsid w:val="00A544F8"/>
    <w:rsid w:val="00A55777"/>
    <w:rsid w:val="00A55BCB"/>
    <w:rsid w:val="00A57742"/>
    <w:rsid w:val="00A57AA1"/>
    <w:rsid w:val="00A61912"/>
    <w:rsid w:val="00A6458D"/>
    <w:rsid w:val="00A64DE7"/>
    <w:rsid w:val="00A657BA"/>
    <w:rsid w:val="00A65A54"/>
    <w:rsid w:val="00A71910"/>
    <w:rsid w:val="00A72BC2"/>
    <w:rsid w:val="00A72F9B"/>
    <w:rsid w:val="00A7413D"/>
    <w:rsid w:val="00A7527C"/>
    <w:rsid w:val="00A76381"/>
    <w:rsid w:val="00A77768"/>
    <w:rsid w:val="00A806B4"/>
    <w:rsid w:val="00A81149"/>
    <w:rsid w:val="00A82608"/>
    <w:rsid w:val="00A85153"/>
    <w:rsid w:val="00A85F01"/>
    <w:rsid w:val="00A863EE"/>
    <w:rsid w:val="00A878DA"/>
    <w:rsid w:val="00A903F9"/>
    <w:rsid w:val="00A90BE9"/>
    <w:rsid w:val="00A91C92"/>
    <w:rsid w:val="00A925C6"/>
    <w:rsid w:val="00A929F9"/>
    <w:rsid w:val="00A93224"/>
    <w:rsid w:val="00A935F3"/>
    <w:rsid w:val="00A943AA"/>
    <w:rsid w:val="00A949F3"/>
    <w:rsid w:val="00A95270"/>
    <w:rsid w:val="00A95455"/>
    <w:rsid w:val="00A954D3"/>
    <w:rsid w:val="00A95A89"/>
    <w:rsid w:val="00A95B8F"/>
    <w:rsid w:val="00A95D4E"/>
    <w:rsid w:val="00A961F0"/>
    <w:rsid w:val="00A967A9"/>
    <w:rsid w:val="00A9743F"/>
    <w:rsid w:val="00A97817"/>
    <w:rsid w:val="00A97AC6"/>
    <w:rsid w:val="00A97AE1"/>
    <w:rsid w:val="00AA04DB"/>
    <w:rsid w:val="00AA0C69"/>
    <w:rsid w:val="00AA11F6"/>
    <w:rsid w:val="00AA1279"/>
    <w:rsid w:val="00AA1813"/>
    <w:rsid w:val="00AA2FC3"/>
    <w:rsid w:val="00AA312F"/>
    <w:rsid w:val="00AA328A"/>
    <w:rsid w:val="00AA36F4"/>
    <w:rsid w:val="00AA3BBB"/>
    <w:rsid w:val="00AA5726"/>
    <w:rsid w:val="00AA6061"/>
    <w:rsid w:val="00AA677D"/>
    <w:rsid w:val="00AA689C"/>
    <w:rsid w:val="00AA7732"/>
    <w:rsid w:val="00AA7990"/>
    <w:rsid w:val="00AA7A3C"/>
    <w:rsid w:val="00AA7FA5"/>
    <w:rsid w:val="00AB081C"/>
    <w:rsid w:val="00AB0A01"/>
    <w:rsid w:val="00AB19EA"/>
    <w:rsid w:val="00AB259D"/>
    <w:rsid w:val="00AB2D2E"/>
    <w:rsid w:val="00AB3235"/>
    <w:rsid w:val="00AB3918"/>
    <w:rsid w:val="00AB3B8D"/>
    <w:rsid w:val="00AB5768"/>
    <w:rsid w:val="00AB6804"/>
    <w:rsid w:val="00AB6A03"/>
    <w:rsid w:val="00AB7339"/>
    <w:rsid w:val="00AC0770"/>
    <w:rsid w:val="00AC0DF0"/>
    <w:rsid w:val="00AC2A9E"/>
    <w:rsid w:val="00AC2CE2"/>
    <w:rsid w:val="00AC2D72"/>
    <w:rsid w:val="00AC3226"/>
    <w:rsid w:val="00AC3CDC"/>
    <w:rsid w:val="00AC4899"/>
    <w:rsid w:val="00AC4B6C"/>
    <w:rsid w:val="00AC56B3"/>
    <w:rsid w:val="00AC6AD4"/>
    <w:rsid w:val="00AC7BAC"/>
    <w:rsid w:val="00AD06CF"/>
    <w:rsid w:val="00AD2318"/>
    <w:rsid w:val="00AD29A3"/>
    <w:rsid w:val="00AD35FD"/>
    <w:rsid w:val="00AD36D6"/>
    <w:rsid w:val="00AD4EC2"/>
    <w:rsid w:val="00AD56E1"/>
    <w:rsid w:val="00AE0715"/>
    <w:rsid w:val="00AE0885"/>
    <w:rsid w:val="00AE127F"/>
    <w:rsid w:val="00AE1561"/>
    <w:rsid w:val="00AE1C26"/>
    <w:rsid w:val="00AE1D29"/>
    <w:rsid w:val="00AE1E61"/>
    <w:rsid w:val="00AE24B4"/>
    <w:rsid w:val="00AE2B06"/>
    <w:rsid w:val="00AE2F9B"/>
    <w:rsid w:val="00AE31DD"/>
    <w:rsid w:val="00AE38A5"/>
    <w:rsid w:val="00AE51C7"/>
    <w:rsid w:val="00AE57CF"/>
    <w:rsid w:val="00AE5D42"/>
    <w:rsid w:val="00AE5F68"/>
    <w:rsid w:val="00AE74DC"/>
    <w:rsid w:val="00AF179C"/>
    <w:rsid w:val="00AF1939"/>
    <w:rsid w:val="00AF29BF"/>
    <w:rsid w:val="00AF2AE9"/>
    <w:rsid w:val="00AF2C2D"/>
    <w:rsid w:val="00AF3C0D"/>
    <w:rsid w:val="00AF3E18"/>
    <w:rsid w:val="00AF3E1A"/>
    <w:rsid w:val="00AF3FA8"/>
    <w:rsid w:val="00AF4ECF"/>
    <w:rsid w:val="00AF5260"/>
    <w:rsid w:val="00AF53FE"/>
    <w:rsid w:val="00AF5EF2"/>
    <w:rsid w:val="00AF64CF"/>
    <w:rsid w:val="00AF6B6F"/>
    <w:rsid w:val="00AF7925"/>
    <w:rsid w:val="00B00085"/>
    <w:rsid w:val="00B00354"/>
    <w:rsid w:val="00B0052F"/>
    <w:rsid w:val="00B0063C"/>
    <w:rsid w:val="00B00686"/>
    <w:rsid w:val="00B00F09"/>
    <w:rsid w:val="00B0109A"/>
    <w:rsid w:val="00B02266"/>
    <w:rsid w:val="00B02D67"/>
    <w:rsid w:val="00B0350E"/>
    <w:rsid w:val="00B03803"/>
    <w:rsid w:val="00B03857"/>
    <w:rsid w:val="00B06A7B"/>
    <w:rsid w:val="00B07D7E"/>
    <w:rsid w:val="00B1026C"/>
    <w:rsid w:val="00B10561"/>
    <w:rsid w:val="00B1180B"/>
    <w:rsid w:val="00B11E5A"/>
    <w:rsid w:val="00B14D2E"/>
    <w:rsid w:val="00B1605D"/>
    <w:rsid w:val="00B163F6"/>
    <w:rsid w:val="00B16B79"/>
    <w:rsid w:val="00B17902"/>
    <w:rsid w:val="00B20879"/>
    <w:rsid w:val="00B21620"/>
    <w:rsid w:val="00B21CB0"/>
    <w:rsid w:val="00B22493"/>
    <w:rsid w:val="00B22B7A"/>
    <w:rsid w:val="00B23004"/>
    <w:rsid w:val="00B24517"/>
    <w:rsid w:val="00B24B0E"/>
    <w:rsid w:val="00B2565D"/>
    <w:rsid w:val="00B2704B"/>
    <w:rsid w:val="00B300BF"/>
    <w:rsid w:val="00B3079E"/>
    <w:rsid w:val="00B30FC2"/>
    <w:rsid w:val="00B3179B"/>
    <w:rsid w:val="00B322C4"/>
    <w:rsid w:val="00B322D3"/>
    <w:rsid w:val="00B3462A"/>
    <w:rsid w:val="00B34682"/>
    <w:rsid w:val="00B362C5"/>
    <w:rsid w:val="00B4096A"/>
    <w:rsid w:val="00B435C0"/>
    <w:rsid w:val="00B43B09"/>
    <w:rsid w:val="00B449AF"/>
    <w:rsid w:val="00B45241"/>
    <w:rsid w:val="00B46073"/>
    <w:rsid w:val="00B46898"/>
    <w:rsid w:val="00B47C27"/>
    <w:rsid w:val="00B47F33"/>
    <w:rsid w:val="00B5075C"/>
    <w:rsid w:val="00B50954"/>
    <w:rsid w:val="00B50FF6"/>
    <w:rsid w:val="00B5207F"/>
    <w:rsid w:val="00B5498A"/>
    <w:rsid w:val="00B54E99"/>
    <w:rsid w:val="00B55BCC"/>
    <w:rsid w:val="00B577E6"/>
    <w:rsid w:val="00B6130F"/>
    <w:rsid w:val="00B616F8"/>
    <w:rsid w:val="00B62472"/>
    <w:rsid w:val="00B6259B"/>
    <w:rsid w:val="00B6266F"/>
    <w:rsid w:val="00B62B99"/>
    <w:rsid w:val="00B635CF"/>
    <w:rsid w:val="00B6570E"/>
    <w:rsid w:val="00B65CB1"/>
    <w:rsid w:val="00B65D4D"/>
    <w:rsid w:val="00B661DD"/>
    <w:rsid w:val="00B672D7"/>
    <w:rsid w:val="00B676E8"/>
    <w:rsid w:val="00B67B9F"/>
    <w:rsid w:val="00B67C0B"/>
    <w:rsid w:val="00B67F3D"/>
    <w:rsid w:val="00B7030E"/>
    <w:rsid w:val="00B7183A"/>
    <w:rsid w:val="00B728D3"/>
    <w:rsid w:val="00B730D3"/>
    <w:rsid w:val="00B73B44"/>
    <w:rsid w:val="00B75ADC"/>
    <w:rsid w:val="00B7711D"/>
    <w:rsid w:val="00B83C15"/>
    <w:rsid w:val="00B8408D"/>
    <w:rsid w:val="00B84E4E"/>
    <w:rsid w:val="00B852E8"/>
    <w:rsid w:val="00B866AA"/>
    <w:rsid w:val="00B86D92"/>
    <w:rsid w:val="00B875F5"/>
    <w:rsid w:val="00B9163A"/>
    <w:rsid w:val="00B93337"/>
    <w:rsid w:val="00B940D0"/>
    <w:rsid w:val="00B94F27"/>
    <w:rsid w:val="00B95311"/>
    <w:rsid w:val="00B956AE"/>
    <w:rsid w:val="00B9606B"/>
    <w:rsid w:val="00B97B80"/>
    <w:rsid w:val="00BA07C8"/>
    <w:rsid w:val="00BA2213"/>
    <w:rsid w:val="00BA2EE3"/>
    <w:rsid w:val="00BA341A"/>
    <w:rsid w:val="00BA4255"/>
    <w:rsid w:val="00BA59A3"/>
    <w:rsid w:val="00BA5DC2"/>
    <w:rsid w:val="00BA6F96"/>
    <w:rsid w:val="00BB01F6"/>
    <w:rsid w:val="00BB0B2E"/>
    <w:rsid w:val="00BB0DBE"/>
    <w:rsid w:val="00BB0F6F"/>
    <w:rsid w:val="00BB19CD"/>
    <w:rsid w:val="00BB1C92"/>
    <w:rsid w:val="00BB1D4D"/>
    <w:rsid w:val="00BB5290"/>
    <w:rsid w:val="00BB5EF0"/>
    <w:rsid w:val="00BB67E8"/>
    <w:rsid w:val="00BB6D50"/>
    <w:rsid w:val="00BC0578"/>
    <w:rsid w:val="00BC06B9"/>
    <w:rsid w:val="00BC1425"/>
    <w:rsid w:val="00BC1A90"/>
    <w:rsid w:val="00BC1CD5"/>
    <w:rsid w:val="00BC20A1"/>
    <w:rsid w:val="00BC3244"/>
    <w:rsid w:val="00BC3A22"/>
    <w:rsid w:val="00BC48CF"/>
    <w:rsid w:val="00BC4C3B"/>
    <w:rsid w:val="00BC5057"/>
    <w:rsid w:val="00BC5BCF"/>
    <w:rsid w:val="00BC6858"/>
    <w:rsid w:val="00BC72EE"/>
    <w:rsid w:val="00BC7D96"/>
    <w:rsid w:val="00BC7F63"/>
    <w:rsid w:val="00BD008A"/>
    <w:rsid w:val="00BD029F"/>
    <w:rsid w:val="00BD05BF"/>
    <w:rsid w:val="00BD0D25"/>
    <w:rsid w:val="00BD0D77"/>
    <w:rsid w:val="00BD1AC6"/>
    <w:rsid w:val="00BD1CD8"/>
    <w:rsid w:val="00BD23C0"/>
    <w:rsid w:val="00BD403C"/>
    <w:rsid w:val="00BD6013"/>
    <w:rsid w:val="00BD736C"/>
    <w:rsid w:val="00BD76EB"/>
    <w:rsid w:val="00BD791F"/>
    <w:rsid w:val="00BE0302"/>
    <w:rsid w:val="00BE0D5A"/>
    <w:rsid w:val="00BE16C5"/>
    <w:rsid w:val="00BE23E7"/>
    <w:rsid w:val="00BE33A9"/>
    <w:rsid w:val="00BE34CD"/>
    <w:rsid w:val="00BE3826"/>
    <w:rsid w:val="00BE4391"/>
    <w:rsid w:val="00BE517C"/>
    <w:rsid w:val="00BE5E01"/>
    <w:rsid w:val="00BE6035"/>
    <w:rsid w:val="00BE627D"/>
    <w:rsid w:val="00BE72F0"/>
    <w:rsid w:val="00BE73A9"/>
    <w:rsid w:val="00BE7AF0"/>
    <w:rsid w:val="00BF05E6"/>
    <w:rsid w:val="00BF1A4E"/>
    <w:rsid w:val="00BF1AA5"/>
    <w:rsid w:val="00BF213A"/>
    <w:rsid w:val="00BF283C"/>
    <w:rsid w:val="00BF3774"/>
    <w:rsid w:val="00BF4524"/>
    <w:rsid w:val="00BF47E5"/>
    <w:rsid w:val="00BF495A"/>
    <w:rsid w:val="00BF6FC8"/>
    <w:rsid w:val="00BF7728"/>
    <w:rsid w:val="00BF7F84"/>
    <w:rsid w:val="00C01AF6"/>
    <w:rsid w:val="00C02FAB"/>
    <w:rsid w:val="00C03889"/>
    <w:rsid w:val="00C038C8"/>
    <w:rsid w:val="00C06534"/>
    <w:rsid w:val="00C07E98"/>
    <w:rsid w:val="00C10351"/>
    <w:rsid w:val="00C107EA"/>
    <w:rsid w:val="00C11568"/>
    <w:rsid w:val="00C11FB6"/>
    <w:rsid w:val="00C12D8C"/>
    <w:rsid w:val="00C13A03"/>
    <w:rsid w:val="00C13C33"/>
    <w:rsid w:val="00C147BD"/>
    <w:rsid w:val="00C15115"/>
    <w:rsid w:val="00C17563"/>
    <w:rsid w:val="00C177E6"/>
    <w:rsid w:val="00C1791F"/>
    <w:rsid w:val="00C21902"/>
    <w:rsid w:val="00C223CB"/>
    <w:rsid w:val="00C23415"/>
    <w:rsid w:val="00C237E6"/>
    <w:rsid w:val="00C24BFD"/>
    <w:rsid w:val="00C25559"/>
    <w:rsid w:val="00C256E2"/>
    <w:rsid w:val="00C25701"/>
    <w:rsid w:val="00C25D5C"/>
    <w:rsid w:val="00C26264"/>
    <w:rsid w:val="00C26871"/>
    <w:rsid w:val="00C26FB2"/>
    <w:rsid w:val="00C276C1"/>
    <w:rsid w:val="00C30C13"/>
    <w:rsid w:val="00C3118A"/>
    <w:rsid w:val="00C31A92"/>
    <w:rsid w:val="00C3251A"/>
    <w:rsid w:val="00C32841"/>
    <w:rsid w:val="00C32849"/>
    <w:rsid w:val="00C32AAD"/>
    <w:rsid w:val="00C363D7"/>
    <w:rsid w:val="00C37027"/>
    <w:rsid w:val="00C37763"/>
    <w:rsid w:val="00C37E3E"/>
    <w:rsid w:val="00C40EE8"/>
    <w:rsid w:val="00C41023"/>
    <w:rsid w:val="00C42DA8"/>
    <w:rsid w:val="00C43BDB"/>
    <w:rsid w:val="00C45188"/>
    <w:rsid w:val="00C45A36"/>
    <w:rsid w:val="00C47367"/>
    <w:rsid w:val="00C50907"/>
    <w:rsid w:val="00C51A16"/>
    <w:rsid w:val="00C52905"/>
    <w:rsid w:val="00C53BA6"/>
    <w:rsid w:val="00C53C07"/>
    <w:rsid w:val="00C5465C"/>
    <w:rsid w:val="00C55F92"/>
    <w:rsid w:val="00C568C2"/>
    <w:rsid w:val="00C6000F"/>
    <w:rsid w:val="00C6100B"/>
    <w:rsid w:val="00C61305"/>
    <w:rsid w:val="00C615F2"/>
    <w:rsid w:val="00C615F3"/>
    <w:rsid w:val="00C61E72"/>
    <w:rsid w:val="00C632FD"/>
    <w:rsid w:val="00C6363C"/>
    <w:rsid w:val="00C64AAD"/>
    <w:rsid w:val="00C668D1"/>
    <w:rsid w:val="00C66D18"/>
    <w:rsid w:val="00C671BB"/>
    <w:rsid w:val="00C679FF"/>
    <w:rsid w:val="00C67FF7"/>
    <w:rsid w:val="00C70226"/>
    <w:rsid w:val="00C70563"/>
    <w:rsid w:val="00C719AC"/>
    <w:rsid w:val="00C72310"/>
    <w:rsid w:val="00C727AC"/>
    <w:rsid w:val="00C72B79"/>
    <w:rsid w:val="00C72DEC"/>
    <w:rsid w:val="00C73371"/>
    <w:rsid w:val="00C7340E"/>
    <w:rsid w:val="00C738A6"/>
    <w:rsid w:val="00C7484F"/>
    <w:rsid w:val="00C74FC5"/>
    <w:rsid w:val="00C7616B"/>
    <w:rsid w:val="00C771E9"/>
    <w:rsid w:val="00C778E3"/>
    <w:rsid w:val="00C77F77"/>
    <w:rsid w:val="00C805E4"/>
    <w:rsid w:val="00C80BA3"/>
    <w:rsid w:val="00C81381"/>
    <w:rsid w:val="00C815FA"/>
    <w:rsid w:val="00C8282B"/>
    <w:rsid w:val="00C82CA3"/>
    <w:rsid w:val="00C82CD3"/>
    <w:rsid w:val="00C830F5"/>
    <w:rsid w:val="00C83824"/>
    <w:rsid w:val="00C85461"/>
    <w:rsid w:val="00C858D1"/>
    <w:rsid w:val="00C86F1A"/>
    <w:rsid w:val="00C87E92"/>
    <w:rsid w:val="00C87FD2"/>
    <w:rsid w:val="00C90B26"/>
    <w:rsid w:val="00C91EA9"/>
    <w:rsid w:val="00C920F6"/>
    <w:rsid w:val="00C92C56"/>
    <w:rsid w:val="00C92E4E"/>
    <w:rsid w:val="00C930B3"/>
    <w:rsid w:val="00C945DA"/>
    <w:rsid w:val="00C94F72"/>
    <w:rsid w:val="00C952D9"/>
    <w:rsid w:val="00C9636C"/>
    <w:rsid w:val="00C968C8"/>
    <w:rsid w:val="00C968DC"/>
    <w:rsid w:val="00C9692F"/>
    <w:rsid w:val="00C97A56"/>
    <w:rsid w:val="00CA1869"/>
    <w:rsid w:val="00CA18DC"/>
    <w:rsid w:val="00CA1F37"/>
    <w:rsid w:val="00CA24D2"/>
    <w:rsid w:val="00CA2A86"/>
    <w:rsid w:val="00CA2DFE"/>
    <w:rsid w:val="00CA489B"/>
    <w:rsid w:val="00CA49EF"/>
    <w:rsid w:val="00CA7A7B"/>
    <w:rsid w:val="00CB06B9"/>
    <w:rsid w:val="00CB0963"/>
    <w:rsid w:val="00CB1A3F"/>
    <w:rsid w:val="00CB268D"/>
    <w:rsid w:val="00CB28FA"/>
    <w:rsid w:val="00CB2E20"/>
    <w:rsid w:val="00CB3A79"/>
    <w:rsid w:val="00CB3EDC"/>
    <w:rsid w:val="00CB41B9"/>
    <w:rsid w:val="00CB4799"/>
    <w:rsid w:val="00CB7DC6"/>
    <w:rsid w:val="00CC0838"/>
    <w:rsid w:val="00CC2CC2"/>
    <w:rsid w:val="00CC31BB"/>
    <w:rsid w:val="00CC351A"/>
    <w:rsid w:val="00CC47BD"/>
    <w:rsid w:val="00CC4A68"/>
    <w:rsid w:val="00CC55F9"/>
    <w:rsid w:val="00CC5ACE"/>
    <w:rsid w:val="00CC5EAA"/>
    <w:rsid w:val="00CC6566"/>
    <w:rsid w:val="00CC7BF2"/>
    <w:rsid w:val="00CD139F"/>
    <w:rsid w:val="00CD3ED2"/>
    <w:rsid w:val="00CD4F9D"/>
    <w:rsid w:val="00CD5229"/>
    <w:rsid w:val="00CD61FA"/>
    <w:rsid w:val="00CD6463"/>
    <w:rsid w:val="00CD734C"/>
    <w:rsid w:val="00CD734D"/>
    <w:rsid w:val="00CD771B"/>
    <w:rsid w:val="00CE04FD"/>
    <w:rsid w:val="00CE0975"/>
    <w:rsid w:val="00CE1489"/>
    <w:rsid w:val="00CE1751"/>
    <w:rsid w:val="00CE18CD"/>
    <w:rsid w:val="00CE2A02"/>
    <w:rsid w:val="00CE2F9F"/>
    <w:rsid w:val="00CE304F"/>
    <w:rsid w:val="00CE3F78"/>
    <w:rsid w:val="00CE460B"/>
    <w:rsid w:val="00CE49A9"/>
    <w:rsid w:val="00CE4A6F"/>
    <w:rsid w:val="00CE4DDB"/>
    <w:rsid w:val="00CE6682"/>
    <w:rsid w:val="00CE6D14"/>
    <w:rsid w:val="00CE6D42"/>
    <w:rsid w:val="00CE7A6F"/>
    <w:rsid w:val="00CE7D59"/>
    <w:rsid w:val="00CE7EFC"/>
    <w:rsid w:val="00CF0AB4"/>
    <w:rsid w:val="00CF30BC"/>
    <w:rsid w:val="00CF3ABD"/>
    <w:rsid w:val="00CF505D"/>
    <w:rsid w:val="00CF5F4A"/>
    <w:rsid w:val="00CF6261"/>
    <w:rsid w:val="00CF6E81"/>
    <w:rsid w:val="00D00CF8"/>
    <w:rsid w:val="00D02F5F"/>
    <w:rsid w:val="00D03C1E"/>
    <w:rsid w:val="00D0476D"/>
    <w:rsid w:val="00D0494E"/>
    <w:rsid w:val="00D04C58"/>
    <w:rsid w:val="00D054A6"/>
    <w:rsid w:val="00D055B1"/>
    <w:rsid w:val="00D05E83"/>
    <w:rsid w:val="00D0671B"/>
    <w:rsid w:val="00D07DD7"/>
    <w:rsid w:val="00D11325"/>
    <w:rsid w:val="00D11E80"/>
    <w:rsid w:val="00D12D3C"/>
    <w:rsid w:val="00D14E0C"/>
    <w:rsid w:val="00D16984"/>
    <w:rsid w:val="00D16DA3"/>
    <w:rsid w:val="00D205B5"/>
    <w:rsid w:val="00D2062F"/>
    <w:rsid w:val="00D20E6B"/>
    <w:rsid w:val="00D21535"/>
    <w:rsid w:val="00D21CE1"/>
    <w:rsid w:val="00D22219"/>
    <w:rsid w:val="00D2283F"/>
    <w:rsid w:val="00D2336A"/>
    <w:rsid w:val="00D23661"/>
    <w:rsid w:val="00D23CAA"/>
    <w:rsid w:val="00D240A1"/>
    <w:rsid w:val="00D24C19"/>
    <w:rsid w:val="00D2526F"/>
    <w:rsid w:val="00D258A3"/>
    <w:rsid w:val="00D25CA6"/>
    <w:rsid w:val="00D26397"/>
    <w:rsid w:val="00D26DF2"/>
    <w:rsid w:val="00D277D1"/>
    <w:rsid w:val="00D318E6"/>
    <w:rsid w:val="00D31932"/>
    <w:rsid w:val="00D31B23"/>
    <w:rsid w:val="00D323E7"/>
    <w:rsid w:val="00D329E2"/>
    <w:rsid w:val="00D33817"/>
    <w:rsid w:val="00D33F4D"/>
    <w:rsid w:val="00D35D22"/>
    <w:rsid w:val="00D37FBA"/>
    <w:rsid w:val="00D40132"/>
    <w:rsid w:val="00D4028C"/>
    <w:rsid w:val="00D40758"/>
    <w:rsid w:val="00D41276"/>
    <w:rsid w:val="00D422FE"/>
    <w:rsid w:val="00D43622"/>
    <w:rsid w:val="00D43AF9"/>
    <w:rsid w:val="00D44520"/>
    <w:rsid w:val="00D45799"/>
    <w:rsid w:val="00D45D31"/>
    <w:rsid w:val="00D4602A"/>
    <w:rsid w:val="00D46FCC"/>
    <w:rsid w:val="00D470C1"/>
    <w:rsid w:val="00D509CE"/>
    <w:rsid w:val="00D511EE"/>
    <w:rsid w:val="00D515F4"/>
    <w:rsid w:val="00D51804"/>
    <w:rsid w:val="00D5253A"/>
    <w:rsid w:val="00D538BC"/>
    <w:rsid w:val="00D54F3D"/>
    <w:rsid w:val="00D558DB"/>
    <w:rsid w:val="00D564A9"/>
    <w:rsid w:val="00D57F8F"/>
    <w:rsid w:val="00D61663"/>
    <w:rsid w:val="00D618ED"/>
    <w:rsid w:val="00D61BB3"/>
    <w:rsid w:val="00D61EF9"/>
    <w:rsid w:val="00D62CD0"/>
    <w:rsid w:val="00D6309B"/>
    <w:rsid w:val="00D6313E"/>
    <w:rsid w:val="00D635B8"/>
    <w:rsid w:val="00D63E92"/>
    <w:rsid w:val="00D64D93"/>
    <w:rsid w:val="00D6523B"/>
    <w:rsid w:val="00D67FE7"/>
    <w:rsid w:val="00D70619"/>
    <w:rsid w:val="00D70702"/>
    <w:rsid w:val="00D70DD3"/>
    <w:rsid w:val="00D71A6F"/>
    <w:rsid w:val="00D71D49"/>
    <w:rsid w:val="00D72039"/>
    <w:rsid w:val="00D72345"/>
    <w:rsid w:val="00D74177"/>
    <w:rsid w:val="00D747F7"/>
    <w:rsid w:val="00D74C1E"/>
    <w:rsid w:val="00D80475"/>
    <w:rsid w:val="00D8078B"/>
    <w:rsid w:val="00D80D21"/>
    <w:rsid w:val="00D80F16"/>
    <w:rsid w:val="00D81EBF"/>
    <w:rsid w:val="00D8236C"/>
    <w:rsid w:val="00D83CAA"/>
    <w:rsid w:val="00D84464"/>
    <w:rsid w:val="00D84E28"/>
    <w:rsid w:val="00D85B2D"/>
    <w:rsid w:val="00D86253"/>
    <w:rsid w:val="00D8627E"/>
    <w:rsid w:val="00D8650C"/>
    <w:rsid w:val="00D87B3A"/>
    <w:rsid w:val="00D87E15"/>
    <w:rsid w:val="00D87E39"/>
    <w:rsid w:val="00D9002A"/>
    <w:rsid w:val="00D9058F"/>
    <w:rsid w:val="00D9246E"/>
    <w:rsid w:val="00D92CB5"/>
    <w:rsid w:val="00D9333E"/>
    <w:rsid w:val="00D96115"/>
    <w:rsid w:val="00D9755A"/>
    <w:rsid w:val="00D97A77"/>
    <w:rsid w:val="00D97E5F"/>
    <w:rsid w:val="00DA0099"/>
    <w:rsid w:val="00DA0896"/>
    <w:rsid w:val="00DA11B6"/>
    <w:rsid w:val="00DA1B00"/>
    <w:rsid w:val="00DA23D4"/>
    <w:rsid w:val="00DA2B26"/>
    <w:rsid w:val="00DA2C58"/>
    <w:rsid w:val="00DA3FFD"/>
    <w:rsid w:val="00DA5A15"/>
    <w:rsid w:val="00DA63C5"/>
    <w:rsid w:val="00DB13B8"/>
    <w:rsid w:val="00DB31A6"/>
    <w:rsid w:val="00DB376F"/>
    <w:rsid w:val="00DB5631"/>
    <w:rsid w:val="00DB5BB8"/>
    <w:rsid w:val="00DB6048"/>
    <w:rsid w:val="00DB6A72"/>
    <w:rsid w:val="00DB796C"/>
    <w:rsid w:val="00DB7FDD"/>
    <w:rsid w:val="00DC2381"/>
    <w:rsid w:val="00DC261C"/>
    <w:rsid w:val="00DC2AA5"/>
    <w:rsid w:val="00DC4557"/>
    <w:rsid w:val="00DC460D"/>
    <w:rsid w:val="00DC56F6"/>
    <w:rsid w:val="00DC635A"/>
    <w:rsid w:val="00DC6D0D"/>
    <w:rsid w:val="00DC71DD"/>
    <w:rsid w:val="00DC79F1"/>
    <w:rsid w:val="00DD02F4"/>
    <w:rsid w:val="00DD2782"/>
    <w:rsid w:val="00DD2D8E"/>
    <w:rsid w:val="00DD2E97"/>
    <w:rsid w:val="00DD415A"/>
    <w:rsid w:val="00DD501D"/>
    <w:rsid w:val="00DD54A4"/>
    <w:rsid w:val="00DD590E"/>
    <w:rsid w:val="00DD5FE4"/>
    <w:rsid w:val="00DD60A7"/>
    <w:rsid w:val="00DD7041"/>
    <w:rsid w:val="00DE0724"/>
    <w:rsid w:val="00DE07FA"/>
    <w:rsid w:val="00DE0CFE"/>
    <w:rsid w:val="00DE395B"/>
    <w:rsid w:val="00DE4826"/>
    <w:rsid w:val="00DE487A"/>
    <w:rsid w:val="00DE4D22"/>
    <w:rsid w:val="00DE5E68"/>
    <w:rsid w:val="00DE6485"/>
    <w:rsid w:val="00DE6A87"/>
    <w:rsid w:val="00DE78AD"/>
    <w:rsid w:val="00DE7D99"/>
    <w:rsid w:val="00DF0C22"/>
    <w:rsid w:val="00DF0E62"/>
    <w:rsid w:val="00DF15B0"/>
    <w:rsid w:val="00DF1C4F"/>
    <w:rsid w:val="00DF2044"/>
    <w:rsid w:val="00DF239F"/>
    <w:rsid w:val="00DF3AA5"/>
    <w:rsid w:val="00DF4233"/>
    <w:rsid w:val="00DF5504"/>
    <w:rsid w:val="00DF6206"/>
    <w:rsid w:val="00DF645D"/>
    <w:rsid w:val="00DF661E"/>
    <w:rsid w:val="00DF66A6"/>
    <w:rsid w:val="00DF73C7"/>
    <w:rsid w:val="00E015AB"/>
    <w:rsid w:val="00E016E7"/>
    <w:rsid w:val="00E01898"/>
    <w:rsid w:val="00E0319F"/>
    <w:rsid w:val="00E037A7"/>
    <w:rsid w:val="00E03B15"/>
    <w:rsid w:val="00E055EB"/>
    <w:rsid w:val="00E063D7"/>
    <w:rsid w:val="00E06C4F"/>
    <w:rsid w:val="00E11F54"/>
    <w:rsid w:val="00E1268A"/>
    <w:rsid w:val="00E13140"/>
    <w:rsid w:val="00E13860"/>
    <w:rsid w:val="00E14421"/>
    <w:rsid w:val="00E16F72"/>
    <w:rsid w:val="00E22D75"/>
    <w:rsid w:val="00E2387E"/>
    <w:rsid w:val="00E24E54"/>
    <w:rsid w:val="00E25716"/>
    <w:rsid w:val="00E26983"/>
    <w:rsid w:val="00E27FB6"/>
    <w:rsid w:val="00E30874"/>
    <w:rsid w:val="00E3100C"/>
    <w:rsid w:val="00E31012"/>
    <w:rsid w:val="00E310F5"/>
    <w:rsid w:val="00E318FC"/>
    <w:rsid w:val="00E3331C"/>
    <w:rsid w:val="00E33459"/>
    <w:rsid w:val="00E3359A"/>
    <w:rsid w:val="00E357EC"/>
    <w:rsid w:val="00E35890"/>
    <w:rsid w:val="00E35B13"/>
    <w:rsid w:val="00E404E8"/>
    <w:rsid w:val="00E409F3"/>
    <w:rsid w:val="00E40ECC"/>
    <w:rsid w:val="00E4163C"/>
    <w:rsid w:val="00E425D6"/>
    <w:rsid w:val="00E42935"/>
    <w:rsid w:val="00E4490F"/>
    <w:rsid w:val="00E44B20"/>
    <w:rsid w:val="00E45F74"/>
    <w:rsid w:val="00E4625E"/>
    <w:rsid w:val="00E46EC5"/>
    <w:rsid w:val="00E47EBE"/>
    <w:rsid w:val="00E52510"/>
    <w:rsid w:val="00E52780"/>
    <w:rsid w:val="00E532AC"/>
    <w:rsid w:val="00E53EF7"/>
    <w:rsid w:val="00E548C9"/>
    <w:rsid w:val="00E54B83"/>
    <w:rsid w:val="00E55BA7"/>
    <w:rsid w:val="00E55DB7"/>
    <w:rsid w:val="00E55FCF"/>
    <w:rsid w:val="00E56C3C"/>
    <w:rsid w:val="00E57963"/>
    <w:rsid w:val="00E57D9A"/>
    <w:rsid w:val="00E60FBA"/>
    <w:rsid w:val="00E61AD9"/>
    <w:rsid w:val="00E62F0C"/>
    <w:rsid w:val="00E63F71"/>
    <w:rsid w:val="00E654B3"/>
    <w:rsid w:val="00E65C5C"/>
    <w:rsid w:val="00E66997"/>
    <w:rsid w:val="00E67DE9"/>
    <w:rsid w:val="00E67FFB"/>
    <w:rsid w:val="00E707EC"/>
    <w:rsid w:val="00E712DF"/>
    <w:rsid w:val="00E73258"/>
    <w:rsid w:val="00E732AA"/>
    <w:rsid w:val="00E741A9"/>
    <w:rsid w:val="00E7536D"/>
    <w:rsid w:val="00E75D1D"/>
    <w:rsid w:val="00E76398"/>
    <w:rsid w:val="00E76EAD"/>
    <w:rsid w:val="00E77313"/>
    <w:rsid w:val="00E77579"/>
    <w:rsid w:val="00E80754"/>
    <w:rsid w:val="00E80F55"/>
    <w:rsid w:val="00E813D3"/>
    <w:rsid w:val="00E82B86"/>
    <w:rsid w:val="00E82C72"/>
    <w:rsid w:val="00E83AC3"/>
    <w:rsid w:val="00E83F3B"/>
    <w:rsid w:val="00E84061"/>
    <w:rsid w:val="00E841C8"/>
    <w:rsid w:val="00E84635"/>
    <w:rsid w:val="00E84F54"/>
    <w:rsid w:val="00E84F68"/>
    <w:rsid w:val="00E8537D"/>
    <w:rsid w:val="00E8639C"/>
    <w:rsid w:val="00E864E4"/>
    <w:rsid w:val="00E86599"/>
    <w:rsid w:val="00E86AE6"/>
    <w:rsid w:val="00E86BAC"/>
    <w:rsid w:val="00E9006B"/>
    <w:rsid w:val="00E904ED"/>
    <w:rsid w:val="00E90949"/>
    <w:rsid w:val="00E90B36"/>
    <w:rsid w:val="00E91DB8"/>
    <w:rsid w:val="00E91F51"/>
    <w:rsid w:val="00E9254A"/>
    <w:rsid w:val="00E93278"/>
    <w:rsid w:val="00E93594"/>
    <w:rsid w:val="00E93B90"/>
    <w:rsid w:val="00E950F9"/>
    <w:rsid w:val="00E95775"/>
    <w:rsid w:val="00E9597F"/>
    <w:rsid w:val="00E95D2A"/>
    <w:rsid w:val="00E96CAE"/>
    <w:rsid w:val="00E9757D"/>
    <w:rsid w:val="00E97CFC"/>
    <w:rsid w:val="00E97D60"/>
    <w:rsid w:val="00EA00AB"/>
    <w:rsid w:val="00EA31CB"/>
    <w:rsid w:val="00EA38CB"/>
    <w:rsid w:val="00EA4634"/>
    <w:rsid w:val="00EA4B3D"/>
    <w:rsid w:val="00EA4EFA"/>
    <w:rsid w:val="00EA5483"/>
    <w:rsid w:val="00EB12E7"/>
    <w:rsid w:val="00EB1960"/>
    <w:rsid w:val="00EB1B15"/>
    <w:rsid w:val="00EB2E5D"/>
    <w:rsid w:val="00EB318A"/>
    <w:rsid w:val="00EB385E"/>
    <w:rsid w:val="00EB456A"/>
    <w:rsid w:val="00EB4858"/>
    <w:rsid w:val="00EB6EB7"/>
    <w:rsid w:val="00EB7B82"/>
    <w:rsid w:val="00EC0513"/>
    <w:rsid w:val="00EC17CD"/>
    <w:rsid w:val="00EC1C74"/>
    <w:rsid w:val="00EC2515"/>
    <w:rsid w:val="00EC25CA"/>
    <w:rsid w:val="00EC2E16"/>
    <w:rsid w:val="00EC3810"/>
    <w:rsid w:val="00EC3ABE"/>
    <w:rsid w:val="00EC477F"/>
    <w:rsid w:val="00EC4D15"/>
    <w:rsid w:val="00EC7919"/>
    <w:rsid w:val="00ED1802"/>
    <w:rsid w:val="00ED4443"/>
    <w:rsid w:val="00ED5187"/>
    <w:rsid w:val="00ED523D"/>
    <w:rsid w:val="00ED53AD"/>
    <w:rsid w:val="00EE096A"/>
    <w:rsid w:val="00EE0BE1"/>
    <w:rsid w:val="00EE3BA4"/>
    <w:rsid w:val="00EE436D"/>
    <w:rsid w:val="00EE5BB6"/>
    <w:rsid w:val="00EE619F"/>
    <w:rsid w:val="00EE704E"/>
    <w:rsid w:val="00EE7985"/>
    <w:rsid w:val="00EF0204"/>
    <w:rsid w:val="00EF0291"/>
    <w:rsid w:val="00EF08DD"/>
    <w:rsid w:val="00EF09EE"/>
    <w:rsid w:val="00EF1468"/>
    <w:rsid w:val="00EF1A22"/>
    <w:rsid w:val="00EF1A60"/>
    <w:rsid w:val="00EF34E7"/>
    <w:rsid w:val="00EF3C94"/>
    <w:rsid w:val="00EF46FD"/>
    <w:rsid w:val="00EF4865"/>
    <w:rsid w:val="00EF4AD2"/>
    <w:rsid w:val="00EF6351"/>
    <w:rsid w:val="00EF651A"/>
    <w:rsid w:val="00EF6897"/>
    <w:rsid w:val="00EF68D9"/>
    <w:rsid w:val="00F00B7C"/>
    <w:rsid w:val="00F0170F"/>
    <w:rsid w:val="00F02093"/>
    <w:rsid w:val="00F023ED"/>
    <w:rsid w:val="00F0454A"/>
    <w:rsid w:val="00F052A3"/>
    <w:rsid w:val="00F05D32"/>
    <w:rsid w:val="00F05FA7"/>
    <w:rsid w:val="00F067DA"/>
    <w:rsid w:val="00F06E8F"/>
    <w:rsid w:val="00F07691"/>
    <w:rsid w:val="00F076DE"/>
    <w:rsid w:val="00F07B65"/>
    <w:rsid w:val="00F10282"/>
    <w:rsid w:val="00F10323"/>
    <w:rsid w:val="00F104C4"/>
    <w:rsid w:val="00F10894"/>
    <w:rsid w:val="00F10F42"/>
    <w:rsid w:val="00F124BC"/>
    <w:rsid w:val="00F151FE"/>
    <w:rsid w:val="00F15663"/>
    <w:rsid w:val="00F16450"/>
    <w:rsid w:val="00F16F79"/>
    <w:rsid w:val="00F17907"/>
    <w:rsid w:val="00F17A01"/>
    <w:rsid w:val="00F200C9"/>
    <w:rsid w:val="00F21339"/>
    <w:rsid w:val="00F22EA9"/>
    <w:rsid w:val="00F231F5"/>
    <w:rsid w:val="00F232D6"/>
    <w:rsid w:val="00F233C2"/>
    <w:rsid w:val="00F23A58"/>
    <w:rsid w:val="00F241E0"/>
    <w:rsid w:val="00F24680"/>
    <w:rsid w:val="00F2483E"/>
    <w:rsid w:val="00F24D46"/>
    <w:rsid w:val="00F2579F"/>
    <w:rsid w:val="00F26481"/>
    <w:rsid w:val="00F304F4"/>
    <w:rsid w:val="00F30EEF"/>
    <w:rsid w:val="00F31126"/>
    <w:rsid w:val="00F31700"/>
    <w:rsid w:val="00F32A66"/>
    <w:rsid w:val="00F3364E"/>
    <w:rsid w:val="00F3402A"/>
    <w:rsid w:val="00F34E4E"/>
    <w:rsid w:val="00F353D8"/>
    <w:rsid w:val="00F357A9"/>
    <w:rsid w:val="00F36302"/>
    <w:rsid w:val="00F36346"/>
    <w:rsid w:val="00F36897"/>
    <w:rsid w:val="00F36999"/>
    <w:rsid w:val="00F36AC9"/>
    <w:rsid w:val="00F36DFC"/>
    <w:rsid w:val="00F37AE8"/>
    <w:rsid w:val="00F37B3B"/>
    <w:rsid w:val="00F403DB"/>
    <w:rsid w:val="00F4070C"/>
    <w:rsid w:val="00F41411"/>
    <w:rsid w:val="00F4153F"/>
    <w:rsid w:val="00F415E3"/>
    <w:rsid w:val="00F41618"/>
    <w:rsid w:val="00F41917"/>
    <w:rsid w:val="00F432E6"/>
    <w:rsid w:val="00F43585"/>
    <w:rsid w:val="00F4375E"/>
    <w:rsid w:val="00F44F06"/>
    <w:rsid w:val="00F51CEC"/>
    <w:rsid w:val="00F52BB1"/>
    <w:rsid w:val="00F53501"/>
    <w:rsid w:val="00F539B3"/>
    <w:rsid w:val="00F54092"/>
    <w:rsid w:val="00F543BC"/>
    <w:rsid w:val="00F54895"/>
    <w:rsid w:val="00F55348"/>
    <w:rsid w:val="00F562C3"/>
    <w:rsid w:val="00F567D8"/>
    <w:rsid w:val="00F56E2F"/>
    <w:rsid w:val="00F57502"/>
    <w:rsid w:val="00F57879"/>
    <w:rsid w:val="00F6039B"/>
    <w:rsid w:val="00F606D3"/>
    <w:rsid w:val="00F61D52"/>
    <w:rsid w:val="00F61EC1"/>
    <w:rsid w:val="00F64309"/>
    <w:rsid w:val="00F643C2"/>
    <w:rsid w:val="00F65171"/>
    <w:rsid w:val="00F65320"/>
    <w:rsid w:val="00F663D4"/>
    <w:rsid w:val="00F664CF"/>
    <w:rsid w:val="00F66CDD"/>
    <w:rsid w:val="00F70CB9"/>
    <w:rsid w:val="00F70E14"/>
    <w:rsid w:val="00F7104A"/>
    <w:rsid w:val="00F712A3"/>
    <w:rsid w:val="00F718E7"/>
    <w:rsid w:val="00F72483"/>
    <w:rsid w:val="00F72624"/>
    <w:rsid w:val="00F732C1"/>
    <w:rsid w:val="00F74613"/>
    <w:rsid w:val="00F74AAC"/>
    <w:rsid w:val="00F75DCF"/>
    <w:rsid w:val="00F75F2B"/>
    <w:rsid w:val="00F76FF8"/>
    <w:rsid w:val="00F778CB"/>
    <w:rsid w:val="00F77F6F"/>
    <w:rsid w:val="00F81B2B"/>
    <w:rsid w:val="00F8396D"/>
    <w:rsid w:val="00F83CE0"/>
    <w:rsid w:val="00F84116"/>
    <w:rsid w:val="00F84160"/>
    <w:rsid w:val="00F84322"/>
    <w:rsid w:val="00F84D3C"/>
    <w:rsid w:val="00F85150"/>
    <w:rsid w:val="00F854A4"/>
    <w:rsid w:val="00F86717"/>
    <w:rsid w:val="00F96691"/>
    <w:rsid w:val="00F96692"/>
    <w:rsid w:val="00F97420"/>
    <w:rsid w:val="00F97650"/>
    <w:rsid w:val="00FA084B"/>
    <w:rsid w:val="00FA14CE"/>
    <w:rsid w:val="00FA3449"/>
    <w:rsid w:val="00FA3B93"/>
    <w:rsid w:val="00FA488F"/>
    <w:rsid w:val="00FA4ADD"/>
    <w:rsid w:val="00FA5A2E"/>
    <w:rsid w:val="00FA6E3D"/>
    <w:rsid w:val="00FB09A1"/>
    <w:rsid w:val="00FB0B62"/>
    <w:rsid w:val="00FB0E52"/>
    <w:rsid w:val="00FB10F0"/>
    <w:rsid w:val="00FB253C"/>
    <w:rsid w:val="00FB31C7"/>
    <w:rsid w:val="00FB4892"/>
    <w:rsid w:val="00FB742F"/>
    <w:rsid w:val="00FB7988"/>
    <w:rsid w:val="00FC01A4"/>
    <w:rsid w:val="00FC2399"/>
    <w:rsid w:val="00FC2C14"/>
    <w:rsid w:val="00FC4737"/>
    <w:rsid w:val="00FC4B22"/>
    <w:rsid w:val="00FC5A31"/>
    <w:rsid w:val="00FC5E1B"/>
    <w:rsid w:val="00FC69BB"/>
    <w:rsid w:val="00FC732D"/>
    <w:rsid w:val="00FC7B20"/>
    <w:rsid w:val="00FD04A4"/>
    <w:rsid w:val="00FD0A9F"/>
    <w:rsid w:val="00FD0D05"/>
    <w:rsid w:val="00FD26CC"/>
    <w:rsid w:val="00FD26D2"/>
    <w:rsid w:val="00FD2768"/>
    <w:rsid w:val="00FD2D6B"/>
    <w:rsid w:val="00FD325F"/>
    <w:rsid w:val="00FD3262"/>
    <w:rsid w:val="00FD3513"/>
    <w:rsid w:val="00FD396B"/>
    <w:rsid w:val="00FD3D03"/>
    <w:rsid w:val="00FD482F"/>
    <w:rsid w:val="00FD4A5B"/>
    <w:rsid w:val="00FD76C7"/>
    <w:rsid w:val="00FD7895"/>
    <w:rsid w:val="00FD7FE0"/>
    <w:rsid w:val="00FE0D29"/>
    <w:rsid w:val="00FE250A"/>
    <w:rsid w:val="00FE29FD"/>
    <w:rsid w:val="00FE2F2E"/>
    <w:rsid w:val="00FE2FBE"/>
    <w:rsid w:val="00FE4128"/>
    <w:rsid w:val="00FE41CB"/>
    <w:rsid w:val="00FE75C5"/>
    <w:rsid w:val="00FF027D"/>
    <w:rsid w:val="00FF12C4"/>
    <w:rsid w:val="00FF216F"/>
    <w:rsid w:val="00FF23B3"/>
    <w:rsid w:val="00FF285F"/>
    <w:rsid w:val="00FF4F06"/>
    <w:rsid w:val="00FF5175"/>
    <w:rsid w:val="00FF652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AB2DD8"/>
  <w15:chartTrackingRefBased/>
  <w15:docId w15:val="{05ECE1FE-3D0D-4BDB-AD35-C88314B6F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027"/>
    <w:pPr>
      <w:spacing w:line="480" w:lineRule="auto"/>
    </w:pPr>
    <w:rPr>
      <w:rFonts w:ascii="Times New Roman" w:hAnsi="Times New Roman"/>
      <w:sz w:val="24"/>
      <w:szCs w:val="2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unningTitle">
    <w:name w:val="Running Title"/>
    <w:basedOn w:val="Normal"/>
    <w:link w:val="RunningTitleChar"/>
    <w:qFormat/>
    <w:rsid w:val="00C37027"/>
    <w:rPr>
      <w:b/>
      <w:caps/>
    </w:rPr>
  </w:style>
  <w:style w:type="paragraph" w:customStyle="1" w:styleId="MainTitle">
    <w:name w:val="Main Title"/>
    <w:next w:val="Normal"/>
    <w:link w:val="MainTitleChar"/>
    <w:qFormat/>
    <w:rsid w:val="00C37027"/>
    <w:pPr>
      <w:spacing w:before="480" w:after="240"/>
    </w:pPr>
    <w:rPr>
      <w:rFonts w:ascii="Times New Roman" w:hAnsi="Times New Roman"/>
      <w:b/>
      <w:sz w:val="28"/>
      <w:szCs w:val="22"/>
      <w:lang w:eastAsia="en-US"/>
    </w:rPr>
  </w:style>
  <w:style w:type="character" w:customStyle="1" w:styleId="RunningTitleChar">
    <w:name w:val="Running Title Char"/>
    <w:link w:val="RunningTitle"/>
    <w:rsid w:val="00C37027"/>
    <w:rPr>
      <w:rFonts w:ascii="Times New Roman" w:hAnsi="Times New Roman"/>
      <w:b/>
      <w:caps/>
      <w:sz w:val="24"/>
    </w:rPr>
  </w:style>
  <w:style w:type="paragraph" w:customStyle="1" w:styleId="AuthorNames">
    <w:name w:val="Author Names"/>
    <w:next w:val="Normal"/>
    <w:link w:val="AuthorNamesChar"/>
    <w:qFormat/>
    <w:rsid w:val="00C37027"/>
    <w:pPr>
      <w:spacing w:after="240" w:line="259" w:lineRule="auto"/>
    </w:pPr>
    <w:rPr>
      <w:rFonts w:ascii="Times New Roman" w:hAnsi="Times New Roman"/>
      <w:b/>
      <w:sz w:val="24"/>
      <w:szCs w:val="22"/>
      <w:lang w:eastAsia="en-US"/>
    </w:rPr>
  </w:style>
  <w:style w:type="character" w:customStyle="1" w:styleId="MainTitleChar">
    <w:name w:val="Main Title Char"/>
    <w:link w:val="MainTitle"/>
    <w:rsid w:val="00C37027"/>
    <w:rPr>
      <w:rFonts w:ascii="Times New Roman" w:hAnsi="Times New Roman"/>
      <w:b/>
      <w:sz w:val="28"/>
    </w:rPr>
  </w:style>
  <w:style w:type="paragraph" w:customStyle="1" w:styleId="Affiliations">
    <w:name w:val="Affiliations"/>
    <w:next w:val="Normal"/>
    <w:link w:val="AffiliationsChar"/>
    <w:qFormat/>
    <w:rsid w:val="00C37027"/>
    <w:pPr>
      <w:spacing w:after="120" w:line="259" w:lineRule="auto"/>
    </w:pPr>
    <w:rPr>
      <w:rFonts w:ascii="Times New Roman" w:hAnsi="Times New Roman"/>
      <w:szCs w:val="22"/>
      <w:lang w:eastAsia="en-US"/>
    </w:rPr>
  </w:style>
  <w:style w:type="character" w:customStyle="1" w:styleId="AuthorNamesChar">
    <w:name w:val="Author Names Char"/>
    <w:link w:val="AuthorNames"/>
    <w:rsid w:val="00C37027"/>
    <w:rPr>
      <w:rFonts w:ascii="Times New Roman" w:hAnsi="Times New Roman"/>
      <w:b/>
      <w:sz w:val="24"/>
    </w:rPr>
  </w:style>
  <w:style w:type="paragraph" w:customStyle="1" w:styleId="MainHeading">
    <w:name w:val="Main Heading"/>
    <w:basedOn w:val="Normal"/>
    <w:next w:val="Normal"/>
    <w:qFormat/>
    <w:rsid w:val="00C37027"/>
    <w:pPr>
      <w:spacing w:before="480" w:after="240" w:line="240" w:lineRule="auto"/>
      <w:jc w:val="center"/>
    </w:pPr>
    <w:rPr>
      <w:b/>
    </w:rPr>
  </w:style>
  <w:style w:type="character" w:customStyle="1" w:styleId="AffiliationsChar">
    <w:name w:val="Affiliations Char"/>
    <w:link w:val="Affiliations"/>
    <w:rsid w:val="00C37027"/>
    <w:rPr>
      <w:rFonts w:ascii="Times New Roman" w:hAnsi="Times New Roman"/>
      <w:sz w:val="20"/>
    </w:rPr>
  </w:style>
  <w:style w:type="paragraph" w:customStyle="1" w:styleId="Subheadings">
    <w:name w:val="Subheadings"/>
    <w:basedOn w:val="Normal"/>
    <w:next w:val="Normal"/>
    <w:qFormat/>
    <w:rsid w:val="007211DB"/>
    <w:pPr>
      <w:spacing w:before="240" w:after="120" w:line="240" w:lineRule="auto"/>
    </w:pPr>
    <w:rPr>
      <w:b/>
      <w:sz w:val="27"/>
    </w:rPr>
  </w:style>
  <w:style w:type="paragraph" w:customStyle="1" w:styleId="Sub-subheading">
    <w:name w:val="Sub-subheading"/>
    <w:basedOn w:val="Subheadings"/>
    <w:next w:val="Normal"/>
    <w:qFormat/>
    <w:rsid w:val="00C37027"/>
    <w:pPr>
      <w:spacing w:before="120" w:after="60"/>
    </w:pPr>
    <w:rPr>
      <w:b w:val="0"/>
      <w:i/>
    </w:rPr>
  </w:style>
  <w:style w:type="character" w:styleId="CommentReference">
    <w:name w:val="annotation reference"/>
    <w:uiPriority w:val="99"/>
    <w:semiHidden/>
    <w:unhideWhenUsed/>
    <w:rsid w:val="00C37027"/>
    <w:rPr>
      <w:sz w:val="16"/>
      <w:szCs w:val="16"/>
    </w:rPr>
  </w:style>
  <w:style w:type="paragraph" w:styleId="CommentText">
    <w:name w:val="annotation text"/>
    <w:basedOn w:val="Normal"/>
    <w:link w:val="CommentTextChar"/>
    <w:uiPriority w:val="99"/>
    <w:unhideWhenUsed/>
    <w:rsid w:val="00C37027"/>
    <w:pPr>
      <w:spacing w:after="160" w:line="240" w:lineRule="auto"/>
    </w:pPr>
    <w:rPr>
      <w:rFonts w:ascii="Calibri" w:hAnsi="Calibri"/>
      <w:sz w:val="20"/>
      <w:szCs w:val="20"/>
    </w:rPr>
  </w:style>
  <w:style w:type="character" w:customStyle="1" w:styleId="CommentTextChar">
    <w:name w:val="Comment Text Char"/>
    <w:link w:val="CommentText"/>
    <w:uiPriority w:val="99"/>
    <w:rsid w:val="00C37027"/>
    <w:rPr>
      <w:sz w:val="20"/>
      <w:szCs w:val="20"/>
    </w:rPr>
  </w:style>
  <w:style w:type="paragraph" w:styleId="BalloonText">
    <w:name w:val="Balloon Text"/>
    <w:basedOn w:val="Normal"/>
    <w:link w:val="BalloonTextChar"/>
    <w:uiPriority w:val="99"/>
    <w:semiHidden/>
    <w:unhideWhenUsed/>
    <w:rsid w:val="00C37027"/>
    <w:pPr>
      <w:spacing w:line="240" w:lineRule="auto"/>
    </w:pPr>
    <w:rPr>
      <w:rFonts w:ascii="Segoe UI" w:hAnsi="Segoe UI" w:cs="Segoe UI"/>
      <w:sz w:val="18"/>
      <w:szCs w:val="18"/>
    </w:rPr>
  </w:style>
  <w:style w:type="character" w:customStyle="1" w:styleId="BalloonTextChar">
    <w:name w:val="Balloon Text Char"/>
    <w:link w:val="BalloonText"/>
    <w:uiPriority w:val="99"/>
    <w:semiHidden/>
    <w:rsid w:val="00C37027"/>
    <w:rPr>
      <w:rFonts w:ascii="Segoe UI" w:hAnsi="Segoe UI" w:cs="Segoe UI"/>
      <w:sz w:val="18"/>
      <w:szCs w:val="18"/>
    </w:rPr>
  </w:style>
  <w:style w:type="character" w:styleId="PlaceholderText">
    <w:name w:val="Placeholder Text"/>
    <w:uiPriority w:val="99"/>
    <w:semiHidden/>
    <w:rsid w:val="00C37027"/>
    <w:rPr>
      <w:color w:val="808080"/>
    </w:rPr>
  </w:style>
  <w:style w:type="character" w:customStyle="1" w:styleId="mord">
    <w:name w:val="mord"/>
    <w:rsid w:val="00C37027"/>
  </w:style>
  <w:style w:type="character" w:customStyle="1" w:styleId="mrel">
    <w:name w:val="mrel"/>
    <w:rsid w:val="00C37027"/>
  </w:style>
  <w:style w:type="character" w:customStyle="1" w:styleId="vlist-s">
    <w:name w:val="vlist-s"/>
    <w:rsid w:val="00C37027"/>
  </w:style>
  <w:style w:type="paragraph" w:customStyle="1" w:styleId="Default">
    <w:name w:val="Default"/>
    <w:rsid w:val="00C37027"/>
    <w:pPr>
      <w:autoSpaceDE w:val="0"/>
      <w:autoSpaceDN w:val="0"/>
      <w:adjustRightInd w:val="0"/>
    </w:pPr>
    <w:rPr>
      <w:rFonts w:cs="Calibri"/>
      <w:color w:val="000000"/>
      <w:sz w:val="24"/>
      <w:szCs w:val="24"/>
      <w:lang w:eastAsia="en-US"/>
    </w:rPr>
  </w:style>
  <w:style w:type="paragraph" w:customStyle="1" w:styleId="EndNoteBibliographyTitle">
    <w:name w:val="EndNote Bibliography Title"/>
    <w:basedOn w:val="Normal"/>
    <w:link w:val="EndNoteBibliographyTitleChar"/>
    <w:rsid w:val="00C37027"/>
    <w:pPr>
      <w:jc w:val="center"/>
    </w:pPr>
    <w:rPr>
      <w:noProof/>
      <w:lang w:val="en-US"/>
    </w:rPr>
  </w:style>
  <w:style w:type="character" w:customStyle="1" w:styleId="EndNoteBibliographyTitleChar">
    <w:name w:val="EndNote Bibliography Title Char"/>
    <w:link w:val="EndNoteBibliographyTitle"/>
    <w:rsid w:val="00C37027"/>
    <w:rPr>
      <w:rFonts w:ascii="Times New Roman" w:hAnsi="Times New Roman"/>
      <w:noProof/>
      <w:sz w:val="24"/>
      <w:szCs w:val="22"/>
      <w:lang w:val="en-US" w:eastAsia="en-US"/>
    </w:rPr>
  </w:style>
  <w:style w:type="paragraph" w:customStyle="1" w:styleId="EndNoteBibliography">
    <w:name w:val="EndNote Bibliography"/>
    <w:basedOn w:val="Normal"/>
    <w:link w:val="EndNoteBibliographyChar"/>
    <w:rsid w:val="00C37027"/>
    <w:pPr>
      <w:spacing w:line="240" w:lineRule="auto"/>
      <w:jc w:val="center"/>
    </w:pPr>
    <w:rPr>
      <w:noProof/>
      <w:lang w:val="en-US"/>
    </w:rPr>
  </w:style>
  <w:style w:type="character" w:customStyle="1" w:styleId="EndNoteBibliographyChar">
    <w:name w:val="EndNote Bibliography Char"/>
    <w:link w:val="EndNoteBibliography"/>
    <w:rsid w:val="00C37027"/>
    <w:rPr>
      <w:rFonts w:ascii="Times New Roman" w:hAnsi="Times New Roman"/>
      <w:noProof/>
      <w:sz w:val="24"/>
      <w:szCs w:val="22"/>
      <w:lang w:val="en-US" w:eastAsia="en-US"/>
    </w:rPr>
  </w:style>
  <w:style w:type="character" w:styleId="Hyperlink">
    <w:name w:val="Hyperlink"/>
    <w:uiPriority w:val="99"/>
    <w:unhideWhenUsed/>
    <w:rsid w:val="00C37027"/>
    <w:rPr>
      <w:color w:val="0000FF"/>
      <w:u w:val="single"/>
    </w:rPr>
  </w:style>
  <w:style w:type="paragraph" w:styleId="CommentSubject">
    <w:name w:val="annotation subject"/>
    <w:basedOn w:val="CommentText"/>
    <w:next w:val="CommentText"/>
    <w:link w:val="CommentSubjectChar"/>
    <w:uiPriority w:val="99"/>
    <w:semiHidden/>
    <w:unhideWhenUsed/>
    <w:rsid w:val="00C37027"/>
    <w:pPr>
      <w:spacing w:after="0"/>
    </w:pPr>
    <w:rPr>
      <w:rFonts w:ascii="Times New Roman" w:hAnsi="Times New Roman"/>
      <w:b/>
      <w:bCs/>
    </w:rPr>
  </w:style>
  <w:style w:type="character" w:customStyle="1" w:styleId="CommentSubjectChar">
    <w:name w:val="Comment Subject Char"/>
    <w:link w:val="CommentSubject"/>
    <w:uiPriority w:val="99"/>
    <w:semiHidden/>
    <w:rsid w:val="00C37027"/>
    <w:rPr>
      <w:rFonts w:ascii="Times New Roman" w:hAnsi="Times New Roman"/>
      <w:b/>
      <w:bCs/>
      <w:sz w:val="20"/>
      <w:szCs w:val="20"/>
    </w:rPr>
  </w:style>
  <w:style w:type="paragraph" w:styleId="ListParagraph">
    <w:name w:val="List Paragraph"/>
    <w:basedOn w:val="Normal"/>
    <w:uiPriority w:val="34"/>
    <w:qFormat/>
    <w:rsid w:val="00C37027"/>
    <w:pPr>
      <w:ind w:left="720"/>
      <w:contextualSpacing/>
    </w:pPr>
  </w:style>
  <w:style w:type="table" w:styleId="TableGrid">
    <w:name w:val="Table Grid"/>
    <w:basedOn w:val="TableNormal"/>
    <w:uiPriority w:val="39"/>
    <w:rsid w:val="00C370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C37027"/>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C37027"/>
    <w:tblPr>
      <w:tblStyleRowBandSize w:val="1"/>
      <w:tblStyleColBandSize w:val="1"/>
    </w:tblPr>
    <w:tblStylePr w:type="firstRow">
      <w:rPr>
        <w:rFonts w:ascii="Consolas" w:eastAsia="Times New Roman" w:hAnsi="Consolas" w:cs="Times New Roman"/>
        <w:i/>
        <w:iCs/>
        <w:sz w:val="26"/>
      </w:rPr>
      <w:tblPr/>
      <w:tcPr>
        <w:tcBorders>
          <w:bottom w:val="single" w:sz="4" w:space="0" w:color="7F7F7F"/>
        </w:tcBorders>
        <w:shd w:val="clear" w:color="auto" w:fill="FFFFFF"/>
      </w:tcPr>
    </w:tblStylePr>
    <w:tblStylePr w:type="lastRow">
      <w:rPr>
        <w:rFonts w:ascii="Consolas" w:eastAsia="Times New Roman" w:hAnsi="Consolas" w:cs="Times New Roman"/>
        <w:i/>
        <w:iCs/>
        <w:sz w:val="26"/>
      </w:rPr>
      <w:tblPr/>
      <w:tcPr>
        <w:tcBorders>
          <w:top w:val="single" w:sz="4" w:space="0" w:color="7F7F7F"/>
        </w:tcBorders>
        <w:shd w:val="clear" w:color="auto" w:fill="FFFFFF"/>
      </w:tcPr>
    </w:tblStylePr>
    <w:tblStylePr w:type="firstCol">
      <w:pPr>
        <w:jc w:val="right"/>
      </w:pPr>
      <w:rPr>
        <w:rFonts w:ascii="Consolas" w:eastAsia="Times New Roman" w:hAnsi="Consolas" w:cs="Times New Roman"/>
        <w:i/>
        <w:iCs/>
        <w:sz w:val="26"/>
      </w:rPr>
      <w:tblPr/>
      <w:tcPr>
        <w:tcBorders>
          <w:right w:val="single" w:sz="4" w:space="0" w:color="7F7F7F"/>
        </w:tcBorders>
        <w:shd w:val="clear" w:color="auto" w:fill="FFFFFF"/>
      </w:tcPr>
    </w:tblStylePr>
    <w:tblStylePr w:type="lastCol">
      <w:rPr>
        <w:rFonts w:ascii="Consolas" w:eastAsia="Times New Roman" w:hAnsi="Consolas"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C37027"/>
    <w:rPr>
      <w:szCs w:val="24"/>
    </w:rPr>
  </w:style>
  <w:style w:type="character" w:styleId="LineNumber">
    <w:name w:val="line number"/>
    <w:uiPriority w:val="99"/>
    <w:semiHidden/>
    <w:unhideWhenUsed/>
    <w:rsid w:val="00C37027"/>
  </w:style>
  <w:style w:type="character" w:styleId="FollowedHyperlink">
    <w:name w:val="FollowedHyperlink"/>
    <w:uiPriority w:val="99"/>
    <w:semiHidden/>
    <w:unhideWhenUsed/>
    <w:rsid w:val="00C37027"/>
    <w:rPr>
      <w:color w:val="800080"/>
      <w:u w:val="single"/>
    </w:rPr>
  </w:style>
  <w:style w:type="table" w:styleId="PlainTable2">
    <w:name w:val="Plain Table 2"/>
    <w:basedOn w:val="TableNormal"/>
    <w:uiPriority w:val="42"/>
    <w:rsid w:val="00C37027"/>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anchor-text">
    <w:name w:val="anchor-text"/>
    <w:rsid w:val="00C37027"/>
  </w:style>
  <w:style w:type="table" w:styleId="PlainTable1">
    <w:name w:val="Plain Table 1"/>
    <w:basedOn w:val="TableNormal"/>
    <w:uiPriority w:val="41"/>
    <w:rsid w:val="00812061"/>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Revision">
    <w:name w:val="Revision"/>
    <w:hidden/>
    <w:uiPriority w:val="99"/>
    <w:semiHidden/>
    <w:rsid w:val="00BE34CD"/>
    <w:rPr>
      <w:rFonts w:ascii="Times New Roman" w:hAnsi="Times New Roman"/>
      <w:sz w:val="24"/>
      <w:szCs w:val="22"/>
      <w:lang w:eastAsia="en-US"/>
    </w:rPr>
  </w:style>
  <w:style w:type="character" w:styleId="UnresolvedMention">
    <w:name w:val="Unresolved Mention"/>
    <w:uiPriority w:val="99"/>
    <w:semiHidden/>
    <w:unhideWhenUsed/>
    <w:rsid w:val="00CE2F9F"/>
    <w:rPr>
      <w:color w:val="605E5C"/>
      <w:shd w:val="clear" w:color="auto" w:fill="E1DFDD"/>
    </w:rPr>
  </w:style>
  <w:style w:type="paragraph" w:styleId="Header">
    <w:name w:val="header"/>
    <w:basedOn w:val="Normal"/>
    <w:link w:val="HeaderChar"/>
    <w:uiPriority w:val="99"/>
    <w:unhideWhenUsed/>
    <w:rsid w:val="002D7648"/>
    <w:pPr>
      <w:tabs>
        <w:tab w:val="center" w:pos="4513"/>
        <w:tab w:val="right" w:pos="9026"/>
      </w:tabs>
      <w:spacing w:line="240" w:lineRule="auto"/>
    </w:pPr>
  </w:style>
  <w:style w:type="character" w:customStyle="1" w:styleId="HeaderChar">
    <w:name w:val="Header Char"/>
    <w:link w:val="Header"/>
    <w:uiPriority w:val="99"/>
    <w:rsid w:val="002D7648"/>
    <w:rPr>
      <w:rFonts w:ascii="Times New Roman" w:hAnsi="Times New Roman"/>
      <w:sz w:val="24"/>
      <w:szCs w:val="22"/>
      <w:lang w:eastAsia="en-US"/>
    </w:rPr>
  </w:style>
  <w:style w:type="paragraph" w:styleId="Footer">
    <w:name w:val="footer"/>
    <w:basedOn w:val="Normal"/>
    <w:link w:val="FooterChar"/>
    <w:uiPriority w:val="99"/>
    <w:unhideWhenUsed/>
    <w:rsid w:val="002D7648"/>
    <w:pPr>
      <w:tabs>
        <w:tab w:val="center" w:pos="4513"/>
        <w:tab w:val="right" w:pos="9026"/>
      </w:tabs>
      <w:spacing w:line="240" w:lineRule="auto"/>
    </w:pPr>
  </w:style>
  <w:style w:type="character" w:customStyle="1" w:styleId="FooterChar">
    <w:name w:val="Footer Char"/>
    <w:link w:val="Footer"/>
    <w:uiPriority w:val="99"/>
    <w:rsid w:val="002D7648"/>
    <w:rPr>
      <w:rFonts w:ascii="Times New Roman" w:hAnsi="Times New Roman"/>
      <w:sz w:val="24"/>
      <w:szCs w:val="22"/>
      <w:lang w:eastAsia="en-US"/>
    </w:rPr>
  </w:style>
  <w:style w:type="table" w:styleId="ListTable1Light">
    <w:name w:val="List Table 1 Light"/>
    <w:basedOn w:val="TableNormal"/>
    <w:uiPriority w:val="46"/>
    <w:rsid w:val="00EE0BE1"/>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PlainTable4">
    <w:name w:val="Plain Table 4"/>
    <w:basedOn w:val="TableNormal"/>
    <w:uiPriority w:val="44"/>
    <w:rsid w:val="00D2639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68749">
      <w:bodyDiv w:val="1"/>
      <w:marLeft w:val="0"/>
      <w:marRight w:val="0"/>
      <w:marTop w:val="0"/>
      <w:marBottom w:val="0"/>
      <w:divBdr>
        <w:top w:val="none" w:sz="0" w:space="0" w:color="auto"/>
        <w:left w:val="none" w:sz="0" w:space="0" w:color="auto"/>
        <w:bottom w:val="none" w:sz="0" w:space="0" w:color="auto"/>
        <w:right w:val="none" w:sz="0" w:space="0" w:color="auto"/>
      </w:divBdr>
    </w:div>
    <w:div w:id="141310827">
      <w:bodyDiv w:val="1"/>
      <w:marLeft w:val="0"/>
      <w:marRight w:val="0"/>
      <w:marTop w:val="0"/>
      <w:marBottom w:val="0"/>
      <w:divBdr>
        <w:top w:val="none" w:sz="0" w:space="0" w:color="auto"/>
        <w:left w:val="none" w:sz="0" w:space="0" w:color="auto"/>
        <w:bottom w:val="none" w:sz="0" w:space="0" w:color="auto"/>
        <w:right w:val="none" w:sz="0" w:space="0" w:color="auto"/>
      </w:divBdr>
    </w:div>
    <w:div w:id="380059060">
      <w:bodyDiv w:val="1"/>
      <w:marLeft w:val="0"/>
      <w:marRight w:val="0"/>
      <w:marTop w:val="0"/>
      <w:marBottom w:val="0"/>
      <w:divBdr>
        <w:top w:val="none" w:sz="0" w:space="0" w:color="auto"/>
        <w:left w:val="none" w:sz="0" w:space="0" w:color="auto"/>
        <w:bottom w:val="none" w:sz="0" w:space="0" w:color="auto"/>
        <w:right w:val="none" w:sz="0" w:space="0" w:color="auto"/>
      </w:divBdr>
    </w:div>
    <w:div w:id="393237835">
      <w:bodyDiv w:val="1"/>
      <w:marLeft w:val="0"/>
      <w:marRight w:val="0"/>
      <w:marTop w:val="0"/>
      <w:marBottom w:val="0"/>
      <w:divBdr>
        <w:top w:val="none" w:sz="0" w:space="0" w:color="auto"/>
        <w:left w:val="none" w:sz="0" w:space="0" w:color="auto"/>
        <w:bottom w:val="none" w:sz="0" w:space="0" w:color="auto"/>
        <w:right w:val="none" w:sz="0" w:space="0" w:color="auto"/>
      </w:divBdr>
    </w:div>
    <w:div w:id="468476277">
      <w:bodyDiv w:val="1"/>
      <w:marLeft w:val="0"/>
      <w:marRight w:val="0"/>
      <w:marTop w:val="0"/>
      <w:marBottom w:val="0"/>
      <w:divBdr>
        <w:top w:val="none" w:sz="0" w:space="0" w:color="auto"/>
        <w:left w:val="none" w:sz="0" w:space="0" w:color="auto"/>
        <w:bottom w:val="none" w:sz="0" w:space="0" w:color="auto"/>
        <w:right w:val="none" w:sz="0" w:space="0" w:color="auto"/>
      </w:divBdr>
    </w:div>
    <w:div w:id="558243882">
      <w:bodyDiv w:val="1"/>
      <w:marLeft w:val="0"/>
      <w:marRight w:val="0"/>
      <w:marTop w:val="0"/>
      <w:marBottom w:val="0"/>
      <w:divBdr>
        <w:top w:val="none" w:sz="0" w:space="0" w:color="auto"/>
        <w:left w:val="none" w:sz="0" w:space="0" w:color="auto"/>
        <w:bottom w:val="none" w:sz="0" w:space="0" w:color="auto"/>
        <w:right w:val="none" w:sz="0" w:space="0" w:color="auto"/>
      </w:divBdr>
    </w:div>
    <w:div w:id="657073503">
      <w:bodyDiv w:val="1"/>
      <w:marLeft w:val="0"/>
      <w:marRight w:val="0"/>
      <w:marTop w:val="0"/>
      <w:marBottom w:val="0"/>
      <w:divBdr>
        <w:top w:val="none" w:sz="0" w:space="0" w:color="auto"/>
        <w:left w:val="none" w:sz="0" w:space="0" w:color="auto"/>
        <w:bottom w:val="none" w:sz="0" w:space="0" w:color="auto"/>
        <w:right w:val="none" w:sz="0" w:space="0" w:color="auto"/>
      </w:divBdr>
      <w:divsChild>
        <w:div w:id="838694394">
          <w:marLeft w:val="0"/>
          <w:marRight w:val="0"/>
          <w:marTop w:val="0"/>
          <w:marBottom w:val="0"/>
          <w:divBdr>
            <w:top w:val="none" w:sz="0" w:space="0" w:color="auto"/>
            <w:left w:val="none" w:sz="0" w:space="0" w:color="auto"/>
            <w:bottom w:val="none" w:sz="0" w:space="0" w:color="auto"/>
            <w:right w:val="none" w:sz="0" w:space="0" w:color="auto"/>
          </w:divBdr>
          <w:divsChild>
            <w:div w:id="278492703">
              <w:marLeft w:val="0"/>
              <w:marRight w:val="0"/>
              <w:marTop w:val="0"/>
              <w:marBottom w:val="0"/>
              <w:divBdr>
                <w:top w:val="none" w:sz="0" w:space="0" w:color="auto"/>
                <w:left w:val="none" w:sz="0" w:space="0" w:color="auto"/>
                <w:bottom w:val="none" w:sz="0" w:space="0" w:color="auto"/>
                <w:right w:val="none" w:sz="0" w:space="0" w:color="auto"/>
              </w:divBdr>
              <w:divsChild>
                <w:div w:id="410392398">
                  <w:marLeft w:val="0"/>
                  <w:marRight w:val="0"/>
                  <w:marTop w:val="0"/>
                  <w:marBottom w:val="0"/>
                  <w:divBdr>
                    <w:top w:val="none" w:sz="0" w:space="0" w:color="auto"/>
                    <w:left w:val="none" w:sz="0" w:space="0" w:color="auto"/>
                    <w:bottom w:val="none" w:sz="0" w:space="0" w:color="auto"/>
                    <w:right w:val="none" w:sz="0" w:space="0" w:color="auto"/>
                  </w:divBdr>
                  <w:divsChild>
                    <w:div w:id="112888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436126">
      <w:bodyDiv w:val="1"/>
      <w:marLeft w:val="0"/>
      <w:marRight w:val="0"/>
      <w:marTop w:val="0"/>
      <w:marBottom w:val="0"/>
      <w:divBdr>
        <w:top w:val="none" w:sz="0" w:space="0" w:color="auto"/>
        <w:left w:val="none" w:sz="0" w:space="0" w:color="auto"/>
        <w:bottom w:val="none" w:sz="0" w:space="0" w:color="auto"/>
        <w:right w:val="none" w:sz="0" w:space="0" w:color="auto"/>
      </w:divBdr>
    </w:div>
    <w:div w:id="742602484">
      <w:bodyDiv w:val="1"/>
      <w:marLeft w:val="0"/>
      <w:marRight w:val="0"/>
      <w:marTop w:val="0"/>
      <w:marBottom w:val="0"/>
      <w:divBdr>
        <w:top w:val="none" w:sz="0" w:space="0" w:color="auto"/>
        <w:left w:val="none" w:sz="0" w:space="0" w:color="auto"/>
        <w:bottom w:val="none" w:sz="0" w:space="0" w:color="auto"/>
        <w:right w:val="none" w:sz="0" w:space="0" w:color="auto"/>
      </w:divBdr>
    </w:div>
    <w:div w:id="842940663">
      <w:bodyDiv w:val="1"/>
      <w:marLeft w:val="0"/>
      <w:marRight w:val="0"/>
      <w:marTop w:val="0"/>
      <w:marBottom w:val="0"/>
      <w:divBdr>
        <w:top w:val="none" w:sz="0" w:space="0" w:color="auto"/>
        <w:left w:val="none" w:sz="0" w:space="0" w:color="auto"/>
        <w:bottom w:val="none" w:sz="0" w:space="0" w:color="auto"/>
        <w:right w:val="none" w:sz="0" w:space="0" w:color="auto"/>
      </w:divBdr>
    </w:div>
    <w:div w:id="938491660">
      <w:bodyDiv w:val="1"/>
      <w:marLeft w:val="0"/>
      <w:marRight w:val="0"/>
      <w:marTop w:val="0"/>
      <w:marBottom w:val="0"/>
      <w:divBdr>
        <w:top w:val="none" w:sz="0" w:space="0" w:color="auto"/>
        <w:left w:val="none" w:sz="0" w:space="0" w:color="auto"/>
        <w:bottom w:val="none" w:sz="0" w:space="0" w:color="auto"/>
        <w:right w:val="none" w:sz="0" w:space="0" w:color="auto"/>
      </w:divBdr>
    </w:div>
    <w:div w:id="970747829">
      <w:bodyDiv w:val="1"/>
      <w:marLeft w:val="0"/>
      <w:marRight w:val="0"/>
      <w:marTop w:val="0"/>
      <w:marBottom w:val="0"/>
      <w:divBdr>
        <w:top w:val="none" w:sz="0" w:space="0" w:color="auto"/>
        <w:left w:val="none" w:sz="0" w:space="0" w:color="auto"/>
        <w:bottom w:val="none" w:sz="0" w:space="0" w:color="auto"/>
        <w:right w:val="none" w:sz="0" w:space="0" w:color="auto"/>
      </w:divBdr>
    </w:div>
    <w:div w:id="1487283899">
      <w:bodyDiv w:val="1"/>
      <w:marLeft w:val="0"/>
      <w:marRight w:val="0"/>
      <w:marTop w:val="0"/>
      <w:marBottom w:val="0"/>
      <w:divBdr>
        <w:top w:val="none" w:sz="0" w:space="0" w:color="auto"/>
        <w:left w:val="none" w:sz="0" w:space="0" w:color="auto"/>
        <w:bottom w:val="none" w:sz="0" w:space="0" w:color="auto"/>
        <w:right w:val="none" w:sz="0" w:space="0" w:color="auto"/>
      </w:divBdr>
    </w:div>
    <w:div w:id="1590428160">
      <w:bodyDiv w:val="1"/>
      <w:marLeft w:val="0"/>
      <w:marRight w:val="0"/>
      <w:marTop w:val="0"/>
      <w:marBottom w:val="0"/>
      <w:divBdr>
        <w:top w:val="none" w:sz="0" w:space="0" w:color="auto"/>
        <w:left w:val="none" w:sz="0" w:space="0" w:color="auto"/>
        <w:bottom w:val="none" w:sz="0" w:space="0" w:color="auto"/>
        <w:right w:val="none" w:sz="0" w:space="0" w:color="auto"/>
      </w:divBdr>
    </w:div>
    <w:div w:id="1979189006">
      <w:bodyDiv w:val="1"/>
      <w:marLeft w:val="0"/>
      <w:marRight w:val="0"/>
      <w:marTop w:val="0"/>
      <w:marBottom w:val="0"/>
      <w:divBdr>
        <w:top w:val="none" w:sz="0" w:space="0" w:color="auto"/>
        <w:left w:val="none" w:sz="0" w:space="0" w:color="auto"/>
        <w:bottom w:val="none" w:sz="0" w:space="0" w:color="auto"/>
        <w:right w:val="none" w:sz="0" w:space="0" w:color="auto"/>
      </w:divBdr>
    </w:div>
    <w:div w:id="2108309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dermok1010/Methane_Selection_Index_Analysis"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 Id="rId16"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84a64d9-e0b9-4ebc-9dbe-ba738220904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96EC69E7A4E72499483E6F02B4AFB81" ma:contentTypeVersion="15" ma:contentTypeDescription="Create a new document." ma:contentTypeScope="" ma:versionID="bc8852126371099ae99c8aa34652dae9">
  <xsd:schema xmlns:xsd="http://www.w3.org/2001/XMLSchema" xmlns:xs="http://www.w3.org/2001/XMLSchema" xmlns:p="http://schemas.microsoft.com/office/2006/metadata/properties" xmlns:ns3="74bd1280-7bf8-41ca-a28a-063f53dd333e" xmlns:ns4="b84a64d9-e0b9-4ebc-9dbe-ba7382209046" targetNamespace="http://schemas.microsoft.com/office/2006/metadata/properties" ma:root="true" ma:fieldsID="c3bc438b50810b1abee84e82e1b3ed7a" ns3:_="" ns4:_="">
    <xsd:import namespace="74bd1280-7bf8-41ca-a28a-063f53dd333e"/>
    <xsd:import namespace="b84a64d9-e0b9-4ebc-9dbe-ba738220904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LengthInSeconds" minOccurs="0"/>
                <xsd:element ref="ns4:_activity" minOccurs="0"/>
                <xsd:element ref="ns4:MediaServiceSearchProperties" minOccurs="0"/>
                <xsd:element ref="ns4:MediaServiceObjectDetectorVersions" minOccurs="0"/>
                <xsd:element ref="ns4:MediaServiceSystemTags" minOccurs="0"/>
                <xsd:element ref="ns4:MediaServiceGenerationTime" minOccurs="0"/>
                <xsd:element ref="ns4:MediaServiceEventHashCode"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bd1280-7bf8-41ca-a28a-063f53dd333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4a64d9-e0b9-4ebc-9dbe-ba738220904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66845-37E2-4776-BF6A-084BBD2EF57A}">
  <ds:schemaRefs>
    <ds:schemaRef ds:uri="http://schemas.microsoft.com/office/2006/metadata/properties"/>
    <ds:schemaRef ds:uri="http://schemas.microsoft.com/office/infopath/2007/PartnerControls"/>
    <ds:schemaRef ds:uri="b84a64d9-e0b9-4ebc-9dbe-ba7382209046"/>
  </ds:schemaRefs>
</ds:datastoreItem>
</file>

<file path=customXml/itemProps2.xml><?xml version="1.0" encoding="utf-8"?>
<ds:datastoreItem xmlns:ds="http://schemas.openxmlformats.org/officeDocument/2006/customXml" ds:itemID="{80D3ACBB-80B9-477B-8DB0-AC5D117230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bd1280-7bf8-41ca-a28a-063f53dd333e"/>
    <ds:schemaRef ds:uri="b84a64d9-e0b9-4ebc-9dbe-ba73822090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0FFA8C9-46C6-485C-8D0D-FE16A4EE410F}">
  <ds:schemaRefs>
    <ds:schemaRef ds:uri="http://schemas.microsoft.com/sharepoint/v3/contenttype/forms"/>
  </ds:schemaRefs>
</ds:datastoreItem>
</file>

<file path=customXml/itemProps4.xml><?xml version="1.0" encoding="utf-8"?>
<ds:datastoreItem xmlns:ds="http://schemas.openxmlformats.org/officeDocument/2006/customXml" ds:itemID="{2BD4A51E-3639-4226-9642-9F9BBAFC18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31</Pages>
  <Words>14587</Words>
  <Characters>83150</Characters>
  <Application>Microsoft Office Word</Application>
  <DocSecurity>0</DocSecurity>
  <Lines>692</Lines>
  <Paragraphs>195</Paragraphs>
  <ScaleCrop>false</ScaleCrop>
  <HeadingPairs>
    <vt:vector size="2" baseType="variant">
      <vt:variant>
        <vt:lpstr>Title</vt:lpstr>
      </vt:variant>
      <vt:variant>
        <vt:i4>1</vt:i4>
      </vt:variant>
    </vt:vector>
  </HeadingPairs>
  <TitlesOfParts>
    <vt:vector size="1" baseType="lpstr">
      <vt:lpstr/>
    </vt:vector>
  </TitlesOfParts>
  <Company>Teagasc</Company>
  <LinksUpToDate>false</LinksUpToDate>
  <CharactersWithSpaces>97542</CharactersWithSpaces>
  <SharedDoc>false</SharedDoc>
  <HLinks>
    <vt:vector size="246" baseType="variant">
      <vt:variant>
        <vt:i4>6946874</vt:i4>
      </vt:variant>
      <vt:variant>
        <vt:i4>319</vt:i4>
      </vt:variant>
      <vt:variant>
        <vt:i4>0</vt:i4>
      </vt:variant>
      <vt:variant>
        <vt:i4>5</vt:i4>
      </vt:variant>
      <vt:variant>
        <vt:lpwstr>https://doi.org/10.1038/s41598-023-48449-y</vt:lpwstr>
      </vt:variant>
      <vt:variant>
        <vt:lpwstr/>
      </vt:variant>
      <vt:variant>
        <vt:i4>7274592</vt:i4>
      </vt:variant>
      <vt:variant>
        <vt:i4>316</vt:i4>
      </vt:variant>
      <vt:variant>
        <vt:i4>0</vt:i4>
      </vt:variant>
      <vt:variant>
        <vt:i4>5</vt:i4>
      </vt:variant>
      <vt:variant>
        <vt:lpwstr>https://doi.org/10.1093/jas/skae256</vt:lpwstr>
      </vt:variant>
      <vt:variant>
        <vt:lpwstr/>
      </vt:variant>
      <vt:variant>
        <vt:i4>6881312</vt:i4>
      </vt:variant>
      <vt:variant>
        <vt:i4>313</vt:i4>
      </vt:variant>
      <vt:variant>
        <vt:i4>0</vt:i4>
      </vt:variant>
      <vt:variant>
        <vt:i4>5</vt:i4>
      </vt:variant>
      <vt:variant>
        <vt:lpwstr>https://doi.org/https://doi.org/10.3168/jds.2024-25778</vt:lpwstr>
      </vt:variant>
      <vt:variant>
        <vt:lpwstr/>
      </vt:variant>
      <vt:variant>
        <vt:i4>7143456</vt:i4>
      </vt:variant>
      <vt:variant>
        <vt:i4>310</vt:i4>
      </vt:variant>
      <vt:variant>
        <vt:i4>0</vt:i4>
      </vt:variant>
      <vt:variant>
        <vt:i4>5</vt:i4>
      </vt:variant>
      <vt:variant>
        <vt:lpwstr>https://doi.org/https://doi.org/10.3168/jds.2023-23915</vt:lpwstr>
      </vt:variant>
      <vt:variant>
        <vt:lpwstr/>
      </vt:variant>
      <vt:variant>
        <vt:i4>7012431</vt:i4>
      </vt:variant>
      <vt:variant>
        <vt:i4>307</vt:i4>
      </vt:variant>
      <vt:variant>
        <vt:i4>0</vt:i4>
      </vt:variant>
      <vt:variant>
        <vt:i4>5</vt:i4>
      </vt:variant>
      <vt:variant>
        <vt:lpwstr>https://doi.org/10.1007/978-981-10-4714-5_10</vt:lpwstr>
      </vt:variant>
      <vt:variant>
        <vt:lpwstr/>
      </vt:variant>
      <vt:variant>
        <vt:i4>6946912</vt:i4>
      </vt:variant>
      <vt:variant>
        <vt:i4>304</vt:i4>
      </vt:variant>
      <vt:variant>
        <vt:i4>0</vt:i4>
      </vt:variant>
      <vt:variant>
        <vt:i4>5</vt:i4>
      </vt:variant>
      <vt:variant>
        <vt:lpwstr>https://doi.org/10.1093/jas/skab275</vt:lpwstr>
      </vt:variant>
      <vt:variant>
        <vt:lpwstr/>
      </vt:variant>
      <vt:variant>
        <vt:i4>131080</vt:i4>
      </vt:variant>
      <vt:variant>
        <vt:i4>301</vt:i4>
      </vt:variant>
      <vt:variant>
        <vt:i4>0</vt:i4>
      </vt:variant>
      <vt:variant>
        <vt:i4>5</vt:i4>
      </vt:variant>
      <vt:variant>
        <vt:lpwstr>https://doi.org/10.3389/fvets.2022.958340</vt:lpwstr>
      </vt:variant>
      <vt:variant>
        <vt:lpwstr/>
      </vt:variant>
      <vt:variant>
        <vt:i4>7798909</vt:i4>
      </vt:variant>
      <vt:variant>
        <vt:i4>298</vt:i4>
      </vt:variant>
      <vt:variant>
        <vt:i4>0</vt:i4>
      </vt:variant>
      <vt:variant>
        <vt:i4>5</vt:i4>
      </vt:variant>
      <vt:variant>
        <vt:lpwstr>https://doi.org/https://doi.org/10.1071/AN18383</vt:lpwstr>
      </vt:variant>
      <vt:variant>
        <vt:lpwstr/>
      </vt:variant>
      <vt:variant>
        <vt:i4>6684709</vt:i4>
      </vt:variant>
      <vt:variant>
        <vt:i4>295</vt:i4>
      </vt:variant>
      <vt:variant>
        <vt:i4>0</vt:i4>
      </vt:variant>
      <vt:variant>
        <vt:i4>5</vt:i4>
      </vt:variant>
      <vt:variant>
        <vt:lpwstr>https://www.mdpi.com/2076-2615/13/6/974</vt:lpwstr>
      </vt:variant>
      <vt:variant>
        <vt:lpwstr/>
      </vt:variant>
      <vt:variant>
        <vt:i4>7209059</vt:i4>
      </vt:variant>
      <vt:variant>
        <vt:i4>292</vt:i4>
      </vt:variant>
      <vt:variant>
        <vt:i4>0</vt:i4>
      </vt:variant>
      <vt:variant>
        <vt:i4>5</vt:i4>
      </vt:variant>
      <vt:variant>
        <vt:lpwstr>https://doi.org/10.1093/jas/skab132</vt:lpwstr>
      </vt:variant>
      <vt:variant>
        <vt:lpwstr/>
      </vt:variant>
      <vt:variant>
        <vt:i4>6815843</vt:i4>
      </vt:variant>
      <vt:variant>
        <vt:i4>289</vt:i4>
      </vt:variant>
      <vt:variant>
        <vt:i4>0</vt:i4>
      </vt:variant>
      <vt:variant>
        <vt:i4>5</vt:i4>
      </vt:variant>
      <vt:variant>
        <vt:lpwstr>https://doi.org/10.1093/jas/skae127</vt:lpwstr>
      </vt:variant>
      <vt:variant>
        <vt:lpwstr/>
      </vt:variant>
      <vt:variant>
        <vt:i4>6619232</vt:i4>
      </vt:variant>
      <vt:variant>
        <vt:i4>286</vt:i4>
      </vt:variant>
      <vt:variant>
        <vt:i4>0</vt:i4>
      </vt:variant>
      <vt:variant>
        <vt:i4>5</vt:i4>
      </vt:variant>
      <vt:variant>
        <vt:lpwstr>https://doi.org/10.1093/jas/skab288</vt:lpwstr>
      </vt:variant>
      <vt:variant>
        <vt:lpwstr/>
      </vt:variant>
      <vt:variant>
        <vt:i4>4259844</vt:i4>
      </vt:variant>
      <vt:variant>
        <vt:i4>283</vt:i4>
      </vt:variant>
      <vt:variant>
        <vt:i4>0</vt:i4>
      </vt:variant>
      <vt:variant>
        <vt:i4>5</vt:i4>
      </vt:variant>
      <vt:variant>
        <vt:lpwstr>https://doi.org/https://doi.org/10.1016/j.animal.2024.101140</vt:lpwstr>
      </vt:variant>
      <vt:variant>
        <vt:lpwstr/>
      </vt:variant>
      <vt:variant>
        <vt:i4>7340157</vt:i4>
      </vt:variant>
      <vt:variant>
        <vt:i4>280</vt:i4>
      </vt:variant>
      <vt:variant>
        <vt:i4>0</vt:i4>
      </vt:variant>
      <vt:variant>
        <vt:i4>5</vt:i4>
      </vt:variant>
      <vt:variant>
        <vt:lpwstr>https://doi.org/https://doi.org/10.1071/AN23049</vt:lpwstr>
      </vt:variant>
      <vt:variant>
        <vt:lpwstr/>
      </vt:variant>
      <vt:variant>
        <vt:i4>6029312</vt:i4>
      </vt:variant>
      <vt:variant>
        <vt:i4>277</vt:i4>
      </vt:variant>
      <vt:variant>
        <vt:i4>0</vt:i4>
      </vt:variant>
      <vt:variant>
        <vt:i4>5</vt:i4>
      </vt:variant>
      <vt:variant>
        <vt:lpwstr>https://doi.org/https://doi.org/10.1016/j.anifeedsci.2021.115025</vt:lpwstr>
      </vt:variant>
      <vt:variant>
        <vt:lpwstr/>
      </vt:variant>
      <vt:variant>
        <vt:i4>2228342</vt:i4>
      </vt:variant>
      <vt:variant>
        <vt:i4>274</vt:i4>
      </vt:variant>
      <vt:variant>
        <vt:i4>0</vt:i4>
      </vt:variant>
      <vt:variant>
        <vt:i4>5</vt:i4>
      </vt:variant>
      <vt:variant>
        <vt:lpwstr>https://doi.org/https://doi.org/10.1016/j.xhgg.2025.100406</vt:lpwstr>
      </vt:variant>
      <vt:variant>
        <vt:lpwstr/>
      </vt:variant>
      <vt:variant>
        <vt:i4>1441811</vt:i4>
      </vt:variant>
      <vt:variant>
        <vt:i4>271</vt:i4>
      </vt:variant>
      <vt:variant>
        <vt:i4>0</vt:i4>
      </vt:variant>
      <vt:variant>
        <vt:i4>5</vt:i4>
      </vt:variant>
      <vt:variant>
        <vt:lpwstr>https://doi.org/10.1017/S0021859600066910</vt:lpwstr>
      </vt:variant>
      <vt:variant>
        <vt:lpwstr/>
      </vt:variant>
      <vt:variant>
        <vt:i4>2359350</vt:i4>
      </vt:variant>
      <vt:variant>
        <vt:i4>268</vt:i4>
      </vt:variant>
      <vt:variant>
        <vt:i4>0</vt:i4>
      </vt:variant>
      <vt:variant>
        <vt:i4>5</vt:i4>
      </vt:variant>
      <vt:variant>
        <vt:lpwstr>https://doi.org/10.1038/s42003-022-03293-0</vt:lpwstr>
      </vt:variant>
      <vt:variant>
        <vt:lpwstr/>
      </vt:variant>
      <vt:variant>
        <vt:i4>3538991</vt:i4>
      </vt:variant>
      <vt:variant>
        <vt:i4>265</vt:i4>
      </vt:variant>
      <vt:variant>
        <vt:i4>0</vt:i4>
      </vt:variant>
      <vt:variant>
        <vt:i4>5</vt:i4>
      </vt:variant>
      <vt:variant>
        <vt:lpwstr>https://doi.org/10.3389/fanim.2025.1430709</vt:lpwstr>
      </vt:variant>
      <vt:variant>
        <vt:lpwstr/>
      </vt:variant>
      <vt:variant>
        <vt:i4>3604522</vt:i4>
      </vt:variant>
      <vt:variant>
        <vt:i4>262</vt:i4>
      </vt:variant>
      <vt:variant>
        <vt:i4>0</vt:i4>
      </vt:variant>
      <vt:variant>
        <vt:i4>5</vt:i4>
      </vt:variant>
      <vt:variant>
        <vt:lpwstr>https://doi.org/10.3389/fanim.2024.1433769</vt:lpwstr>
      </vt:variant>
      <vt:variant>
        <vt:lpwstr/>
      </vt:variant>
      <vt:variant>
        <vt:i4>6684790</vt:i4>
      </vt:variant>
      <vt:variant>
        <vt:i4>259</vt:i4>
      </vt:variant>
      <vt:variant>
        <vt:i4>0</vt:i4>
      </vt:variant>
      <vt:variant>
        <vt:i4>5</vt:i4>
      </vt:variant>
      <vt:variant>
        <vt:lpwstr>https://doi.org/10.2527/1993.71123239x</vt:lpwstr>
      </vt:variant>
      <vt:variant>
        <vt:lpwstr/>
      </vt:variant>
      <vt:variant>
        <vt:i4>3735666</vt:i4>
      </vt:variant>
      <vt:variant>
        <vt:i4>256</vt:i4>
      </vt:variant>
      <vt:variant>
        <vt:i4>0</vt:i4>
      </vt:variant>
      <vt:variant>
        <vt:i4>5</vt:i4>
      </vt:variant>
      <vt:variant>
        <vt:lpwstr>https://doi.org/10.1093/jas/sky187</vt:lpwstr>
      </vt:variant>
      <vt:variant>
        <vt:lpwstr/>
      </vt:variant>
      <vt:variant>
        <vt:i4>3932287</vt:i4>
      </vt:variant>
      <vt:variant>
        <vt:i4>253</vt:i4>
      </vt:variant>
      <vt:variant>
        <vt:i4>0</vt:i4>
      </vt:variant>
      <vt:variant>
        <vt:i4>5</vt:i4>
      </vt:variant>
      <vt:variant>
        <vt:lpwstr>https://doi.org/10.1093/jas/skz162</vt:lpwstr>
      </vt:variant>
      <vt:variant>
        <vt:lpwstr/>
      </vt:variant>
      <vt:variant>
        <vt:i4>5636189</vt:i4>
      </vt:variant>
      <vt:variant>
        <vt:i4>250</vt:i4>
      </vt:variant>
      <vt:variant>
        <vt:i4>0</vt:i4>
      </vt:variant>
      <vt:variant>
        <vt:i4>5</vt:i4>
      </vt:variant>
      <vt:variant>
        <vt:lpwstr>https://doi.org/10.2527/jas.2014-8273</vt:lpwstr>
      </vt:variant>
      <vt:variant>
        <vt:lpwstr/>
      </vt:variant>
      <vt:variant>
        <vt:i4>6094873</vt:i4>
      </vt:variant>
      <vt:variant>
        <vt:i4>247</vt:i4>
      </vt:variant>
      <vt:variant>
        <vt:i4>0</vt:i4>
      </vt:variant>
      <vt:variant>
        <vt:i4>5</vt:i4>
      </vt:variant>
      <vt:variant>
        <vt:lpwstr>https://doi.org/https://doi.org/10.1016/j.anifeedsci.2011.04.012</vt:lpwstr>
      </vt:variant>
      <vt:variant>
        <vt:lpwstr/>
      </vt:variant>
      <vt:variant>
        <vt:i4>1507351</vt:i4>
      </vt:variant>
      <vt:variant>
        <vt:i4>244</vt:i4>
      </vt:variant>
      <vt:variant>
        <vt:i4>0</vt:i4>
      </vt:variant>
      <vt:variant>
        <vt:i4>5</vt:i4>
      </vt:variant>
      <vt:variant>
        <vt:lpwstr>https://doi.org/10.1017/S0007114513002936</vt:lpwstr>
      </vt:variant>
      <vt:variant>
        <vt:lpwstr/>
      </vt:variant>
      <vt:variant>
        <vt:i4>4456462</vt:i4>
      </vt:variant>
      <vt:variant>
        <vt:i4>241</vt:i4>
      </vt:variant>
      <vt:variant>
        <vt:i4>0</vt:i4>
      </vt:variant>
      <vt:variant>
        <vt:i4>5</vt:i4>
      </vt:variant>
      <vt:variant>
        <vt:lpwstr>https://doi.org/https://doi.org/10.1016/j.animal.2022.100490</vt:lpwstr>
      </vt:variant>
      <vt:variant>
        <vt:lpwstr/>
      </vt:variant>
      <vt:variant>
        <vt:i4>3145767</vt:i4>
      </vt:variant>
      <vt:variant>
        <vt:i4>238</vt:i4>
      </vt:variant>
      <vt:variant>
        <vt:i4>0</vt:i4>
      </vt:variant>
      <vt:variant>
        <vt:i4>5</vt:i4>
      </vt:variant>
      <vt:variant>
        <vt:lpwstr>https://doi.org/https://doi.org/10.1111/padr.12508</vt:lpwstr>
      </vt:variant>
      <vt:variant>
        <vt:lpwstr/>
      </vt:variant>
      <vt:variant>
        <vt:i4>1769564</vt:i4>
      </vt:variant>
      <vt:variant>
        <vt:i4>235</vt:i4>
      </vt:variant>
      <vt:variant>
        <vt:i4>0</vt:i4>
      </vt:variant>
      <vt:variant>
        <vt:i4>5</vt:i4>
      </vt:variant>
      <vt:variant>
        <vt:lpwstr>https://doi.org/https://doi.org/10.1017/S175173111700146X</vt:lpwstr>
      </vt:variant>
      <vt:variant>
        <vt:lpwstr/>
      </vt:variant>
      <vt:variant>
        <vt:i4>6160479</vt:i4>
      </vt:variant>
      <vt:variant>
        <vt:i4>232</vt:i4>
      </vt:variant>
      <vt:variant>
        <vt:i4>0</vt:i4>
      </vt:variant>
      <vt:variant>
        <vt:i4>5</vt:i4>
      </vt:variant>
      <vt:variant>
        <vt:lpwstr>https://doi.org/10.2527/jas.2015-0065</vt:lpwstr>
      </vt:variant>
      <vt:variant>
        <vt:lpwstr/>
      </vt:variant>
      <vt:variant>
        <vt:i4>7209057</vt:i4>
      </vt:variant>
      <vt:variant>
        <vt:i4>229</vt:i4>
      </vt:variant>
      <vt:variant>
        <vt:i4>0</vt:i4>
      </vt:variant>
      <vt:variant>
        <vt:i4>5</vt:i4>
      </vt:variant>
      <vt:variant>
        <vt:lpwstr>https://doi.org/10.1093/jas/skae346</vt:lpwstr>
      </vt:variant>
      <vt:variant>
        <vt:lpwstr/>
      </vt:variant>
      <vt:variant>
        <vt:i4>5242966</vt:i4>
      </vt:variant>
      <vt:variant>
        <vt:i4>226</vt:i4>
      </vt:variant>
      <vt:variant>
        <vt:i4>0</vt:i4>
      </vt:variant>
      <vt:variant>
        <vt:i4>5</vt:i4>
      </vt:variant>
      <vt:variant>
        <vt:lpwstr>https://doi.org/10.2527/jas.2009-1852</vt:lpwstr>
      </vt:variant>
      <vt:variant>
        <vt:lpwstr/>
      </vt:variant>
      <vt:variant>
        <vt:i4>4653134</vt:i4>
      </vt:variant>
      <vt:variant>
        <vt:i4>223</vt:i4>
      </vt:variant>
      <vt:variant>
        <vt:i4>0</vt:i4>
      </vt:variant>
      <vt:variant>
        <vt:i4>5</vt:i4>
      </vt:variant>
      <vt:variant>
        <vt:lpwstr>https://doi.org/https://doi.org/10.1016/j.meatsci.2014.06.004</vt:lpwstr>
      </vt:variant>
      <vt:variant>
        <vt:lpwstr/>
      </vt:variant>
      <vt:variant>
        <vt:i4>4587524</vt:i4>
      </vt:variant>
      <vt:variant>
        <vt:i4>220</vt:i4>
      </vt:variant>
      <vt:variant>
        <vt:i4>0</vt:i4>
      </vt:variant>
      <vt:variant>
        <vt:i4>5</vt:i4>
      </vt:variant>
      <vt:variant>
        <vt:lpwstr>https://www.mdpi.com/2076-2615/10/12/2380</vt:lpwstr>
      </vt:variant>
      <vt:variant>
        <vt:lpwstr/>
      </vt:variant>
      <vt:variant>
        <vt:i4>7471213</vt:i4>
      </vt:variant>
      <vt:variant>
        <vt:i4>217</vt:i4>
      </vt:variant>
      <vt:variant>
        <vt:i4>0</vt:i4>
      </vt:variant>
      <vt:variant>
        <vt:i4>5</vt:i4>
      </vt:variant>
      <vt:variant>
        <vt:lpwstr>https://doi.org/10.3390/ani11040951</vt:lpwstr>
      </vt:variant>
      <vt:variant>
        <vt:lpwstr/>
      </vt:variant>
      <vt:variant>
        <vt:i4>6094912</vt:i4>
      </vt:variant>
      <vt:variant>
        <vt:i4>214</vt:i4>
      </vt:variant>
      <vt:variant>
        <vt:i4>0</vt:i4>
      </vt:variant>
      <vt:variant>
        <vt:i4>5</vt:i4>
      </vt:variant>
      <vt:variant>
        <vt:lpwstr>https://doi.org/10.2527/jas2017.1477</vt:lpwstr>
      </vt:variant>
      <vt:variant>
        <vt:lpwstr/>
      </vt:variant>
      <vt:variant>
        <vt:i4>6029399</vt:i4>
      </vt:variant>
      <vt:variant>
        <vt:i4>211</vt:i4>
      </vt:variant>
      <vt:variant>
        <vt:i4>0</vt:i4>
      </vt:variant>
      <vt:variant>
        <vt:i4>5</vt:i4>
      </vt:variant>
      <vt:variant>
        <vt:lpwstr>https://doi.org/10.2527/jas.2012-5862</vt:lpwstr>
      </vt:variant>
      <vt:variant>
        <vt:lpwstr/>
      </vt:variant>
      <vt:variant>
        <vt:i4>3407992</vt:i4>
      </vt:variant>
      <vt:variant>
        <vt:i4>208</vt:i4>
      </vt:variant>
      <vt:variant>
        <vt:i4>0</vt:i4>
      </vt:variant>
      <vt:variant>
        <vt:i4>5</vt:i4>
      </vt:variant>
      <vt:variant>
        <vt:lpwstr>https://doi.org/https://doi.org/10.15232/aas.2024-02583</vt:lpwstr>
      </vt:variant>
      <vt:variant>
        <vt:lpwstr/>
      </vt:variant>
      <vt:variant>
        <vt:i4>3997757</vt:i4>
      </vt:variant>
      <vt:variant>
        <vt:i4>205</vt:i4>
      </vt:variant>
      <vt:variant>
        <vt:i4>0</vt:i4>
      </vt:variant>
      <vt:variant>
        <vt:i4>5</vt:i4>
      </vt:variant>
      <vt:variant>
        <vt:lpwstr>https://doi.org/10.4141/a06-021</vt:lpwstr>
      </vt:variant>
      <vt:variant>
        <vt:lpwstr/>
      </vt:variant>
      <vt:variant>
        <vt:i4>8126572</vt:i4>
      </vt:variant>
      <vt:variant>
        <vt:i4>202</vt:i4>
      </vt:variant>
      <vt:variant>
        <vt:i4>0</vt:i4>
      </vt:variant>
      <vt:variant>
        <vt:i4>5</vt:i4>
      </vt:variant>
      <vt:variant>
        <vt:lpwstr>https://doi.org/10.3390/ani12192687</vt:lpwstr>
      </vt:variant>
      <vt:variant>
        <vt:lpwstr/>
      </vt:variant>
      <vt:variant>
        <vt:i4>720918</vt:i4>
      </vt:variant>
      <vt:variant>
        <vt:i4>60</vt:i4>
      </vt:variant>
      <vt:variant>
        <vt:i4>0</vt:i4>
      </vt:variant>
      <vt:variant>
        <vt:i4>5</vt:i4>
      </vt:variant>
      <vt:variant>
        <vt:lpwstr>http://www.sheep.ie/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Noirin McHugh</dc:creator>
  <cp:keywords/>
  <dc:description/>
  <cp:lastModifiedBy>Dermot Kelly</cp:lastModifiedBy>
  <cp:revision>6</cp:revision>
  <cp:lastPrinted>2026-06-03T16:09:00Z</cp:lastPrinted>
  <dcterms:created xsi:type="dcterms:W3CDTF">2026-06-03T16:50:00Z</dcterms:created>
  <dcterms:modified xsi:type="dcterms:W3CDTF">2026-06-05T14:53:00Z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0x010100596EC69E7A4E72499483E6F02B4AFB81</vt:lpwstr>
  </property>
</Properties>
</file>