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INTC Day Trading Framework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Dermot | AWS ASEAN AI &amp; Data GTM Lead | Singapore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Version 1.1 | Built on TradingView NASDAQ Data | 60-Day Validated Dataset</w:t>
      </w:r>
    </w:p>
    <w:p>
      <w:pPr>
        <w:pStyle w:val="Heading1"/>
        <w:spacing w:after="150" w:before="300"/>
      </w:pPr>
      <w:r>
        <w:t xml:space="preserve">1. Strategy Overview</w:t>
      </w:r>
    </w:p>
    <w:p>
      <w:pPr>
        <w:spacing w:after="200"/>
      </w:pPr>
      <w:r>
        <w:t xml:space="preserve">This framework is a rules-based intraday scalping system for Intel Corporation (INTC) on NASDAQ, operated exclusively on 1-minute candles. The strategy trades the bottom of the bounce — identifying genuine exhaustion lows using VWAP band positioning, RSI oversold conditions, and full bullish engulfing candlestick confirmation.</w:t>
      </w:r>
    </w:p>
    <w:p>
      <w:pPr>
        <w:pStyle w:val="Heading2"/>
        <w:spacing w:after="150" w:before="200"/>
      </w:pPr>
      <w:r>
        <w:t xml:space="preserve">Validated Dataset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1F2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shd w:fill="D9E1F2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Dataset period</w:t>
            </w:r>
          </w:p>
        </w:tc>
        <w:tc>
          <w:tcPr>
            <w:tcW w:type="dxa" w:w="4500"/>
          </w:tcPr>
          <w:p>
            <w:r>
              <w:t xml:space="preserve">60 trading days</w:t>
            </w:r>
          </w:p>
        </w:tc>
      </w:tr>
      <w:tr>
        <w:tc>
          <w:tcPr>
            <w:tcW w:type="dxa" w:w="4500"/>
          </w:tcPr>
          <w:p>
            <w:r>
              <w:t xml:space="preserve">Total bullish engulfing instances</w:t>
            </w:r>
          </w:p>
        </w:tc>
        <w:tc>
          <w:tcPr>
            <w:tcW w:type="dxa" w:w="4500"/>
          </w:tcPr>
          <w:p>
            <w:r>
              <w:t xml:space="preserve">143</w:t>
            </w:r>
          </w:p>
        </w:tc>
      </w:tr>
      <w:tr>
        <w:tc>
          <w:tcPr>
            <w:tcW w:type="dxa" w:w="4500"/>
          </w:tcPr>
          <w:p>
            <w:r>
              <w:t xml:space="preserve">Confirmed (second green candle)</w:t>
            </w:r>
          </w:p>
        </w:tc>
        <w:tc>
          <w:tcPr>
            <w:tcW w:type="dxa" w:w="4500"/>
          </w:tcPr>
          <w:p>
            <w:r>
              <w:t xml:space="preserve">76 (53%)</w:t>
            </w:r>
          </w:p>
        </w:tc>
      </w:tr>
      <w:tr>
        <w:tc>
          <w:tcPr>
            <w:tcW w:type="dxa" w:w="4500"/>
          </w:tcPr>
          <w:p>
            <w:r>
              <w:t xml:space="preserve">Average gain on confirmed trades</w:t>
            </w:r>
          </w:p>
        </w:tc>
        <w:tc>
          <w:tcPr>
            <w:tcW w:type="dxa" w:w="4500"/>
          </w:tcPr>
          <w:p>
            <w:r>
              <w:t xml:space="preserve">$0.84</w:t>
            </w:r>
          </w:p>
        </w:tc>
      </w:tr>
      <w:tr>
        <w:tc>
          <w:tcPr>
            <w:tcW w:type="dxa" w:w="4500"/>
          </w:tcPr>
          <w:p>
            <w:r>
              <w:t xml:space="preserve">Instrument</w:t>
            </w:r>
          </w:p>
        </w:tc>
        <w:tc>
          <w:tcPr>
            <w:tcW w:type="dxa" w:w="4500"/>
          </w:tcPr>
          <w:p>
            <w:r>
              <w:t xml:space="preserve">INTC (NASDAQ)</w:t>
            </w:r>
          </w:p>
        </w:tc>
      </w:tr>
      <w:tr>
        <w:tc>
          <w:tcPr>
            <w:tcW w:type="dxa" w:w="4500"/>
          </w:tcPr>
          <w:p>
            <w:r>
              <w:t xml:space="preserve">Chart timeframe</w:t>
            </w:r>
          </w:p>
        </w:tc>
        <w:tc>
          <w:tcPr>
            <w:tcW w:type="dxa" w:w="4500"/>
          </w:tcPr>
          <w:p>
            <w:r>
              <w:t xml:space="preserve">1-minute candles</w:t>
            </w:r>
          </w:p>
        </w:tc>
      </w:tr>
      <w:tr>
        <w:tc>
          <w:tcPr>
            <w:tcW w:type="dxa" w:w="4500"/>
          </w:tcPr>
          <w:p>
            <w:r>
              <w:t xml:space="preserve">Analysis platform</w:t>
            </w:r>
          </w:p>
        </w:tc>
        <w:tc>
          <w:tcPr>
            <w:tcW w:type="dxa" w:w="4500"/>
          </w:tcPr>
          <w:p>
            <w:r>
              <w:t xml:space="preserve">TradingView (NASDAQ feed)</w:t>
            </w:r>
          </w:p>
        </w:tc>
      </w:tr>
      <w:tr>
        <w:tc>
          <w:tcPr>
            <w:tcW w:type="dxa" w:w="4500"/>
          </w:tcPr>
          <w:p>
            <w:r>
              <w:t xml:space="preserve">Execution platform</w:t>
            </w:r>
          </w:p>
        </w:tc>
        <w:tc>
          <w:tcPr>
            <w:tcW w:type="dxa" w:w="4500"/>
          </w:tcPr>
          <w:p>
            <w:r>
              <w:t xml:space="preserve">Saxo TraderGO</w:t>
            </w:r>
          </w:p>
        </w:tc>
      </w:tr>
    </w:tbl>
    <w:p>
      <w:pPr>
        <w:pStyle w:val="Heading1"/>
        <w:spacing w:after="150" w:before="400"/>
      </w:pPr>
      <w:r>
        <w:t xml:space="preserve">2. Platform Discipline — Non-Negotiable</w:t>
      </w:r>
    </w:p>
    <w:p>
      <w:pPr>
        <w:spacing w:after="150"/>
      </w:pPr>
      <w:r>
        <w:rPr>
          <w:b/>
          <w:bCs/>
        </w:rPr>
        <w:t xml:space="preserve">RULE: TradingView confirms the signal. Saxo TraderGO executes the order. Never reversed.</w:t>
      </w:r>
    </w:p>
    <w:p>
      <w:pPr>
        <w:spacing w:after="200"/>
      </w:pPr>
      <w:r>
        <w:t xml:space="preserve">All entry criteria are calibrated to TradingView NASDAQ data. Saxo and TradingView construct candles differently despite using the same underlying feed. A confirmed engulfing on Saxo is not the same as a confirmed engulfing on TradingView. The validated dataset was built on TradingView data — all signals must be confirmed there before any order is placed on Saxo.</w:t>
      </w:r>
    </w:p>
    <w:p>
      <w:pPr>
        <w:pStyle w:val="Heading1"/>
        <w:spacing w:after="150" w:before="400"/>
      </w:pPr>
      <w:r>
        <w:t xml:space="preserve">3. TradingView Indicator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Indicator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t xml:space="preserve">VWAP</w:t>
            </w:r>
          </w:p>
        </w:tc>
        <w:tc>
          <w:tcPr>
            <w:tcW w:type="dxa" w:w="3000"/>
          </w:tcPr>
          <w:p>
            <w:r>
              <w:t xml:space="preserve">Anchor Period</w:t>
            </w:r>
          </w:p>
        </w:tc>
        <w:tc>
          <w:tcPr>
            <w:tcW w:type="dxa" w:w="3000"/>
          </w:tcPr>
          <w:p>
            <w:r>
              <w:t xml:space="preserve">Session</w:t>
            </w:r>
          </w:p>
        </w:tc>
      </w:tr>
      <w:tr>
        <w:tc>
          <w:tcPr>
            <w:tcW w:type="dxa" w:w="3000"/>
          </w:tcPr>
          <w:p>
            <w:r>
              <w:t xml:space="preserve">VWAP</w:t>
            </w:r>
          </w:p>
        </w:tc>
        <w:tc>
          <w:tcPr>
            <w:tcW w:type="dxa" w:w="3000"/>
          </w:tcPr>
          <w:p>
            <w:r>
              <w:t xml:space="preserve">Source</w:t>
            </w:r>
          </w:p>
        </w:tc>
        <w:tc>
          <w:tcPr>
            <w:tcW w:type="dxa" w:w="3000"/>
          </w:tcPr>
          <w:p>
            <w:r>
              <w:t xml:space="preserve">HLC/3</w:t>
            </w:r>
          </w:p>
        </w:tc>
      </w:tr>
      <w:tr>
        <w:tc>
          <w:tcPr>
            <w:tcW w:type="dxa" w:w="3000"/>
          </w:tcPr>
          <w:p>
            <w:r>
              <w:t xml:space="preserve">VWAP</w:t>
            </w:r>
          </w:p>
        </w:tc>
        <w:tc>
          <w:tcPr>
            <w:tcW w:type="dxa" w:w="3000"/>
          </w:tcPr>
          <w:p>
            <w:r>
              <w:t xml:space="preserve">Bands</w:t>
            </w:r>
          </w:p>
        </w:tc>
        <w:tc>
          <w:tcPr>
            <w:tcW w:type="dxa" w:w="3000"/>
          </w:tcPr>
          <w:p>
            <w:r>
              <w:t xml:space="preserve">Standard Deviation x1 and x2</w:t>
            </w:r>
          </w:p>
        </w:tc>
      </w:tr>
      <w:tr>
        <w:tc>
          <w:tcPr>
            <w:tcW w:type="dxa" w:w="3000"/>
          </w:tcPr>
          <w:p>
            <w:r>
              <w:t xml:space="preserve">RSI</w:t>
            </w:r>
          </w:p>
        </w:tc>
        <w:tc>
          <w:tcPr>
            <w:tcW w:type="dxa" w:w="3000"/>
          </w:tcPr>
          <w:p>
            <w:r>
              <w:t xml:space="preserve">Length</w:t>
            </w:r>
          </w:p>
        </w:tc>
        <w:tc>
          <w:tcPr>
            <w:tcW w:type="dxa" w:w="3000"/>
          </w:tcPr>
          <w:p>
            <w:r>
              <w:t xml:space="preserve">14</w:t>
            </w:r>
          </w:p>
        </w:tc>
      </w:tr>
      <w:tr>
        <w:tc>
          <w:tcPr>
            <w:tcW w:type="dxa" w:w="3000"/>
          </w:tcPr>
          <w:p>
            <w:r>
              <w:t xml:space="preserve">RSI</w:t>
            </w:r>
          </w:p>
        </w:tc>
        <w:tc>
          <w:tcPr>
            <w:tcW w:type="dxa" w:w="3000"/>
          </w:tcPr>
          <w:p>
            <w:r>
              <w:t xml:space="preserve">Source</w:t>
            </w:r>
          </w:p>
        </w:tc>
        <w:tc>
          <w:tcPr>
            <w:tcW w:type="dxa" w:w="3000"/>
          </w:tcPr>
          <w:p>
            <w:r>
              <w:t xml:space="preserve">Close</w:t>
            </w:r>
          </w:p>
        </w:tc>
      </w:tr>
      <w:tr>
        <w:tc>
          <w:tcPr>
            <w:tcW w:type="dxa" w:w="3000"/>
          </w:tcPr>
          <w:p>
            <w:r>
              <w:t xml:space="preserve">Volume</w:t>
            </w:r>
          </w:p>
        </w:tc>
        <w:tc>
          <w:tcPr>
            <w:tcW w:type="dxa" w:w="3000"/>
          </w:tcPr>
          <w:p>
            <w:r>
              <w:t xml:space="preserve">Display</w:t>
            </w:r>
          </w:p>
        </w:tc>
        <w:tc>
          <w:tcPr>
            <w:tcW w:type="dxa" w:w="3000"/>
          </w:tcPr>
          <w:p>
            <w:r>
              <w:t xml:space="preserve">Colour-coded bars below price</w:t>
            </w:r>
          </w:p>
        </w:tc>
      </w:tr>
    </w:tbl>
    <w:p>
      <w:pPr>
        <w:pStyle w:val="Heading2"/>
        <w:spacing w:after="150" w:before="300"/>
      </w:pPr>
      <w:r>
        <w:t xml:space="preserve">VWAP Band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1F2" w:val="clear"/>
          </w:tcPr>
          <w:p>
            <w:r>
              <w:rPr>
                <w:b/>
                <w:bCs/>
              </w:rPr>
              <w:t xml:space="preserve">Band</w:t>
            </w:r>
          </w:p>
        </w:tc>
        <w:tc>
          <w:tcPr>
            <w:tcW w:type="dxa" w:w="2250"/>
            <w:shd w:fill="D9E1F2" w:val="clear"/>
          </w:tcPr>
          <w:p>
            <w:r>
              <w:rPr>
                <w:b/>
                <w:bCs/>
              </w:rPr>
              <w:t xml:space="preserve">Line</w:t>
            </w:r>
          </w:p>
        </w:tc>
        <w:tc>
          <w:tcPr>
            <w:tcW w:type="dxa" w:w="2250"/>
            <w:shd w:fill="D9E1F2" w:val="clear"/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2250"/>
            <w:shd w:fill="D9E1F2" w:val="clear"/>
          </w:tcPr>
          <w:p>
            <w:r>
              <w:rPr>
                <w:b/>
                <w:bCs/>
              </w:rPr>
              <w:t xml:space="preserve">Significance</w:t>
            </w:r>
          </w:p>
        </w:tc>
      </w:tr>
      <w:tr>
        <w:tc>
          <w:tcPr>
            <w:tcW w:type="dxa" w:w="2250"/>
          </w:tcPr>
          <w:p>
            <w:r>
              <w:t xml:space="preserve">+2SD</w:t>
            </w:r>
          </w:p>
        </w:tc>
        <w:tc>
          <w:tcPr>
            <w:tcW w:type="dxa" w:w="2250"/>
          </w:tcPr>
          <w:p>
            <w:r>
              <w:t xml:space="preserve">Upper Gold</w:t>
            </w:r>
          </w:p>
        </w:tc>
        <w:tc>
          <w:tcPr>
            <w:tcW w:type="dxa" w:w="2250"/>
          </w:tcPr>
          <w:p>
            <w:r>
              <w:t xml:space="preserve">Gold</w:t>
            </w:r>
          </w:p>
        </w:tc>
        <w:tc>
          <w:tcPr>
            <w:tcW w:type="dxa" w:w="2250"/>
          </w:tcPr>
          <w:p>
            <w:r>
              <w:t xml:space="preserve">Extreme extension — fade zone</w:t>
            </w:r>
          </w:p>
        </w:tc>
      </w:tr>
      <w:tr>
        <w:tc>
          <w:tcPr>
            <w:tcW w:type="dxa" w:w="2250"/>
          </w:tcPr>
          <w:p>
            <w:r>
              <w:t xml:space="preserve">+1SD</w:t>
            </w:r>
          </w:p>
        </w:tc>
        <w:tc>
          <w:tcPr>
            <w:tcW w:type="dxa" w:w="2250"/>
          </w:tcPr>
          <w:p>
            <w:r>
              <w:t xml:space="preserve">Upper Green</w:t>
            </w:r>
          </w:p>
        </w:tc>
        <w:tc>
          <w:tcPr>
            <w:tcW w:type="dxa" w:w="2250"/>
          </w:tcPr>
          <w:p>
            <w:r>
              <w:t xml:space="preserve">Green</w:t>
            </w:r>
          </w:p>
        </w:tc>
        <w:tc>
          <w:tcPr>
            <w:tcW w:type="dxa" w:w="2250"/>
          </w:tcPr>
          <w:p>
            <w:r>
              <w:t xml:space="preserve">Exit zone for longs</w:t>
            </w:r>
          </w:p>
        </w:tc>
      </w:tr>
      <w:tr>
        <w:tc>
          <w:tcPr>
            <w:tcW w:type="dxa" w:w="2250"/>
          </w:tcPr>
          <w:p>
            <w:r>
              <w:t xml:space="preserve">VWAP</w:t>
            </w:r>
          </w:p>
        </w:tc>
        <w:tc>
          <w:tcPr>
            <w:tcW w:type="dxa" w:w="2250"/>
          </w:tcPr>
          <w:p>
            <w:r>
              <w:t xml:space="preserve">Middle</w:t>
            </w:r>
          </w:p>
        </w:tc>
        <w:tc>
          <w:tcPr>
            <w:tcW w:type="dxa" w:w="2250"/>
          </w:tcPr>
          <w:p>
            <w:r>
              <w:t xml:space="preserve">Blue</w:t>
            </w:r>
          </w:p>
        </w:tc>
        <w:tc>
          <w:tcPr>
            <w:tcW w:type="dxa" w:w="2250"/>
          </w:tcPr>
          <w:p>
            <w:r>
              <w:t xml:space="preserve">Session mean — primary exit target</w:t>
            </w:r>
          </w:p>
        </w:tc>
      </w:tr>
      <w:tr>
        <w:tc>
          <w:tcPr>
            <w:tcW w:type="dxa" w:w="2250"/>
          </w:tcPr>
          <w:p>
            <w:r>
              <w:t xml:space="preserve">-1SD</w:t>
            </w:r>
          </w:p>
        </w:tc>
        <w:tc>
          <w:tcPr>
            <w:tcW w:type="dxa" w:w="2250"/>
          </w:tcPr>
          <w:p>
            <w:r>
              <w:t xml:space="preserve">Lower Green</w:t>
            </w:r>
          </w:p>
        </w:tc>
        <w:tc>
          <w:tcPr>
            <w:tcW w:type="dxa" w:w="2250"/>
          </w:tcPr>
          <w:p>
            <w:r>
              <w:t xml:space="preserve">Green</w:t>
            </w:r>
          </w:p>
        </w:tc>
        <w:tc>
          <w:tcPr>
            <w:tcW w:type="dxa" w:w="2250"/>
          </w:tcPr>
          <w:p>
            <w:r>
              <w:t xml:space="preserve">Entry zone begins</w:t>
            </w:r>
          </w:p>
        </w:tc>
      </w:tr>
      <w:tr>
        <w:tc>
          <w:tcPr>
            <w:tcW w:type="dxa" w:w="2250"/>
          </w:tcPr>
          <w:p>
            <w:r>
              <w:t xml:space="preserve">-2SD</w:t>
            </w:r>
          </w:p>
        </w:tc>
        <w:tc>
          <w:tcPr>
            <w:tcW w:type="dxa" w:w="2250"/>
          </w:tcPr>
          <w:p>
            <w:r>
              <w:t xml:space="preserve">Lower Gold</w:t>
            </w:r>
          </w:p>
        </w:tc>
        <w:tc>
          <w:tcPr>
            <w:tcW w:type="dxa" w:w="2250"/>
          </w:tcPr>
          <w:p>
            <w:r>
              <w:t xml:space="preserve">Gold</w:t>
            </w:r>
          </w:p>
        </w:tc>
        <w:tc>
          <w:tcPr>
            <w:tcW w:type="dxa" w:w="2250"/>
          </w:tcPr>
          <w:p>
            <w:r>
              <w:t xml:space="preserve">Extreme extension — highest conviction</w:t>
            </w:r>
          </w:p>
        </w:tc>
      </w:tr>
    </w:tbl>
    <w:p>
      <w:pPr>
        <w:pStyle w:val="Heading1"/>
        <w:spacing w:after="150" w:before="400"/>
      </w:pPr>
      <w:r>
        <w:t xml:space="preserve">4. Entry Rules — All Three Required</w:t>
      </w:r>
    </w:p>
    <w:p>
      <w:pPr>
        <w:spacing w:after="200"/>
      </w:pPr>
      <w:r>
        <w:rPr>
          <w:b/>
          <w:bCs/>
        </w:rPr>
        <w:t xml:space="preserve">All three criteria must be confirmed on TradingView before any order is placed. Two out of three is not a valid entry.</w:t>
      </w:r>
    </w:p>
    <w:p>
      <w:pPr>
        <w:pStyle w:val="Heading2"/>
        <w:spacing w:after="100" w:before="200"/>
      </w:pPr>
      <w:r>
        <w:t xml:space="preserve">Criterion 1 — VWAP Zone Location</w:t>
      </w:r>
    </w:p>
    <w:p>
      <w:pPr>
        <w:spacing w:after="150"/>
      </w:pPr>
      <w:r>
        <w:t xml:space="preserve">Any part of the candle body must touch or penetrate the -1SD line, entering the zone between -1SD and -2SD. The zone entry tells you where to watch — not when to act. Price below -2SD is an even stronger location signal.</w:t>
      </w:r>
    </w:p>
    <w:p>
      <w:pPr>
        <w:pStyle w:val="Heading2"/>
        <w:spacing w:after="100" w:before="200"/>
      </w:pPr>
      <w:r>
        <w:t xml:space="preserve">Criterion 2 — RSI Below 40 on the Red Candle</w:t>
      </w:r>
    </w:p>
    <w:p>
      <w:pPr>
        <w:spacing w:after="150"/>
      </w:pPr>
      <w:r>
        <w:t xml:space="preserve">The red candle immediately preceding the green engulfing candle must have RSI (14, close) below 40. This is the moderate oversold threshold validated against the 60-day dataset. RSI is checked on the red candle — not the green candle. By the time the green candle prints RSI will already be recovering.</w:t>
      </w:r>
    </w:p>
    <w:p>
      <w:pPr>
        <w:pStyle w:val="Heading2"/>
        <w:spacing w:after="100" w:before="200"/>
      </w:pPr>
      <w:r>
        <w:t xml:space="preserve">Criterion 3 — Full Bullish Engulfing Pattern (BEP)</w:t>
      </w:r>
    </w:p>
    <w:p>
      <w:pPr>
        <w:spacing w:after="100"/>
      </w:pPr>
      <w:r>
        <w:t xml:space="preserve">The green candle must fully engulf the prior red candle body to the penny:</w:t>
      </w:r>
    </w:p>
    <w:p>
      <w:pPr>
        <w:spacing w:after="50"/>
      </w:pPr>
      <w:r>
        <w:t xml:space="preserve">• Green candle open must be at or below the red candle close</w:t>
      </w:r>
    </w:p>
    <w:p>
      <w:pPr>
        <w:spacing w:after="150"/>
      </w:pPr>
      <w:r>
        <w:t xml:space="preserve">• Green candle close must be at or above the red candle open</w:t>
      </w:r>
    </w:p>
    <w:p>
      <w:pPr>
        <w:spacing w:after="200"/>
      </w:pPr>
      <w:r>
        <w:rPr>
          <w:b/>
          <w:bCs/>
        </w:rPr>
        <w:t xml:space="preserve">One cent short on either side is a failed engulfing. The rule is binary. 143 instances validated over 60 days — all confirmed bounces were full engulfing patterns. No partial coverage qualified.</w:t>
      </w:r>
    </w:p>
    <w:p>
      <w:pPr>
        <w:pStyle w:val="Heading2"/>
        <w:spacing w:after="100" w:before="200"/>
      </w:pPr>
      <w:r>
        <w:t xml:space="preserve">Candle Body Size 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Body Size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Signal Validity</w:t>
            </w:r>
          </w:p>
        </w:tc>
      </w:tr>
      <w:tr>
        <w:tc>
          <w:tcPr>
            <w:tcW w:type="dxa" w:w="3000"/>
          </w:tcPr>
          <w:p>
            <w:r>
              <w:t xml:space="preserve">$0.00 - $0.02</w:t>
            </w:r>
          </w:p>
        </w:tc>
        <w:tc>
          <w:tcPr>
            <w:tcW w:type="dxa" w:w="3000"/>
          </w:tcPr>
          <w:p>
            <w:r>
              <w:t xml:space="preserve">Doji</w:t>
            </w:r>
          </w:p>
        </w:tc>
        <w:tc>
          <w:tcPr>
            <w:tcW w:type="dxa" w:w="3000"/>
          </w:tcPr>
          <w:p>
            <w:r>
              <w:t xml:space="preserve">Indecision — not a valid confirmation candle</w:t>
            </w:r>
          </w:p>
        </w:tc>
      </w:tr>
      <w:tr>
        <w:tc>
          <w:tcPr>
            <w:tcW w:type="dxa" w:w="3000"/>
          </w:tcPr>
          <w:p>
            <w:r>
              <w:t xml:space="preserve">$0.03 - $0.09</w:t>
            </w:r>
          </w:p>
        </w:tc>
        <w:tc>
          <w:tcPr>
            <w:tcW w:type="dxa" w:w="3000"/>
          </w:tcPr>
          <w:p>
            <w:r>
              <w:t xml:space="preserve">Spinning Top</w:t>
            </w:r>
          </w:p>
        </w:tc>
        <w:tc>
          <w:tcPr>
            <w:tcW w:type="dxa" w:w="3000"/>
          </w:tcPr>
          <w:p>
            <w:r>
              <w:t xml:space="preserve">Weak signal — use caution</w:t>
            </w:r>
          </w:p>
        </w:tc>
      </w:tr>
      <w:tr>
        <w:tc>
          <w:tcPr>
            <w:tcW w:type="dxa" w:w="3000"/>
          </w:tcPr>
          <w:p>
            <w:r>
              <w:t xml:space="preserve">$0.10+</w:t>
            </w:r>
          </w:p>
        </w:tc>
        <w:tc>
          <w:tcPr>
            <w:tcW w:type="dxa" w:w="3000"/>
          </w:tcPr>
          <w:p>
            <w:r>
              <w:t xml:space="preserve">Meaningful body</w:t>
            </w:r>
          </w:p>
        </w:tc>
        <w:tc>
          <w:tcPr>
            <w:tcW w:type="dxa" w:w="3000"/>
          </w:tcPr>
          <w:p>
            <w:r>
              <w:t xml:space="preserve">Valid confirmation candle</w:t>
            </w:r>
          </w:p>
        </w:tc>
      </w:tr>
    </w:tbl>
    <w:p>
      <w:pPr>
        <w:pStyle w:val="Heading1"/>
        <w:spacing w:after="150" w:before="400"/>
      </w:pPr>
      <w:r>
        <w:t xml:space="preserve">5. Second Candle Confirmation</w:t>
      </w:r>
    </w:p>
    <w:p>
      <w:pPr>
        <w:spacing w:after="150"/>
      </w:pPr>
      <w:r>
        <w:t xml:space="preserve">After the full bullish engulfing candle closes, wait for the next candle to confirm:</w:t>
      </w:r>
    </w:p>
    <w:p>
      <w:pPr>
        <w:spacing w:after="50"/>
      </w:pPr>
      <w:r>
        <w:t xml:space="preserve">• Second candle must be green (close above open)</w:t>
      </w:r>
    </w:p>
    <w:p>
      <w:pPr>
        <w:spacing w:after="50"/>
      </w:pPr>
      <w:r>
        <w:t xml:space="preserve">• Second candle must close above the first green candle close</w:t>
      </w:r>
    </w:p>
    <w:p>
      <w:pPr>
        <w:spacing w:after="150"/>
      </w:pPr>
      <w:r>
        <w:t xml:space="preserve">• Second candle body must be $0.10 or larger</w:t>
      </w:r>
    </w:p>
    <w:p>
      <w:pPr>
        <w:spacing w:after="150"/>
      </w:pPr>
      <w:r>
        <w:rPr>
          <w:b/>
          <w:bCs/>
        </w:rPr>
        <w:t xml:space="preserve">If the second candle is red — exit immediately at a small loss. The bounce is not confirmed. Do not hold.</w:t>
      </w:r>
    </w:p>
    <w:p>
      <w:pPr>
        <w:spacing w:after="200"/>
      </w:pPr>
      <w:r>
        <w:t xml:space="preserve">Entry price is the close of the first green engulfing candle. The second candle is confirmation — not the entry point.</w:t>
      </w:r>
    </w:p>
    <w:p>
      <w:pPr>
        <w:pStyle w:val="Heading1"/>
        <w:spacing w:after="150" w:before="400"/>
      </w:pPr>
      <w:r>
        <w:t xml:space="preserve">6. Exit Rules</w:t>
      </w:r>
    </w:p>
    <w:p>
      <w:pPr>
        <w:spacing w:after="200"/>
      </w:pPr>
      <w:r>
        <w:rPr>
          <w:b/>
          <w:bCs/>
        </w:rPr>
        <w:t xml:space="preserve">Exit targets must be set before entry — not during the trade. The pre-trade target cannot be moved further away once set.</w:t>
      </w:r>
    </w:p>
    <w:p>
      <w:pPr>
        <w:pStyle w:val="Heading2"/>
        <w:spacing w:after="100" w:before="200"/>
      </w:pPr>
      <w:r>
        <w:t xml:space="preserve">Primary Exit — RSI Overbought</w:t>
      </w:r>
    </w:p>
    <w:p>
      <w:pPr>
        <w:spacing w:after="150"/>
      </w:pPr>
      <w:r>
        <w:t xml:space="preserve">RSI reaching 70+ is the primary exit signal. Do not wait for 80 or 90. At 70 the risk/reward has inverted. Exit immediately.</w:t>
      </w:r>
    </w:p>
    <w:p>
      <w:pPr>
        <w:pStyle w:val="Heading2"/>
        <w:spacing w:after="100" w:before="200"/>
      </w:pPr>
      <w:r>
        <w:t xml:space="preserve">Secondary Exit — Topping Candlestick Signals</w:t>
      </w:r>
    </w:p>
    <w:p>
      <w:pPr>
        <w:spacing w:after="100"/>
      </w:pPr>
      <w:r>
        <w:t xml:space="preserve">Any of the following at or near the target zone is a mandatory exit:</w:t>
      </w:r>
    </w:p>
    <w:p>
      <w:pPr>
        <w:spacing w:after="50"/>
      </w:pPr>
      <w:r>
        <w:t xml:space="preserve">• Evening Star pattern (large green, small body/Doji, red candle)</w:t>
      </w:r>
    </w:p>
    <w:p>
      <w:pPr>
        <w:spacing w:after="50"/>
      </w:pPr>
      <w:r>
        <w:t xml:space="preserve">• Shooting Star (long upper wick, small body at top)</w:t>
      </w:r>
    </w:p>
    <w:p>
      <w:pPr>
        <w:spacing w:after="150"/>
      </w:pPr>
      <w:r>
        <w:t xml:space="preserve">• Bearish engulfing of the prior green candle</w:t>
      </w:r>
    </w:p>
    <w:p>
      <w:pPr>
        <w:pStyle w:val="Heading2"/>
        <w:spacing w:after="100" w:before="200"/>
      </w:pPr>
      <w:r>
        <w:t xml:space="preserve">VWAP Slope Adjusted 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VWAP Slope (10 min)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3000"/>
          </w:tcPr>
          <w:p>
            <w:r>
              <w:t xml:space="preserve">Steeper than -$0.25</w:t>
            </w:r>
          </w:p>
        </w:tc>
        <w:tc>
          <w:tcPr>
            <w:tcW w:type="dxa" w:w="3000"/>
          </w:tcPr>
          <w:p>
            <w:r>
              <w:t xml:space="preserve">Steep decline</w:t>
            </w:r>
          </w:p>
        </w:tc>
        <w:tc>
          <w:tcPr>
            <w:tcW w:type="dxa" w:w="3000"/>
          </w:tcPr>
          <w:p>
            <w:r>
              <w:t xml:space="preserve">$0.50-0.75 — exit early</w:t>
            </w:r>
          </w:p>
        </w:tc>
      </w:tr>
      <w:tr>
        <w:tc>
          <w:tcPr>
            <w:tcW w:type="dxa" w:w="3000"/>
          </w:tcPr>
          <w:p>
            <w:r>
              <w:t xml:space="preserve">-$0.10 to -$0.25</w:t>
            </w:r>
          </w:p>
        </w:tc>
        <w:tc>
          <w:tcPr>
            <w:tcW w:type="dxa" w:w="3000"/>
          </w:tcPr>
          <w:p>
            <w:r>
              <w:t xml:space="preserve">Moderate decline</w:t>
            </w:r>
          </w:p>
        </w:tc>
        <w:tc>
          <w:tcPr>
            <w:tcW w:type="dxa" w:w="3000"/>
          </w:tcPr>
          <w:p>
            <w:r>
              <w:t xml:space="preserve">$0.75-1.50</w:t>
            </w:r>
          </w:p>
        </w:tc>
      </w:tr>
      <w:tr>
        <w:tc>
          <w:tcPr>
            <w:tcW w:type="dxa" w:w="3000"/>
          </w:tcPr>
          <w:p>
            <w:r>
              <w:t xml:space="preserve">Flatter than -$0.10</w:t>
            </w:r>
          </w:p>
        </w:tc>
        <w:tc>
          <w:tcPr>
            <w:tcW w:type="dxa" w:w="3000"/>
          </w:tcPr>
          <w:p>
            <w:r>
              <w:t xml:space="preserve">Flat or rising</w:t>
            </w:r>
          </w:p>
        </w:tc>
        <w:tc>
          <w:tcPr>
            <w:tcW w:type="dxa" w:w="3000"/>
          </w:tcPr>
          <w:p>
            <w:r>
              <w:t xml:space="preserve">$1.50-2.00+ target VWAP</w:t>
            </w:r>
          </w:p>
        </w:tc>
      </w:tr>
    </w:tbl>
    <w:p>
      <w:pPr>
        <w:spacing w:after="200" w:before="100"/>
      </w:pPr>
      <w:r>
        <w:t xml:space="preserve">VWAP slope = Current VWAP (blue middle line) minus VWAP 10 minutes ago. Calculated at the moment of entry.</w:t>
      </w:r>
    </w:p>
    <w:p>
      <w:pPr>
        <w:pStyle w:val="Heading1"/>
        <w:spacing w:after="150" w:before="400"/>
      </w:pPr>
      <w:r>
        <w:t xml:space="preserve">7. Pre-Trade Checklist</w:t>
      </w:r>
    </w:p>
    <w:p>
      <w:pPr>
        <w:spacing w:after="150"/>
      </w:pPr>
      <w:r>
        <w:t xml:space="preserve">Complete every line before touching Saxo TraderGO: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500"/>
        <w:gridCol w:w="1500"/>
      </w:tblGrid>
      <w:tr>
        <w:tc>
          <w:tcPr>
            <w:tcW w:type="dxa" w:w="6000"/>
            <w:shd w:fill="D9E1F2" w:val="clear"/>
          </w:tcPr>
          <w:p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1500"/>
            <w:shd w:fill="D9E1F2" w:val="clear"/>
          </w:tcPr>
          <w:p>
            <w:r>
              <w:rPr>
                <w:b/>
                <w:bCs/>
              </w:rPr>
              <w:t xml:space="preserve">Confirmed</w:t>
            </w:r>
          </w:p>
        </w:tc>
        <w:tc>
          <w:tcPr>
            <w:tcW w:type="dxa" w:w="1500"/>
            <w:shd w:fill="D9E1F2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6000"/>
          </w:tcPr>
          <w:p>
            <w:r>
              <w:t xml:space="preserve">Signal confirmed on TradingView (not Saxo)</w:t>
            </w:r>
          </w:p>
        </w:tc>
        <w:tc>
          <w:tcPr>
            <w:tcW w:type="dxa" w:w="1500"/>
          </w:tcPr>
          <w:p>
            <w:r>
              <w:t xml:space="preserve">Y / N</w:t>
            </w:r>
          </w:p>
        </w:tc>
        <w:tc>
          <w:tcPr>
            <w:tcW w:type="dxa" w:w="1500"/>
          </w:tcPr>
          <w:p>
            <w:r>
              <w:t xml:space="preserve"/>
            </w:r>
          </w:p>
        </w:tc>
      </w:tr>
      <w:tr>
        <w:tc>
          <w:tcPr>
            <w:tcW w:type="dxa" w:w="6000"/>
          </w:tcPr>
          <w:p>
            <w:r>
              <w:t xml:space="preserve">Price in -1SD to -2SD VWAP zone (VWAP Band 1-2 = TRUE)</w:t>
            </w:r>
          </w:p>
        </w:tc>
        <w:tc>
          <w:tcPr>
            <w:tcW w:type="dxa" w:w="1500"/>
          </w:tcPr>
          <w:p>
            <w:r>
              <w:t xml:space="preserve">Y / N</w:t>
            </w:r>
          </w:p>
        </w:tc>
        <w:tc>
          <w:tcPr>
            <w:tcW w:type="dxa" w:w="1500"/>
          </w:tcPr>
          <w:p>
            <w:r>
              <w:t xml:space="preserve"/>
            </w:r>
          </w:p>
        </w:tc>
      </w:tr>
      <w:tr>
        <w:tc>
          <w:tcPr>
            <w:tcW w:type="dxa" w:w="6000"/>
          </w:tcPr>
          <w:p>
            <w:r>
              <w:t xml:space="preserve">RSI below 40 on the red candle</w:t>
            </w:r>
          </w:p>
        </w:tc>
        <w:tc>
          <w:tcPr>
            <w:tcW w:type="dxa" w:w="1500"/>
          </w:tcPr>
          <w:p>
            <w:r>
              <w:t xml:space="preserve">Y / N</w:t>
            </w:r>
          </w:p>
        </w:tc>
        <w:tc>
          <w:tcPr>
            <w:tcW w:type="dxa" w:w="1500"/>
          </w:tcPr>
          <w:p>
            <w:r>
              <w:t xml:space="preserve"/>
            </w:r>
          </w:p>
        </w:tc>
      </w:tr>
      <w:tr>
        <w:tc>
          <w:tcPr>
            <w:tcW w:type="dxa" w:w="6000"/>
          </w:tcPr>
          <w:p>
            <w:r>
              <w:t xml:space="preserve">Full BEP: green open ≤ red close AND green close ≥ red open (to the penny)</w:t>
            </w:r>
          </w:p>
        </w:tc>
        <w:tc>
          <w:tcPr>
            <w:tcW w:type="dxa" w:w="1500"/>
          </w:tcPr>
          <w:p>
            <w:r>
              <w:t xml:space="preserve">Y / N</w:t>
            </w:r>
          </w:p>
        </w:tc>
        <w:tc>
          <w:tcPr>
            <w:tcW w:type="dxa" w:w="1500"/>
          </w:tcPr>
          <w:p>
            <w:r>
              <w:t xml:space="preserve"/>
            </w:r>
          </w:p>
        </w:tc>
      </w:tr>
      <w:tr>
        <w:tc>
          <w:tcPr>
            <w:tcW w:type="dxa" w:w="6000"/>
          </w:tcPr>
          <w:p>
            <w:r>
              <w:t xml:space="preserve">Second green candle confirmed (body $0.10+, closes above first green)</w:t>
            </w:r>
          </w:p>
        </w:tc>
        <w:tc>
          <w:tcPr>
            <w:tcW w:type="dxa" w:w="1500"/>
          </w:tcPr>
          <w:p>
            <w:r>
              <w:t xml:space="preserve">Y / N</w:t>
            </w:r>
          </w:p>
        </w:tc>
        <w:tc>
          <w:tcPr>
            <w:tcW w:type="dxa" w:w="1500"/>
          </w:tcPr>
          <w:p>
            <w:r>
              <w:t xml:space="preserve"/>
            </w:r>
          </w:p>
        </w:tc>
      </w:tr>
      <w:tr>
        <w:tc>
          <w:tcPr>
            <w:tcW w:type="dxa" w:w="6000"/>
          </w:tcPr>
          <w:p>
            <w:r>
              <w:t xml:space="preserve">VWAP slope calculated (current VWAP minus VWAP 10 mins ago)</w:t>
            </w:r>
          </w:p>
        </w:tc>
        <w:tc>
          <w:tcPr>
            <w:tcW w:type="dxa" w:w="1500"/>
          </w:tcPr>
          <w:p>
            <w:r>
              <w:t xml:space="preserve">Y / N</w:t>
            </w:r>
          </w:p>
        </w:tc>
        <w:tc>
          <w:tcPr>
            <w:tcW w:type="dxa" w:w="1500"/>
          </w:tcPr>
          <w:p>
            <w:r>
              <w:t xml:space="preserve"/>
            </w:r>
          </w:p>
        </w:tc>
      </w:tr>
      <w:tr>
        <w:tc>
          <w:tcPr>
            <w:tcW w:type="dxa" w:w="6000"/>
          </w:tcPr>
          <w:p>
            <w:r>
              <w:t xml:space="preserve">Exit target set and noted before entry</w:t>
            </w:r>
          </w:p>
        </w:tc>
        <w:tc>
          <w:tcPr>
            <w:tcW w:type="dxa" w:w="1500"/>
          </w:tcPr>
          <w:p>
            <w:r>
              <w:t xml:space="preserve">Y / N</w:t>
            </w:r>
          </w:p>
        </w:tc>
        <w:tc>
          <w:tcPr>
            <w:tcW w:type="dxa" w:w="1500"/>
          </w:tcPr>
          <w:p>
            <w:r>
              <w:t xml:space="preserve"/>
            </w:r>
          </w:p>
        </w:tc>
      </w:tr>
    </w:tbl>
    <w:p>
      <w:pPr>
        <w:pStyle w:val="Heading1"/>
        <w:spacing w:after="150" w:before="400"/>
      </w:pPr>
      <w:r>
        <w:t xml:space="preserve">8. Candlestick Pattern Hierarchy</w:t>
      </w:r>
    </w:p>
    <w:p>
      <w:pPr>
        <w:pStyle w:val="Heading2"/>
        <w:spacing w:after="100" w:before="200"/>
      </w:pPr>
      <w:r>
        <w:t xml:space="preserve">Bullish Reversal Patterns (Entry Signals)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1F2" w:val="clear"/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2250"/>
            <w:shd w:fill="D9E1F2" w:val="clear"/>
          </w:tcPr>
          <w:p>
            <w:r>
              <w:rPr>
                <w:b/>
                <w:bCs/>
              </w:rPr>
              <w:t xml:space="preserve">Strength</w:t>
            </w:r>
          </w:p>
        </w:tc>
        <w:tc>
          <w:tcPr>
            <w:tcW w:type="dxa" w:w="2250"/>
            <w:shd w:fill="D9E1F2" w:val="clear"/>
          </w:tcPr>
          <w:p>
            <w:r>
              <w:rPr>
                <w:b/>
                <w:bCs/>
              </w:rPr>
              <w:t xml:space="preserve">Validated</w:t>
            </w:r>
          </w:p>
        </w:tc>
        <w:tc>
          <w:tcPr>
            <w:tcW w:type="dxa" w:w="2250"/>
            <w:shd w:fill="D9E1F2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50"/>
          </w:tcPr>
          <w:p>
            <w:r>
              <w:t xml:space="preserve">Full Bullish Engulfing (BEP)</w:t>
            </w:r>
          </w:p>
        </w:tc>
        <w:tc>
          <w:tcPr>
            <w:tcW w:type="dxa" w:w="2250"/>
          </w:tcPr>
          <w:p>
            <w:r>
              <w:t xml:space="preserve">Strongest</w:t>
            </w:r>
          </w:p>
        </w:tc>
        <w:tc>
          <w:tcPr>
            <w:tcW w:type="dxa" w:w="2250"/>
          </w:tcPr>
          <w:p>
            <w:r>
              <w:t xml:space="preserve">Yes — 143 instances</w:t>
            </w:r>
          </w:p>
        </w:tc>
        <w:tc>
          <w:tcPr>
            <w:tcW w:type="dxa" w:w="2250"/>
          </w:tcPr>
          <w:p>
            <w:r>
              <w:t xml:space="preserve">Primary entry signal</w:t>
            </w:r>
          </w:p>
        </w:tc>
      </w:tr>
      <w:tr>
        <w:tc>
          <w:tcPr>
            <w:tcW w:type="dxa" w:w="2250"/>
          </w:tcPr>
          <w:p>
            <w:r>
              <w:t xml:space="preserve">Morning Star</w:t>
            </w:r>
          </w:p>
        </w:tc>
        <w:tc>
          <w:tcPr>
            <w:tcW w:type="dxa" w:w="2250"/>
          </w:tcPr>
          <w:p>
            <w:r>
              <w:t xml:space="preserve">Strong</w:t>
            </w:r>
          </w:p>
        </w:tc>
        <w:tc>
          <w:tcPr>
            <w:tcW w:type="dxa" w:w="2250"/>
          </w:tcPr>
          <w:p>
            <w:r>
              <w:t xml:space="preserve">Not yet</w:t>
            </w:r>
          </w:p>
        </w:tc>
        <w:tc>
          <w:tcPr>
            <w:tcW w:type="dxa" w:w="2250"/>
          </w:tcPr>
          <w:p>
            <w:r>
              <w:t xml:space="preserve">Log for future validation</w:t>
            </w:r>
          </w:p>
        </w:tc>
      </w:tr>
      <w:tr>
        <w:tc>
          <w:tcPr>
            <w:tcW w:type="dxa" w:w="2250"/>
          </w:tcPr>
          <w:p>
            <w:r>
              <w:t xml:space="preserve">Hammer</w:t>
            </w:r>
          </w:p>
        </w:tc>
        <w:tc>
          <w:tcPr>
            <w:tcW w:type="dxa" w:w="2250"/>
          </w:tcPr>
          <w:p>
            <w:r>
              <w:t xml:space="preserve">Strong</w:t>
            </w:r>
          </w:p>
        </w:tc>
        <w:tc>
          <w:tcPr>
            <w:tcW w:type="dxa" w:w="2250"/>
          </w:tcPr>
          <w:p>
            <w:r>
              <w:t xml:space="preserve">Not yet</w:t>
            </w:r>
          </w:p>
        </w:tc>
        <w:tc>
          <w:tcPr>
            <w:tcW w:type="dxa" w:w="2250"/>
          </w:tcPr>
          <w:p>
            <w:r>
              <w:t xml:space="preserve">Log for future validation</w:t>
            </w:r>
          </w:p>
        </w:tc>
      </w:tr>
      <w:tr>
        <w:tc>
          <w:tcPr>
            <w:tcW w:type="dxa" w:w="2250"/>
          </w:tcPr>
          <w:p>
            <w:r>
              <w:t xml:space="preserve">Piercing Pattern 70%+</w:t>
            </w:r>
          </w:p>
        </w:tc>
        <w:tc>
          <w:tcPr>
            <w:tcW w:type="dxa" w:w="2250"/>
          </w:tcPr>
          <w:p>
            <w:r>
              <w:t xml:space="preserve">Moderate</w:t>
            </w:r>
          </w:p>
        </w:tc>
        <w:tc>
          <w:tcPr>
            <w:tcW w:type="dxa" w:w="2250"/>
          </w:tcPr>
          <w:p>
            <w:r>
              <w:t xml:space="preserve">Not yet</w:t>
            </w:r>
          </w:p>
        </w:tc>
        <w:tc>
          <w:tcPr>
            <w:tcW w:type="dxa" w:w="2250"/>
          </w:tcPr>
          <w:p>
            <w:r>
              <w:t xml:space="preserve">Observe only — do not trade</w:t>
            </w:r>
          </w:p>
        </w:tc>
      </w:tr>
      <w:tr>
        <w:tc>
          <w:tcPr>
            <w:tcW w:type="dxa" w:w="2250"/>
          </w:tcPr>
          <w:p>
            <w:r>
              <w:t xml:space="preserve">Counter Attack / Meeting Lines</w:t>
            </w:r>
          </w:p>
        </w:tc>
        <w:tc>
          <w:tcPr>
            <w:tcW w:type="dxa" w:w="2250"/>
          </w:tcPr>
          <w:p>
            <w:r>
              <w:t xml:space="preserve">Weak</w:t>
            </w:r>
          </w:p>
        </w:tc>
        <w:tc>
          <w:tcPr>
            <w:tcW w:type="dxa" w:w="2250"/>
          </w:tcPr>
          <w:p>
            <w:r>
              <w:t xml:space="preserve">Not yet</w:t>
            </w:r>
          </w:p>
        </w:tc>
        <w:tc>
          <w:tcPr>
            <w:tcW w:type="dxa" w:w="2250"/>
          </w:tcPr>
          <w:p>
            <w:r>
              <w:t xml:space="preserve">Observe only — do not trade</w:t>
            </w:r>
          </w:p>
        </w:tc>
      </w:tr>
    </w:tbl>
    <w:p>
      <w:pPr>
        <w:pStyle w:val="Heading2"/>
        <w:spacing w:after="100" w:before="300"/>
      </w:pPr>
      <w:r>
        <w:t xml:space="preserve">Bearish Reversal Patterns (Exit Signals)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3000"/>
            <w:shd w:fill="D9E1F2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000"/>
          </w:tcPr>
          <w:p>
            <w:r>
              <w:t xml:space="preserve">Bearish Engulfing</w:t>
            </w:r>
          </w:p>
        </w:tc>
        <w:tc>
          <w:tcPr>
            <w:tcW w:type="dxa" w:w="3000"/>
          </w:tcPr>
          <w:p>
            <w:r>
              <w:t xml:space="preserve">Strongest reversal</w:t>
            </w:r>
          </w:p>
        </w:tc>
        <w:tc>
          <w:tcPr>
            <w:tcW w:type="dxa" w:w="3000"/>
          </w:tcPr>
          <w:p>
            <w:r>
              <w:t xml:space="preserve">Exit immediately</w:t>
            </w:r>
          </w:p>
        </w:tc>
      </w:tr>
      <w:tr>
        <w:tc>
          <w:tcPr>
            <w:tcW w:type="dxa" w:w="3000"/>
          </w:tcPr>
          <w:p>
            <w:r>
              <w:t xml:space="preserve">Evening Star</w:t>
            </w:r>
          </w:p>
        </w:tc>
        <w:tc>
          <w:tcPr>
            <w:tcW w:type="dxa" w:w="3000"/>
          </w:tcPr>
          <w:p>
            <w:r>
              <w:t xml:space="preserve">Three candle top</w:t>
            </w:r>
          </w:p>
        </w:tc>
        <w:tc>
          <w:tcPr>
            <w:tcW w:type="dxa" w:w="3000"/>
          </w:tcPr>
          <w:p>
            <w:r>
              <w:t xml:space="preserve">Exit immediately</w:t>
            </w:r>
          </w:p>
        </w:tc>
      </w:tr>
      <w:tr>
        <w:tc>
          <w:tcPr>
            <w:tcW w:type="dxa" w:w="3000"/>
          </w:tcPr>
          <w:p>
            <w:r>
              <w:t xml:space="preserve">Shooting Star</w:t>
            </w:r>
          </w:p>
        </w:tc>
        <w:tc>
          <w:tcPr>
            <w:tcW w:type="dxa" w:w="3000"/>
          </w:tcPr>
          <w:p>
            <w:r>
              <w:t xml:space="preserve">Long upper wick rejection</w:t>
            </w:r>
          </w:p>
        </w:tc>
        <w:tc>
          <w:tcPr>
            <w:tcW w:type="dxa" w:w="3000"/>
          </w:tcPr>
          <w:p>
            <w:r>
              <w:t xml:space="preserve">Exit immediately</w:t>
            </w:r>
          </w:p>
        </w:tc>
      </w:tr>
      <w:tr>
        <w:tc>
          <w:tcPr>
            <w:tcW w:type="dxa" w:w="3000"/>
          </w:tcPr>
          <w:p>
            <w:r>
              <w:t xml:space="preserve">Red Doji at peak</w:t>
            </w:r>
          </w:p>
        </w:tc>
        <w:tc>
          <w:tcPr>
            <w:tcW w:type="dxa" w:w="3000"/>
          </w:tcPr>
          <w:p>
            <w:r>
              <w:t xml:space="preserve">Indecision at top</w:t>
            </w:r>
          </w:p>
        </w:tc>
        <w:tc>
          <w:tcPr>
            <w:tcW w:type="dxa" w:w="3000"/>
          </w:tcPr>
          <w:p>
            <w:r>
              <w:t xml:space="preserve">Watch next candle — exit if red follows</w:t>
            </w:r>
          </w:p>
        </w:tc>
      </w:tr>
      <w:tr>
        <w:tc>
          <w:tcPr>
            <w:tcW w:type="dxa" w:w="3000"/>
          </w:tcPr>
          <w:p>
            <w:r>
              <w:t xml:space="preserve">Advance Block / Stalled</w:t>
            </w:r>
          </w:p>
        </w:tc>
        <w:tc>
          <w:tcPr>
            <w:tcW w:type="dxa" w:w="3000"/>
          </w:tcPr>
          <w:p>
            <w:r>
              <w:t xml:space="preserve">Momentum exhaustion</w:t>
            </w:r>
          </w:p>
        </w:tc>
        <w:tc>
          <w:tcPr>
            <w:tcW w:type="dxa" w:w="3000"/>
          </w:tcPr>
          <w:p>
            <w:r>
              <w:t xml:space="preserve">Tighten stop — prepare exit</w:t>
            </w:r>
          </w:p>
        </w:tc>
      </w:tr>
    </w:tbl>
    <w:p>
      <w:pPr>
        <w:pStyle w:val="Heading1"/>
        <w:spacing w:after="150" w:before="400"/>
      </w:pPr>
      <w:r>
        <w:t xml:space="preserve">9. Data Tracking Workbook — Column Definitions</w:t>
      </w:r>
    </w:p>
    <w:p>
      <w:pPr>
        <w:spacing w:after="200"/>
      </w:pPr>
      <w:r>
        <w:t xml:space="preserve">The Intel NASDAQ Opening Hours Workbook tracks every 1-minute candle across the session with pre-calculated indicators. Each row represents one candle. The workbook is the source of truth for the 60-day validation dataset and ongoing pattern analysis.</w:t>
      </w:r>
    </w:p>
    <w:p>
      <w:pPr>
        <w:pStyle w:val="Heading2"/>
        <w:spacing w:after="100" w:before="200"/>
      </w:pPr>
      <w:r>
        <w:t xml:space="preserve">Core Price and Volume Columns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1F2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500"/>
            <w:shd w:fill="D9E1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r>
              <w:t xml:space="preserve">Count</w:t>
            </w:r>
          </w:p>
        </w:tc>
        <w:tc>
          <w:tcPr>
            <w:tcW w:type="dxa" w:w="6500"/>
          </w:tcPr>
          <w:p>
            <w:r>
              <w:t xml:space="preserve">Sequential candle number within the dataset</w:t>
            </w:r>
          </w:p>
        </w:tc>
      </w:tr>
      <w:tr>
        <w:tc>
          <w:tcPr>
            <w:tcW w:type="dxa" w:w="2500"/>
          </w:tcPr>
          <w:p>
            <w:r>
              <w:t xml:space="preserve">Time</w:t>
            </w:r>
          </w:p>
        </w:tc>
        <w:tc>
          <w:tcPr>
            <w:tcW w:type="dxa" w:w="6500"/>
          </w:tcPr>
          <w:p>
            <w:r>
              <w:t xml:space="preserve">Candle timestamp in Excel serial date format</w:t>
            </w:r>
          </w:p>
        </w:tc>
      </w:tr>
      <w:tr>
        <w:tc>
          <w:tcPr>
            <w:tcW w:type="dxa" w:w="2500"/>
          </w:tcPr>
          <w:p>
            <w:r>
              <w:t xml:space="preserve">Open / High / Low / Close</w:t>
            </w:r>
          </w:p>
        </w:tc>
        <w:tc>
          <w:tcPr>
            <w:tcW w:type="dxa" w:w="6500"/>
          </w:tcPr>
          <w:p>
            <w:r>
              <w:t xml:space="preserve">Standard OHLC price data for the 1-minute candle</w:t>
            </w:r>
          </w:p>
        </w:tc>
      </w:tr>
      <w:tr>
        <w:tc>
          <w:tcPr>
            <w:tcW w:type="dxa" w:w="2500"/>
          </w:tcPr>
          <w:p>
            <w:r>
              <w:t xml:space="preserve">Volume</w:t>
            </w:r>
          </w:p>
        </w:tc>
        <w:tc>
          <w:tcPr>
            <w:tcW w:type="dxa" w:w="6500"/>
          </w:tcPr>
          <w:p>
            <w:r>
              <w:t xml:space="preserve">Total shares traded in the candle period</w:t>
            </w:r>
          </w:p>
        </w:tc>
      </w:tr>
      <w:tr>
        <w:tc>
          <w:tcPr>
            <w:tcW w:type="dxa" w:w="2500"/>
          </w:tcPr>
          <w:p>
            <w:r>
              <w:t xml:space="preserve">Change in Vol from prior</w:t>
            </w:r>
          </w:p>
        </w:tc>
        <w:tc>
          <w:tcPr>
            <w:tcW w:type="dxa" w:w="6500"/>
          </w:tcPr>
          <w:p>
            <w:r>
              <w:t xml:space="preserve">Absolute volume change versus prior candle — used to identify exhaustion spikes</w:t>
            </w:r>
          </w:p>
        </w:tc>
      </w:tr>
      <w:tr>
        <w:tc>
          <w:tcPr>
            <w:tcW w:type="dxa" w:w="2500"/>
          </w:tcPr>
          <w:p>
            <w:r>
              <w:t xml:space="preserve">Vol Change as %</w:t>
            </w:r>
          </w:p>
        </w:tc>
        <w:tc>
          <w:tcPr>
            <w:tcW w:type="dxa" w:w="6500"/>
          </w:tcPr>
          <w:p>
            <w:r>
              <w:t xml:space="preserve">Percentage volume change versus prior candle</w:t>
            </w:r>
          </w:p>
        </w:tc>
      </w:tr>
    </w:tbl>
    <w:p>
      <w:pPr>
        <w:pStyle w:val="Heading2"/>
        <w:spacing w:after="100" w:before="300"/>
      </w:pPr>
      <w:r>
        <w:t xml:space="preserve">VWAP Indicator Columns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1F2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500"/>
            <w:shd w:fill="D9E1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r>
              <w:t xml:space="preserve">VWAP</w:t>
            </w:r>
          </w:p>
        </w:tc>
        <w:tc>
          <w:tcPr>
            <w:tcW w:type="dxa" w:w="6500"/>
          </w:tcPr>
          <w:p>
            <w:r>
              <w:t xml:space="preserve">Session VWAP value (blue middle line). Source: HLC/3. Anchor: Session.</w:t>
            </w:r>
          </w:p>
        </w:tc>
      </w:tr>
      <w:tr>
        <w:tc>
          <w:tcPr>
            <w:tcW w:type="dxa" w:w="2500"/>
          </w:tcPr>
          <w:p>
            <w:r>
              <w:t xml:space="preserve">VWAP Upper Band #2</w:t>
            </w:r>
          </w:p>
        </w:tc>
        <w:tc>
          <w:tcPr>
            <w:tcW w:type="dxa" w:w="6500"/>
          </w:tcPr>
          <w:p>
            <w:r>
              <w:t xml:space="preserve">+2 Standard Deviation band (upper gold line) — extreme overbought extension</w:t>
            </w:r>
          </w:p>
        </w:tc>
      </w:tr>
      <w:tr>
        <w:tc>
          <w:tcPr>
            <w:tcW w:type="dxa" w:w="2500"/>
          </w:tcPr>
          <w:p>
            <w:r>
              <w:t xml:space="preserve">VWAP Upper Band #1</w:t>
            </w:r>
          </w:p>
        </w:tc>
        <w:tc>
          <w:tcPr>
            <w:tcW w:type="dxa" w:w="6500"/>
          </w:tcPr>
          <w:p>
            <w:r>
              <w:t xml:space="preserve">+1 Standard Deviation band (upper green line) — exit zone for longs</w:t>
            </w:r>
          </w:p>
        </w:tc>
      </w:tr>
      <w:tr>
        <w:tc>
          <w:tcPr>
            <w:tcW w:type="dxa" w:w="2500"/>
          </w:tcPr>
          <w:p>
            <w:r>
              <w:t xml:space="preserve">VWAP Lower Band #1</w:t>
            </w:r>
          </w:p>
        </w:tc>
        <w:tc>
          <w:tcPr>
            <w:tcW w:type="dxa" w:w="6500"/>
          </w:tcPr>
          <w:p>
            <w:r>
              <w:t xml:space="preserve">-1 Standard Deviation band (lower green line) — entry zone begins here</w:t>
            </w:r>
          </w:p>
        </w:tc>
      </w:tr>
      <w:tr>
        <w:tc>
          <w:tcPr>
            <w:tcW w:type="dxa" w:w="2500"/>
          </w:tcPr>
          <w:p>
            <w:r>
              <w:t xml:space="preserve">VWAP Lower Band #2</w:t>
            </w:r>
          </w:p>
        </w:tc>
        <w:tc>
          <w:tcPr>
            <w:tcW w:type="dxa" w:w="6500"/>
          </w:tcPr>
          <w:p>
            <w:r>
              <w:t xml:space="preserve">-2 Standard Deviation band (lower gold line) — extreme oversold extension</w:t>
            </w:r>
          </w:p>
        </w:tc>
      </w:tr>
      <w:tr>
        <w:tc>
          <w:tcPr>
            <w:tcW w:type="dxa" w:w="2500"/>
          </w:tcPr>
          <w:p>
            <w:r>
              <w:t xml:space="preserve">VWAP Band 1-2</w:t>
            </w:r>
          </w:p>
        </w:tc>
        <w:tc>
          <w:tcPr>
            <w:tcW w:type="dxa" w:w="6500"/>
          </w:tcPr>
          <w:p>
            <w:r>
              <w:t xml:space="preserve">Boolean TRUE/FALSE. TRUE = candle low has touched or penetrated the -1SD band, entering the -1SD to -2SD bounce entry zone. This is Criterion 1 of the entry framework.</w:t>
            </w:r>
          </w:p>
        </w:tc>
      </w:tr>
    </w:tbl>
    <w:p>
      <w:pPr>
        <w:pStyle w:val="Heading2"/>
        <w:spacing w:after="100" w:before="300"/>
      </w:pPr>
      <w:r>
        <w:t xml:space="preserve">RSI Columns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1F2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500"/>
            <w:shd w:fill="D9E1F2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r>
              <w:t xml:space="preserve">RSI</w:t>
            </w:r>
          </w:p>
        </w:tc>
        <w:tc>
          <w:tcPr>
            <w:tcW w:type="dxa" w:w="6500"/>
          </w:tcPr>
          <w:p>
            <w:r>
              <w:t xml:space="preserve">RSI (14, close) for the current candle. Values below 40 on a red candle inside the VWAP Band 1-2 zone satisfy Criterion 2 of the entry framework.</w:t>
            </w:r>
          </w:p>
        </w:tc>
      </w:tr>
      <w:tr>
        <w:tc>
          <w:tcPr>
            <w:tcW w:type="dxa" w:w="2500"/>
          </w:tcPr>
          <w:p>
            <w:r>
              <w:t xml:space="preserve">RSI-based MA</w:t>
            </w:r>
          </w:p>
        </w:tc>
        <w:tc>
          <w:tcPr>
            <w:tcW w:type="dxa" w:w="6500"/>
          </w:tcPr>
          <w:p>
            <w:r>
              <w:t xml:space="preserve">Signal line / moving average of RSI. Used to confirm momentum direction. RSI crossing above its signal line during a bounce confirms momentum shift.</w:t>
            </w:r>
          </w:p>
        </w:tc>
      </w:tr>
    </w:tbl>
    <w:p>
      <w:pPr>
        <w:pStyle w:val="Heading2"/>
        <w:spacing w:after="100" w:before="300"/>
      </w:pPr>
      <w:r>
        <w:t xml:space="preserve">Setup Classification Columns</w:t>
      </w:r>
    </w:p>
    <w:p>
      <w:pPr>
        <w:spacing w:after="150"/>
      </w:pPr>
      <w:r>
        <w:t xml:space="preserve">These columns classify each candle in the context of the trading framework: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1F2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500"/>
            <w:shd w:fill="D9E1F2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500"/>
          </w:tcPr>
          <w:p>
            <w:r>
              <w:t xml:space="preserve">BEP</w:t>
            </w:r>
          </w:p>
        </w:tc>
        <w:tc>
          <w:tcPr>
            <w:tcW w:type="dxa" w:w="6500"/>
          </w:tcPr>
          <w:p>
            <w:r>
              <w:t xml:space="preserve">Bullish Engulfing Pattern — the candle qualifies as a full bullish engulfing of the prior red candle. This is the valid entry trigger when all other criteria are also met.</w:t>
            </w:r>
          </w:p>
        </w:tc>
      </w:tr>
      <w:tr>
        <w:tc>
          <w:tcPr>
            <w:tcW w:type="dxa" w:w="2500"/>
          </w:tcPr>
          <w:p>
            <w:r>
              <w:t xml:space="preserve">HELL / VOID</w:t>
            </w:r>
          </w:p>
        </w:tc>
        <w:tc>
          <w:tcPr>
            <w:tcW w:type="dxa" w:w="6500"/>
          </w:tcPr>
          <w:p>
            <w:r>
              <w:t xml:space="preserve">No trade — negative indicator. The candle does not meet entry criteria. Used to differentiate non-qualifying candles from BEP candles during dataset review. Both values indicate the same outcome: no valid setup.</w:t>
            </w:r>
          </w:p>
        </w:tc>
      </w:tr>
      <w:tr>
        <w:tc>
          <w:tcPr>
            <w:tcW w:type="dxa" w:w="2500"/>
          </w:tcPr>
          <w:p>
            <w:r>
              <w:t xml:space="preserve">VWAP-1</w:t>
            </w:r>
          </w:p>
        </w:tc>
        <w:tc>
          <w:tcPr>
            <w:tcW w:type="dxa" w:w="6500"/>
          </w:tcPr>
          <w:p>
            <w:r>
              <w:t xml:space="preserve">Price is in the -1SD zone (VWAP Band 1-2 = TRUE). Location condition is met. Awaiting RSI and BEP confirmation before entry.</w:t>
            </w:r>
          </w:p>
        </w:tc>
      </w:tr>
      <w:tr>
        <w:tc>
          <w:tcPr>
            <w:tcW w:type="dxa" w:w="2500"/>
          </w:tcPr>
          <w:p>
            <w:r>
              <w:t xml:space="preserve">0</w:t>
            </w:r>
          </w:p>
        </w:tc>
        <w:tc>
          <w:tcPr>
            <w:tcW w:type="dxa" w:w="6500"/>
          </w:tcPr>
          <w:p>
            <w:r>
              <w:t xml:space="preserve">No zone entry — price is outside the -1SD to -2SD range. No setup possible on this candle regardless of RSI or pattern.</w:t>
            </w:r>
          </w:p>
        </w:tc>
      </w:tr>
    </w:tbl>
    <w:p>
      <w:pPr>
        <w:pStyle w:val="Heading2"/>
        <w:spacing w:after="100" w:before="300"/>
      </w:pPr>
      <w:r>
        <w:t xml:space="preserve">How to Use the Workbook for Validation</w:t>
      </w:r>
    </w:p>
    <w:p>
      <w:pPr>
        <w:spacing w:after="100"/>
      </w:pPr>
      <w:r>
        <w:t xml:space="preserve">For each session under review:</w:t>
      </w:r>
    </w:p>
    <w:p>
      <w:pPr>
        <w:spacing w:after="50"/>
      </w:pPr>
      <w:r>
        <w:t xml:space="preserve">1. Filter VWAP Band 1-2 = TRUE to isolate candles inside the entry zone</w:t>
      </w:r>
    </w:p>
    <w:p>
      <w:pPr>
        <w:spacing w:after="50"/>
      </w:pPr>
      <w:r>
        <w:t xml:space="preserve">2. From those, filter RSI &lt; 40 on red candles (Candle Type = Red)</w:t>
      </w:r>
    </w:p>
    <w:p>
      <w:pPr>
        <w:spacing w:after="50"/>
      </w:pPr>
      <w:r>
        <w:t xml:space="preserve">3. From those, identify BEP classification on the immediately following green candle</w:t>
      </w:r>
    </w:p>
    <w:p>
      <w:pPr>
        <w:spacing w:after="50"/>
      </w:pPr>
      <w:r>
        <w:t xml:space="preserve">4. Record the entry price (close of BEP candle) and subsequent price movement over 30-60 minutes</w:t>
      </w:r>
    </w:p>
    <w:p>
      <w:pPr>
        <w:spacing w:after="150"/>
      </w:pPr>
      <w:r>
        <w:t xml:space="preserve">5. Note the VWAP slope at the time of entry (current VWAP minus VWAP 10 rows prior)</w:t>
      </w:r>
    </w:p>
    <w:p>
      <w:pPr>
        <w:spacing w:after="200"/>
      </w:pPr>
      <w:r>
        <w:rPr>
          <w:b/>
          <w:bCs/>
        </w:rPr>
        <w:t xml:space="preserve">The combination of VWAP Band 1-2 = TRUE + RSI &lt; 40 + BEP classification represents a fully confirmed setup. All three conditions in the same candle sequence is the tradeable signal.</w:t>
      </w:r>
    </w:p>
    <w:p>
      <w:pPr>
        <w:pStyle w:val="Heading1"/>
        <w:spacing w:after="150" w:before="400"/>
      </w:pPr>
      <w:r>
        <w:t xml:space="preserve">10. Behavioural Rules</w:t>
      </w:r>
    </w:p>
    <w:p>
      <w:pPr>
        <w:spacing w:after="150"/>
      </w:pPr>
      <w:r>
        <w:rPr>
          <w:b/>
          <w:bCs/>
        </w:rPr>
        <w:t xml:space="preserve">Rule 1:</w:t>
      </w:r>
      <w:r>
        <w:t xml:space="preserve"> TradingView confirms. Saxo executes. Never reversed under any circumstances.</w:t>
      </w:r>
    </w:p>
    <w:p>
      <w:pPr>
        <w:spacing w:after="150"/>
      </w:pPr>
      <w:r>
        <w:rPr>
          <w:b/>
          <w:bCs/>
        </w:rPr>
        <w:t xml:space="preserve">Rule 2:</w:t>
      </w:r>
      <w:r>
        <w:t xml:space="preserve"> Two out of three criteria is not a trade. All three must be confirmed.</w:t>
      </w:r>
    </w:p>
    <w:p>
      <w:pPr>
        <w:spacing w:after="150"/>
      </w:pPr>
      <w:r>
        <w:rPr>
          <w:b/>
          <w:bCs/>
        </w:rPr>
        <w:t xml:space="preserve">Rule 3:</w:t>
      </w:r>
      <w:r>
        <w:t xml:space="preserve"> Exit targets are set before entry. They cannot be moved further away during the trade.</w:t>
      </w:r>
    </w:p>
    <w:p>
      <w:pPr>
        <w:spacing w:after="150"/>
      </w:pPr>
      <w:r>
        <w:rPr>
          <w:b/>
          <w:bCs/>
        </w:rPr>
        <w:t xml:space="preserve">Rule 4:</w:t>
      </w:r>
      <w:r>
        <w:t xml:space="preserve"> An Evening Star Doji plus overbought RSI plus declining VWAP is a mandatory exit. Not optional.</w:t>
      </w:r>
    </w:p>
    <w:p>
      <w:pPr>
        <w:spacing w:after="150"/>
      </w:pPr>
      <w:r>
        <w:rPr>
          <w:b/>
          <w:bCs/>
        </w:rPr>
        <w:t xml:space="preserve">Rule 5:</w:t>
      </w:r>
      <w:r>
        <w:t xml:space="preserve"> A losing scalp is closed at the defined stop. It does not become a longer-term hold to avoid realising the loss.</w:t>
      </w:r>
    </w:p>
    <w:p>
      <w:pPr>
        <w:spacing w:after="150"/>
      </w:pPr>
      <w:r>
        <w:rPr>
          <w:b/>
          <w:bCs/>
        </w:rPr>
        <w:t xml:space="preserve">Rule 6:</w:t>
      </w:r>
      <w:r>
        <w:t xml:space="preserve"> A new trade is evaluated independently of any prior loss in the same session. It is not used to recover a previous loss.</w:t>
      </w:r>
    </w:p>
    <w:p>
      <w:pPr>
        <w:spacing w:after="150"/>
      </w:pPr>
      <w:r>
        <w:rPr>
          <w:b/>
          <w:bCs/>
        </w:rPr>
        <w:t xml:space="preserve">Rule 7:</w:t>
      </w:r>
      <w:r>
        <w:t xml:space="preserve"> The average confirmed bounce is $0.84. Exit discipline is built around this average — not the best day on record.</w:t>
      </w:r>
    </w:p>
    <w:p>
      <w:pPr>
        <w:spacing w:after="200"/>
      </w:pPr>
      <w:r>
        <w:rPr>
          <w:b/>
          <w:bCs/>
        </w:rPr>
        <w:t xml:space="preserve">Rule 8:</w:t>
      </w:r>
      <w:r>
        <w:t xml:space="preserve"> On a session where no valid setup appears — no trade is placed. Patience is part of the edge.</w:t>
      </w:r>
    </w:p>
    <w:p>
      <w:pPr>
        <w:pStyle w:val="Heading1"/>
        <w:spacing w:after="150" w:before="400"/>
      </w:pPr>
      <w:r>
        <w:t xml:space="preserve">11. Pending Research &amp; Validation</w:t>
      </w:r>
    </w:p>
    <w:p>
      <w:pPr>
        <w:spacing w:after="150"/>
      </w:pPr>
      <w:r>
        <w:t xml:space="preserve">The following variables are identified but not yet validated. Log instances but do not trade them until data supports: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1F2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4500"/>
            <w:shd w:fill="D9E1F2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r>
              <w:t xml:space="preserve">VWAP slope vs bounce size correlation</w:t>
            </w:r>
          </w:p>
        </w:tc>
        <w:tc>
          <w:tcPr>
            <w:tcW w:type="dxa" w:w="4500"/>
          </w:tcPr>
          <w:p>
            <w:r>
              <w:t xml:space="preserve">60-day analysis in progress — workbook data available</w:t>
            </w:r>
          </w:p>
        </w:tc>
      </w:tr>
      <w:tr>
        <w:tc>
          <w:tcPr>
            <w:tcW w:type="dxa" w:w="4500"/>
          </w:tcPr>
          <w:p>
            <w:r>
              <w:t xml:space="preserve">Rising vs declining market bounce size</w:t>
            </w:r>
          </w:p>
        </w:tc>
        <w:tc>
          <w:tcPr>
            <w:tcW w:type="dxa" w:w="4500"/>
          </w:tcPr>
          <w:p>
            <w:r>
              <w:t xml:space="preserve">To be added to 60-day workbook analysis</w:t>
            </w:r>
          </w:p>
        </w:tc>
      </w:tr>
      <w:tr>
        <w:tc>
          <w:tcPr>
            <w:tcW w:type="dxa" w:w="4500"/>
          </w:tcPr>
          <w:p>
            <w:r>
              <w:t xml:space="preserve">Piercing pattern 70%+ bounce rate</w:t>
            </w:r>
          </w:p>
        </w:tc>
        <w:tc>
          <w:tcPr>
            <w:tcW w:type="dxa" w:w="4500"/>
          </w:tcPr>
          <w:p>
            <w:r>
              <w:t xml:space="preserve">Observe and log — no live trading</w:t>
            </w:r>
          </w:p>
        </w:tc>
      </w:tr>
      <w:tr>
        <w:tc>
          <w:tcPr>
            <w:tcW w:type="dxa" w:w="4500"/>
          </w:tcPr>
          <w:p>
            <w:r>
              <w:t xml:space="preserve">Continuation engulfing pattern (above VWAP)</w:t>
            </w:r>
          </w:p>
        </w:tc>
        <w:tc>
          <w:tcPr>
            <w:tcW w:type="dxa" w:w="4500"/>
          </w:tcPr>
          <w:p>
            <w:r>
              <w:t xml:space="preserve">Observe and log — no live trading</w:t>
            </w:r>
          </w:p>
        </w:tc>
      </w:tr>
      <w:tr>
        <w:tc>
          <w:tcPr>
            <w:tcW w:type="dxa" w:w="4500"/>
          </w:tcPr>
          <w:p>
            <w:r>
              <w:t xml:space="preserve">Hammer and Morning Star bounce rate</w:t>
            </w:r>
          </w:p>
        </w:tc>
        <w:tc>
          <w:tcPr>
            <w:tcW w:type="dxa" w:w="4500"/>
          </w:tcPr>
          <w:p>
            <w:r>
              <w:t xml:space="preserve">Observe and log — no live trading</w:t>
            </w:r>
          </w:p>
        </w:tc>
      </w:tr>
      <w:tr>
        <w:tc>
          <w:tcPr>
            <w:tcW w:type="dxa" w:w="4500"/>
          </w:tcPr>
          <w:p>
            <w:r>
              <w:t xml:space="preserve">Bearish engulfing framework (short side)</w:t>
            </w:r>
          </w:p>
        </w:tc>
        <w:tc>
          <w:tcPr>
            <w:tcW w:type="dxa" w:w="4500"/>
          </w:tcPr>
          <w:p>
            <w:r>
              <w:t xml:space="preserve">Framework defined — validation pending</w:t>
            </w:r>
          </w:p>
        </w:tc>
      </w:tr>
      <w:tr>
        <w:tc>
          <w:tcPr>
            <w:tcW w:type="dxa" w:w="4500"/>
          </w:tcPr>
          <w:p>
            <w:r>
              <w:t xml:space="preserve">Minimum red candle body size for valid BEP</w:t>
            </w:r>
          </w:p>
        </w:tc>
        <w:tc>
          <w:tcPr>
            <w:tcW w:type="dxa" w:w="4500"/>
          </w:tcPr>
          <w:p>
            <w:r>
              <w:t xml:space="preserve">Review against 143 instance dataset</w:t>
            </w:r>
          </w:p>
        </w:tc>
      </w:tr>
    </w:tbl>
    <w:p>
      <w:pPr>
        <w:pStyle w:val="Heading1"/>
        <w:spacing w:after="150" w:before="400"/>
      </w:pPr>
      <w:r>
        <w:t xml:space="preserve">12. Pine Script Indicator Development Plan</w:t>
      </w:r>
    </w:p>
    <w:p>
      <w:pPr>
        <w:spacing w:after="150"/>
      </w:pPr>
      <w:r>
        <w:t xml:space="preserve">The following indicators are planned for Pine Script development on TradingView:</w:t>
      </w:r>
    </w:p>
    <w:p>
      <w:pPr>
        <w:spacing w:after="100"/>
      </w:pPr>
      <w:r>
        <w:t xml:space="preserve">1. VWAP Slope Indicator — plots 10-minute rate of VWAP change. Colour coded green (flat/rising) and red (declining). Alert when slope crosses defined thresholds.</w:t>
      </w:r>
    </w:p>
    <w:p>
      <w:pPr>
        <w:spacing w:after="100"/>
      </w:pPr>
      <w:r>
        <w:t xml:space="preserve">2. VWAP Percentage Deviation — plots price distance from VWAP as a percentage rather than absolute dollar value.</w:t>
      </w:r>
    </w:p>
    <w:p>
      <w:pPr>
        <w:spacing w:after="200"/>
      </w:pPr>
      <w:r>
        <w:t xml:space="preserve">3. Combined Entry Signal Alert — fires when all three entry criteria (VWAP Band 1-2, RSI &lt; 40, BEP) are simultaneously met. Reduces manual monitoring burden.</w:t>
      </w:r>
    </w:p>
    <w:p>
      <w:pPr>
        <w:pBdr>
          <w:top w:val="single" w:sz="1"/>
        </w:pBdr>
        <w:spacing w:before="400"/>
      </w:pPr>
      <w:r>
        <w:rPr>
          <w:i/>
          <w:iCs/>
          <w:sz w:val="18"/>
          <w:szCs w:val="18"/>
        </w:rPr>
        <w:t xml:space="preserve">This document is a living framework. Rules are updated only when supported by validated data from the INTC dataset. Theoretical reasoning alone is not sufficient to modify a trading rule. Version 1.1 incorporates the Intel NASDAQ Opening Hours Workbook column definitions and classification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2026-08-03T03:41:49.575Z</dcterms:created>
  <dcterms:modified xsi:type="dcterms:W3CDTF">2026-08-03T03:41:49.600Z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